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FA" w:rsidRDefault="00CD6363" w:rsidP="00CC59FA">
      <w:pPr>
        <w:pBdr>
          <w:bottom w:val="single" w:sz="4" w:space="1" w:color="auto"/>
        </w:pBd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="00C926E2" w:rsidRPr="00C926E2">
        <w:rPr>
          <w:rFonts w:ascii="Arial" w:hAnsi="Arial" w:cs="Arial"/>
          <w:sz w:val="24"/>
          <w:szCs w:val="24"/>
        </w:rPr>
        <w:t xml:space="preserve">xemple de la composition d’un dossier </w:t>
      </w:r>
      <w:r w:rsidR="00B1097C">
        <w:rPr>
          <w:rFonts w:ascii="Arial" w:hAnsi="Arial" w:cs="Arial"/>
          <w:sz w:val="24"/>
          <w:szCs w:val="24"/>
        </w:rPr>
        <w:t xml:space="preserve">papier </w:t>
      </w:r>
      <w:r w:rsidR="00C926E2" w:rsidRPr="00C926E2">
        <w:rPr>
          <w:rFonts w:ascii="Arial" w:hAnsi="Arial" w:cs="Arial"/>
          <w:sz w:val="24"/>
          <w:szCs w:val="24"/>
        </w:rPr>
        <w:t>de demande de permis de construire</w:t>
      </w:r>
      <w:r w:rsidR="00D56D33">
        <w:rPr>
          <w:rFonts w:ascii="Arial" w:hAnsi="Arial" w:cs="Arial"/>
          <w:sz w:val="24"/>
          <w:szCs w:val="24"/>
        </w:rPr>
        <w:t xml:space="preserve"> selon la procédure or</w:t>
      </w:r>
      <w:r w:rsidR="00A16ACE">
        <w:rPr>
          <w:rFonts w:ascii="Arial" w:hAnsi="Arial" w:cs="Arial"/>
          <w:sz w:val="24"/>
          <w:szCs w:val="24"/>
        </w:rPr>
        <w:t>dinaire (décision prise par la P</w:t>
      </w:r>
      <w:r w:rsidR="00D56D33">
        <w:rPr>
          <w:rFonts w:ascii="Arial" w:hAnsi="Arial" w:cs="Arial"/>
          <w:sz w:val="24"/>
          <w:szCs w:val="24"/>
        </w:rPr>
        <w:t>réfecture)</w:t>
      </w:r>
    </w:p>
    <w:p w:rsidR="00CC59FA" w:rsidRPr="00C926E2" w:rsidRDefault="00CC59FA" w:rsidP="006669CF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9CF" w:rsidRPr="006669CF" w:rsidRDefault="006669CF" w:rsidP="006669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26E2" w:rsidRDefault="00C926E2" w:rsidP="006669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Afin de simplifier</w:t>
      </w:r>
      <w:r w:rsidR="000418B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418BC">
        <w:rPr>
          <w:rFonts w:ascii="Arial" w:hAnsi="Arial" w:cs="Arial"/>
          <w:sz w:val="20"/>
          <w:szCs w:val="20"/>
        </w:rPr>
        <w:t xml:space="preserve">d’accélérer et de standardiser </w:t>
      </w:r>
      <w:r>
        <w:rPr>
          <w:rFonts w:ascii="Arial" w:hAnsi="Arial" w:cs="Arial"/>
          <w:sz w:val="20"/>
          <w:szCs w:val="20"/>
        </w:rPr>
        <w:t xml:space="preserve">la gestion </w:t>
      </w:r>
      <w:r w:rsidR="000A2A19">
        <w:rPr>
          <w:rFonts w:ascii="Arial" w:hAnsi="Arial" w:cs="Arial"/>
          <w:sz w:val="20"/>
          <w:szCs w:val="20"/>
        </w:rPr>
        <w:t>ainsi que</w:t>
      </w:r>
      <w:r>
        <w:rPr>
          <w:rFonts w:ascii="Arial" w:hAnsi="Arial" w:cs="Arial"/>
          <w:sz w:val="20"/>
          <w:szCs w:val="20"/>
        </w:rPr>
        <w:t xml:space="preserve"> l’archivage des </w:t>
      </w:r>
      <w:r w:rsidR="003D5C1A">
        <w:rPr>
          <w:rFonts w:ascii="Arial" w:hAnsi="Arial" w:cs="Arial"/>
          <w:sz w:val="20"/>
          <w:szCs w:val="20"/>
        </w:rPr>
        <w:t>dossiers</w:t>
      </w:r>
      <w:r w:rsidR="000A2A19">
        <w:rPr>
          <w:rFonts w:ascii="Arial" w:hAnsi="Arial" w:cs="Arial"/>
          <w:sz w:val="20"/>
          <w:szCs w:val="20"/>
        </w:rPr>
        <w:t>,</w:t>
      </w:r>
      <w:r w:rsidR="003D5C1A">
        <w:rPr>
          <w:rFonts w:ascii="Arial" w:hAnsi="Arial" w:cs="Arial"/>
          <w:sz w:val="20"/>
          <w:szCs w:val="20"/>
        </w:rPr>
        <w:t xml:space="preserve"> </w:t>
      </w:r>
      <w:r w:rsidR="000A2A19">
        <w:rPr>
          <w:rFonts w:ascii="Arial" w:hAnsi="Arial" w:cs="Arial"/>
          <w:sz w:val="20"/>
          <w:szCs w:val="20"/>
        </w:rPr>
        <w:t xml:space="preserve">en format </w:t>
      </w:r>
      <w:r w:rsidR="003D5C1A">
        <w:rPr>
          <w:rFonts w:ascii="Arial" w:hAnsi="Arial" w:cs="Arial"/>
          <w:sz w:val="20"/>
          <w:szCs w:val="20"/>
        </w:rPr>
        <w:t>papier</w:t>
      </w:r>
      <w:r w:rsidR="000A2A19">
        <w:rPr>
          <w:rFonts w:ascii="Arial" w:hAnsi="Arial" w:cs="Arial"/>
          <w:sz w:val="20"/>
          <w:szCs w:val="20"/>
        </w:rPr>
        <w:t>,</w:t>
      </w:r>
      <w:r w:rsidR="003D5C1A">
        <w:rPr>
          <w:rFonts w:ascii="Arial" w:hAnsi="Arial" w:cs="Arial"/>
          <w:sz w:val="20"/>
          <w:szCs w:val="20"/>
        </w:rPr>
        <w:t xml:space="preserve"> des </w:t>
      </w:r>
      <w:r>
        <w:rPr>
          <w:rFonts w:ascii="Arial" w:hAnsi="Arial" w:cs="Arial"/>
          <w:sz w:val="20"/>
          <w:szCs w:val="20"/>
        </w:rPr>
        <w:t xml:space="preserve">demandes de </w:t>
      </w:r>
      <w:r w:rsidR="00BA6E5D">
        <w:rPr>
          <w:rFonts w:ascii="Arial" w:hAnsi="Arial" w:cs="Arial"/>
          <w:sz w:val="20"/>
          <w:szCs w:val="20"/>
        </w:rPr>
        <w:t xml:space="preserve">permis de </w:t>
      </w:r>
      <w:r>
        <w:rPr>
          <w:rFonts w:ascii="Arial" w:hAnsi="Arial" w:cs="Arial"/>
          <w:sz w:val="20"/>
          <w:szCs w:val="20"/>
        </w:rPr>
        <w:t xml:space="preserve">construire, le </w:t>
      </w:r>
      <w:r w:rsidR="00A16ACE" w:rsidRPr="00A16ACE">
        <w:rPr>
          <w:rFonts w:ascii="Arial" w:hAnsi="Arial" w:cs="Arial"/>
          <w:sz w:val="20"/>
        </w:rPr>
        <w:t>Service des constructions et de l’aménagement (SeCA)</w:t>
      </w:r>
      <w:r w:rsidRPr="00A16ACE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vous invite à éviter l’utilisation de classeurs, de cahiers, de cartables,</w:t>
      </w:r>
      <w:r w:rsidR="000418BC">
        <w:rPr>
          <w:rFonts w:ascii="Arial" w:hAnsi="Arial" w:cs="Arial"/>
          <w:sz w:val="20"/>
          <w:szCs w:val="20"/>
        </w:rPr>
        <w:t xml:space="preserve"> de </w:t>
      </w:r>
      <w:r w:rsidR="0052238D">
        <w:rPr>
          <w:rFonts w:ascii="Arial" w:hAnsi="Arial" w:cs="Arial"/>
          <w:sz w:val="20"/>
          <w:szCs w:val="20"/>
        </w:rPr>
        <w:t xml:space="preserve">mappes, </w:t>
      </w:r>
      <w:r w:rsidR="00F010D1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fou</w:t>
      </w:r>
      <w:r w:rsidR="00F010D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r</w:t>
      </w:r>
      <w:r w:rsidR="00F010D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s, de dossiers reliés par des spirales, etc</w:t>
      </w:r>
      <w:r w:rsidR="008F042C">
        <w:rPr>
          <w:rFonts w:ascii="Arial" w:hAnsi="Arial" w:cs="Arial"/>
          <w:sz w:val="20"/>
          <w:szCs w:val="20"/>
        </w:rPr>
        <w:t>.</w:t>
      </w:r>
    </w:p>
    <w:p w:rsidR="006669CF" w:rsidRPr="00A16ACE" w:rsidRDefault="006669CF" w:rsidP="006669CF">
      <w:pPr>
        <w:spacing w:after="0" w:line="240" w:lineRule="auto"/>
      </w:pPr>
    </w:p>
    <w:p w:rsidR="005641F8" w:rsidRDefault="00F010D1" w:rsidP="006669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dossier, mis</w:t>
      </w:r>
      <w:r w:rsidR="00C926E2">
        <w:rPr>
          <w:rFonts w:ascii="Arial" w:hAnsi="Arial" w:cs="Arial"/>
          <w:sz w:val="20"/>
          <w:szCs w:val="20"/>
        </w:rPr>
        <w:t xml:space="preserve"> à part les plans, est composé </w:t>
      </w:r>
      <w:r w:rsidR="00624F03">
        <w:rPr>
          <w:rFonts w:ascii="Arial" w:hAnsi="Arial" w:cs="Arial"/>
          <w:sz w:val="20"/>
          <w:szCs w:val="20"/>
        </w:rPr>
        <w:t xml:space="preserve">dans la mesure du possible </w:t>
      </w:r>
      <w:r w:rsidR="00A16ACE">
        <w:rPr>
          <w:rFonts w:ascii="Arial" w:hAnsi="Arial" w:cs="Arial"/>
          <w:sz w:val="20"/>
          <w:szCs w:val="20"/>
        </w:rPr>
        <w:t xml:space="preserve">de </w:t>
      </w:r>
      <w:r w:rsidR="00C926E2">
        <w:rPr>
          <w:rFonts w:ascii="Arial" w:hAnsi="Arial" w:cs="Arial"/>
          <w:sz w:val="20"/>
          <w:szCs w:val="20"/>
        </w:rPr>
        <w:t>feuilles A4</w:t>
      </w:r>
      <w:r w:rsidR="005641F8">
        <w:rPr>
          <w:rFonts w:ascii="Arial" w:hAnsi="Arial" w:cs="Arial"/>
          <w:sz w:val="20"/>
          <w:szCs w:val="20"/>
        </w:rPr>
        <w:t xml:space="preserve"> </w:t>
      </w:r>
      <w:r w:rsidR="00076D98">
        <w:rPr>
          <w:rFonts w:ascii="Arial" w:hAnsi="Arial" w:cs="Arial"/>
          <w:sz w:val="20"/>
          <w:szCs w:val="20"/>
        </w:rPr>
        <w:t>agrafé</w:t>
      </w:r>
      <w:r w:rsidR="00FC2417">
        <w:rPr>
          <w:rFonts w:ascii="Arial" w:hAnsi="Arial" w:cs="Arial"/>
          <w:sz w:val="20"/>
          <w:szCs w:val="20"/>
        </w:rPr>
        <w:t>e</w:t>
      </w:r>
      <w:r w:rsidR="00076D98">
        <w:rPr>
          <w:rFonts w:ascii="Arial" w:hAnsi="Arial" w:cs="Arial"/>
          <w:sz w:val="20"/>
          <w:szCs w:val="20"/>
        </w:rPr>
        <w:t>s</w:t>
      </w:r>
      <w:r w:rsidR="005641F8">
        <w:rPr>
          <w:rFonts w:ascii="Arial" w:hAnsi="Arial" w:cs="Arial"/>
          <w:sz w:val="20"/>
          <w:szCs w:val="20"/>
        </w:rPr>
        <w:t xml:space="preserve"> ensemble par </w:t>
      </w:r>
      <w:r w:rsidR="00624F03">
        <w:rPr>
          <w:rFonts w:ascii="Arial" w:hAnsi="Arial" w:cs="Arial"/>
          <w:sz w:val="20"/>
          <w:szCs w:val="20"/>
        </w:rPr>
        <w:t>thèmes</w:t>
      </w:r>
      <w:r w:rsidR="005641F8">
        <w:rPr>
          <w:rFonts w:ascii="Arial" w:hAnsi="Arial" w:cs="Arial"/>
          <w:sz w:val="20"/>
          <w:szCs w:val="20"/>
        </w:rPr>
        <w:t xml:space="preserve"> traités</w:t>
      </w:r>
      <w:r w:rsidR="006733A4">
        <w:rPr>
          <w:rFonts w:ascii="Arial" w:hAnsi="Arial" w:cs="Arial"/>
          <w:sz w:val="20"/>
          <w:szCs w:val="20"/>
        </w:rPr>
        <w:t xml:space="preserve"> (voir liste ci-dessous)</w:t>
      </w:r>
      <w:r w:rsidR="005641F8">
        <w:rPr>
          <w:rFonts w:ascii="Arial" w:hAnsi="Arial" w:cs="Arial"/>
          <w:sz w:val="20"/>
          <w:szCs w:val="20"/>
        </w:rPr>
        <w:t>.</w:t>
      </w:r>
    </w:p>
    <w:p w:rsidR="006669CF" w:rsidRDefault="006669CF" w:rsidP="006669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01C8" w:rsidRDefault="008800F5" w:rsidP="006669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Toute demande de permis de construire est à déposer auprès de la commune concernée par le projet, en 5 exemplaires</w:t>
      </w:r>
      <w:r w:rsidR="00F010D1">
        <w:rPr>
          <w:rFonts w:ascii="Arial" w:hAnsi="Arial" w:cs="Arial"/>
          <w:sz w:val="20"/>
          <w:szCs w:val="20"/>
        </w:rPr>
        <w:t xml:space="preserve"> identiques</w:t>
      </w:r>
      <w:r>
        <w:rPr>
          <w:rFonts w:ascii="Arial" w:hAnsi="Arial" w:cs="Arial"/>
          <w:sz w:val="20"/>
          <w:szCs w:val="20"/>
        </w:rPr>
        <w:t xml:space="preserve"> (voir guide des constructions)</w:t>
      </w:r>
      <w:r w:rsidR="00F010D1">
        <w:rPr>
          <w:rFonts w:ascii="Arial" w:hAnsi="Arial" w:cs="Arial"/>
          <w:sz w:val="20"/>
          <w:szCs w:val="20"/>
        </w:rPr>
        <w:t>.</w:t>
      </w:r>
      <w:r w:rsidR="00D56D33">
        <w:rPr>
          <w:rFonts w:ascii="Arial" w:hAnsi="Arial" w:cs="Arial"/>
          <w:sz w:val="20"/>
          <w:szCs w:val="20"/>
        </w:rPr>
        <w:t xml:space="preserve"> </w:t>
      </w:r>
      <w:r w:rsidR="000D2307">
        <w:rPr>
          <w:rFonts w:ascii="Arial" w:hAnsi="Arial" w:cs="Arial"/>
          <w:sz w:val="20"/>
          <w:szCs w:val="20"/>
        </w:rPr>
        <w:t>L’</w:t>
      </w:r>
      <w:r w:rsidR="00D56D33">
        <w:rPr>
          <w:rFonts w:ascii="Arial" w:hAnsi="Arial" w:cs="Arial"/>
          <w:sz w:val="20"/>
          <w:szCs w:val="20"/>
        </w:rPr>
        <w:t xml:space="preserve">exemplaire </w:t>
      </w:r>
      <w:r w:rsidR="000D2307">
        <w:rPr>
          <w:rFonts w:ascii="Arial" w:hAnsi="Arial" w:cs="Arial"/>
          <w:sz w:val="20"/>
          <w:szCs w:val="20"/>
        </w:rPr>
        <w:t>mis à l’enquête publi</w:t>
      </w:r>
      <w:r w:rsidR="00F8246D">
        <w:rPr>
          <w:rFonts w:ascii="Arial" w:hAnsi="Arial" w:cs="Arial"/>
          <w:sz w:val="20"/>
          <w:szCs w:val="20"/>
        </w:rPr>
        <w:t>que</w:t>
      </w:r>
      <w:r w:rsidR="000D2307">
        <w:rPr>
          <w:rFonts w:ascii="Arial" w:hAnsi="Arial" w:cs="Arial"/>
          <w:sz w:val="20"/>
          <w:szCs w:val="20"/>
        </w:rPr>
        <w:t xml:space="preserve"> </w:t>
      </w:r>
      <w:r w:rsidR="00D56D33">
        <w:rPr>
          <w:rFonts w:ascii="Arial" w:hAnsi="Arial" w:cs="Arial"/>
          <w:sz w:val="20"/>
          <w:szCs w:val="20"/>
        </w:rPr>
        <w:t>reste à la commune tou</w:t>
      </w:r>
      <w:r w:rsidR="00070151">
        <w:rPr>
          <w:rFonts w:ascii="Arial" w:hAnsi="Arial" w:cs="Arial"/>
          <w:sz w:val="20"/>
          <w:szCs w:val="20"/>
        </w:rPr>
        <w:t>t</w:t>
      </w:r>
      <w:r w:rsidR="00D56D33">
        <w:rPr>
          <w:rFonts w:ascii="Arial" w:hAnsi="Arial" w:cs="Arial"/>
          <w:sz w:val="20"/>
          <w:szCs w:val="20"/>
        </w:rPr>
        <w:t xml:space="preserve"> au long de la procédure</w:t>
      </w:r>
      <w:r w:rsidR="000D2307">
        <w:rPr>
          <w:rFonts w:ascii="Arial" w:hAnsi="Arial" w:cs="Arial"/>
          <w:sz w:val="20"/>
          <w:szCs w:val="20"/>
        </w:rPr>
        <w:t xml:space="preserve"> jusqu’à la décision préfectoral</w:t>
      </w:r>
      <w:r w:rsidR="00F8246D">
        <w:rPr>
          <w:rFonts w:ascii="Arial" w:hAnsi="Arial" w:cs="Arial"/>
          <w:sz w:val="20"/>
          <w:szCs w:val="20"/>
        </w:rPr>
        <w:t>e</w:t>
      </w:r>
      <w:r w:rsidR="00FF1856">
        <w:rPr>
          <w:rFonts w:ascii="Arial" w:hAnsi="Arial" w:cs="Arial"/>
          <w:sz w:val="20"/>
          <w:szCs w:val="20"/>
        </w:rPr>
        <w:t>.</w:t>
      </w:r>
    </w:p>
    <w:p w:rsidR="006669CF" w:rsidRDefault="006669CF" w:rsidP="006669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329" w:rsidRDefault="00D56D33" w:rsidP="006669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Dès la décision prise</w:t>
      </w:r>
      <w:r w:rsidR="00FF1856">
        <w:rPr>
          <w:rFonts w:ascii="Arial" w:hAnsi="Arial" w:cs="Arial"/>
          <w:sz w:val="20"/>
          <w:szCs w:val="20"/>
        </w:rPr>
        <w:t xml:space="preserve"> par la préfecture</w:t>
      </w:r>
      <w:r w:rsidR="006B6926">
        <w:rPr>
          <w:rFonts w:ascii="Arial" w:hAnsi="Arial" w:cs="Arial"/>
          <w:sz w:val="20"/>
          <w:szCs w:val="20"/>
        </w:rPr>
        <w:t>, un exemplaire</w:t>
      </w:r>
      <w:r w:rsidR="00B3735D">
        <w:rPr>
          <w:rFonts w:ascii="Arial" w:hAnsi="Arial" w:cs="Arial"/>
          <w:sz w:val="20"/>
          <w:szCs w:val="20"/>
        </w:rPr>
        <w:t xml:space="preserve"> avec la décision est retourné à la commune</w:t>
      </w:r>
      <w:r w:rsidR="00FF1856">
        <w:rPr>
          <w:rFonts w:ascii="Arial" w:hAnsi="Arial" w:cs="Arial"/>
          <w:sz w:val="20"/>
          <w:szCs w:val="20"/>
        </w:rPr>
        <w:t xml:space="preserve">, en </w:t>
      </w:r>
      <w:r w:rsidR="002C14CB">
        <w:rPr>
          <w:rFonts w:ascii="Arial" w:hAnsi="Arial" w:cs="Arial"/>
          <w:sz w:val="20"/>
          <w:szCs w:val="20"/>
        </w:rPr>
        <w:t>remplacement de celui resté tout</w:t>
      </w:r>
      <w:r w:rsidR="00FF1856">
        <w:rPr>
          <w:rFonts w:ascii="Arial" w:hAnsi="Arial" w:cs="Arial"/>
          <w:sz w:val="20"/>
          <w:szCs w:val="20"/>
        </w:rPr>
        <w:t xml:space="preserve"> au long de la procédure</w:t>
      </w:r>
      <w:r w:rsidR="00B3735D">
        <w:rPr>
          <w:rFonts w:ascii="Arial" w:hAnsi="Arial" w:cs="Arial"/>
          <w:sz w:val="20"/>
          <w:szCs w:val="20"/>
        </w:rPr>
        <w:t>, le deuxième au requérant, le troisième au mandataire et le dernie</w:t>
      </w:r>
      <w:r w:rsidR="00070151">
        <w:rPr>
          <w:rFonts w:ascii="Arial" w:hAnsi="Arial" w:cs="Arial"/>
          <w:sz w:val="20"/>
          <w:szCs w:val="20"/>
        </w:rPr>
        <w:t>r</w:t>
      </w:r>
      <w:r w:rsidR="00FF1856">
        <w:rPr>
          <w:rFonts w:ascii="Arial" w:hAnsi="Arial" w:cs="Arial"/>
          <w:sz w:val="20"/>
          <w:szCs w:val="20"/>
        </w:rPr>
        <w:t>,</w:t>
      </w:r>
      <w:r w:rsidR="00070151">
        <w:rPr>
          <w:rFonts w:ascii="Arial" w:hAnsi="Arial" w:cs="Arial"/>
          <w:sz w:val="20"/>
          <w:szCs w:val="20"/>
        </w:rPr>
        <w:t xml:space="preserve"> </w:t>
      </w:r>
      <w:r w:rsidR="000D6484">
        <w:rPr>
          <w:rFonts w:ascii="Arial" w:hAnsi="Arial" w:cs="Arial"/>
          <w:sz w:val="20"/>
          <w:szCs w:val="20"/>
        </w:rPr>
        <w:t>muni</w:t>
      </w:r>
      <w:r w:rsidR="00FF1856">
        <w:rPr>
          <w:rFonts w:ascii="Arial" w:hAnsi="Arial" w:cs="Arial"/>
          <w:sz w:val="20"/>
          <w:szCs w:val="20"/>
        </w:rPr>
        <w:t xml:space="preserve"> des signatures originales, </w:t>
      </w:r>
      <w:r w:rsidR="00070151">
        <w:rPr>
          <w:rFonts w:ascii="Arial" w:hAnsi="Arial" w:cs="Arial"/>
          <w:sz w:val="20"/>
          <w:szCs w:val="20"/>
        </w:rPr>
        <w:t>reste dans les archives de l’E</w:t>
      </w:r>
      <w:r w:rsidR="00B3735D">
        <w:rPr>
          <w:rFonts w:ascii="Arial" w:hAnsi="Arial" w:cs="Arial"/>
          <w:sz w:val="20"/>
          <w:szCs w:val="20"/>
        </w:rPr>
        <w:t>tat.</w:t>
      </w:r>
    </w:p>
    <w:p w:rsidR="006669CF" w:rsidRDefault="006669CF" w:rsidP="006669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4ED2" w:rsidRDefault="00624F03" w:rsidP="006669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Tous les documents doivent être signés par le</w:t>
      </w:r>
      <w:r w:rsidR="00775CB0">
        <w:rPr>
          <w:rFonts w:ascii="Arial" w:hAnsi="Arial" w:cs="Arial"/>
          <w:sz w:val="20"/>
          <w:szCs w:val="20"/>
        </w:rPr>
        <w:t>/la</w:t>
      </w:r>
      <w:r>
        <w:rPr>
          <w:rFonts w:ascii="Arial" w:hAnsi="Arial" w:cs="Arial"/>
          <w:sz w:val="20"/>
          <w:szCs w:val="20"/>
        </w:rPr>
        <w:t xml:space="preserve"> requérant</w:t>
      </w:r>
      <w:r w:rsidR="00775CB0">
        <w:rPr>
          <w:rFonts w:ascii="Arial" w:hAnsi="Arial" w:cs="Arial"/>
          <w:sz w:val="20"/>
          <w:szCs w:val="20"/>
        </w:rPr>
        <w:t>-e</w:t>
      </w:r>
      <w:r w:rsidR="002C739C">
        <w:rPr>
          <w:rFonts w:ascii="Arial" w:hAnsi="Arial" w:cs="Arial"/>
          <w:sz w:val="20"/>
          <w:szCs w:val="20"/>
        </w:rPr>
        <w:t xml:space="preserve"> et</w:t>
      </w:r>
      <w:r>
        <w:rPr>
          <w:rFonts w:ascii="Arial" w:hAnsi="Arial" w:cs="Arial"/>
          <w:sz w:val="20"/>
          <w:szCs w:val="20"/>
        </w:rPr>
        <w:t xml:space="preserve"> l’auteur</w:t>
      </w:r>
      <w:r w:rsidR="00775CB0">
        <w:rPr>
          <w:rFonts w:ascii="Arial" w:hAnsi="Arial" w:cs="Arial"/>
          <w:sz w:val="20"/>
          <w:szCs w:val="20"/>
        </w:rPr>
        <w:t>-e</w:t>
      </w:r>
      <w:r>
        <w:rPr>
          <w:rFonts w:ascii="Arial" w:hAnsi="Arial" w:cs="Arial"/>
          <w:sz w:val="20"/>
          <w:szCs w:val="20"/>
        </w:rPr>
        <w:t xml:space="preserve"> des plans</w:t>
      </w:r>
      <w:r w:rsidR="002C739C">
        <w:rPr>
          <w:rFonts w:ascii="Arial" w:hAnsi="Arial" w:cs="Arial"/>
          <w:sz w:val="20"/>
          <w:szCs w:val="20"/>
        </w:rPr>
        <w:t>. L</w:t>
      </w:r>
      <w:r w:rsidR="009A304F">
        <w:rPr>
          <w:rFonts w:ascii="Arial" w:hAnsi="Arial" w:cs="Arial"/>
          <w:sz w:val="20"/>
          <w:szCs w:val="20"/>
        </w:rPr>
        <w:t>e</w:t>
      </w:r>
      <w:r w:rsidR="00775CB0">
        <w:rPr>
          <w:rFonts w:ascii="Arial" w:hAnsi="Arial" w:cs="Arial"/>
          <w:sz w:val="20"/>
          <w:szCs w:val="20"/>
        </w:rPr>
        <w:t>/la</w:t>
      </w:r>
      <w:r>
        <w:rPr>
          <w:rFonts w:ascii="Arial" w:hAnsi="Arial" w:cs="Arial"/>
          <w:sz w:val="20"/>
          <w:szCs w:val="20"/>
        </w:rPr>
        <w:t xml:space="preserve"> propriétaire du fonds</w:t>
      </w:r>
      <w:r w:rsidR="009A304F">
        <w:rPr>
          <w:rFonts w:ascii="Arial" w:hAnsi="Arial" w:cs="Arial"/>
          <w:sz w:val="20"/>
          <w:szCs w:val="20"/>
        </w:rPr>
        <w:t xml:space="preserve"> </w:t>
      </w:r>
      <w:r w:rsidR="00934920">
        <w:rPr>
          <w:rFonts w:ascii="Arial" w:hAnsi="Arial" w:cs="Arial"/>
          <w:sz w:val="20"/>
          <w:szCs w:val="20"/>
        </w:rPr>
        <w:t>signe</w:t>
      </w:r>
      <w:r w:rsidR="007B1A4A">
        <w:rPr>
          <w:rFonts w:ascii="Arial" w:hAnsi="Arial" w:cs="Arial"/>
          <w:sz w:val="20"/>
          <w:szCs w:val="20"/>
        </w:rPr>
        <w:t xml:space="preserve"> uniquement</w:t>
      </w:r>
      <w:r w:rsidR="009A304F">
        <w:rPr>
          <w:rFonts w:ascii="Arial" w:hAnsi="Arial" w:cs="Arial"/>
          <w:sz w:val="20"/>
          <w:szCs w:val="20"/>
        </w:rPr>
        <w:t xml:space="preserve"> la fiche de requête</w:t>
      </w:r>
      <w:r w:rsidR="007A0797">
        <w:rPr>
          <w:rFonts w:ascii="Arial" w:hAnsi="Arial" w:cs="Arial"/>
          <w:color w:val="FF0000"/>
          <w:sz w:val="20"/>
          <w:szCs w:val="20"/>
        </w:rPr>
        <w:t>,</w:t>
      </w:r>
      <w:r w:rsidR="0044716E">
        <w:rPr>
          <w:rFonts w:ascii="Arial" w:hAnsi="Arial" w:cs="Arial"/>
          <w:sz w:val="20"/>
          <w:szCs w:val="20"/>
        </w:rPr>
        <w:t xml:space="preserve"> donnant ainsi son accord au projet déposé</w:t>
      </w:r>
      <w:r w:rsidR="00392FD8">
        <w:rPr>
          <w:rFonts w:ascii="Arial" w:hAnsi="Arial" w:cs="Arial"/>
          <w:sz w:val="20"/>
          <w:szCs w:val="20"/>
        </w:rPr>
        <w:t>.</w:t>
      </w:r>
    </w:p>
    <w:p w:rsidR="006669CF" w:rsidRDefault="006669CF" w:rsidP="006669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1964" w:rsidRDefault="00431964" w:rsidP="009F1D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Ordre des documents selon la liste ci-dessous</w:t>
      </w:r>
      <w:r w:rsidR="00854268" w:rsidRPr="00854268">
        <w:rPr>
          <w:rFonts w:ascii="Arial" w:hAnsi="Arial" w:cs="Arial"/>
          <w:sz w:val="20"/>
          <w:szCs w:val="20"/>
          <w:u w:val="single"/>
        </w:rPr>
        <w:t xml:space="preserve"> (</w:t>
      </w:r>
      <w:r w:rsidR="00854268" w:rsidRPr="000D2307">
        <w:rPr>
          <w:rFonts w:ascii="Arial" w:hAnsi="Arial" w:cs="Arial"/>
          <w:b/>
          <w:sz w:val="20"/>
          <w:szCs w:val="20"/>
          <w:u w:val="single"/>
        </w:rPr>
        <w:t>non-</w:t>
      </w:r>
      <w:r w:rsidRPr="000D2307">
        <w:rPr>
          <w:rFonts w:ascii="Arial" w:hAnsi="Arial" w:cs="Arial"/>
          <w:b/>
          <w:sz w:val="20"/>
          <w:szCs w:val="20"/>
          <w:u w:val="single"/>
        </w:rPr>
        <w:t>exhaustive</w:t>
      </w:r>
      <w:r w:rsidRPr="00854268">
        <w:rPr>
          <w:rFonts w:ascii="Arial" w:hAnsi="Arial" w:cs="Arial"/>
          <w:sz w:val="20"/>
          <w:szCs w:val="20"/>
          <w:u w:val="single"/>
        </w:rPr>
        <w:t>)</w:t>
      </w:r>
    </w:p>
    <w:p w:rsidR="00431964" w:rsidRDefault="00431964" w:rsidP="009F1D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2EF" w:rsidRDefault="00E242EF" w:rsidP="009F1D5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Fiches de requête pour le suivi administratif de la demande (</w:t>
      </w:r>
      <w:r w:rsidRPr="000D2307">
        <w:rPr>
          <w:rFonts w:ascii="Arial" w:hAnsi="Arial" w:cs="Arial"/>
          <w:sz w:val="18"/>
          <w:szCs w:val="18"/>
        </w:rPr>
        <w:t>à agrafer</w:t>
      </w:r>
      <w:r>
        <w:rPr>
          <w:rFonts w:ascii="Arial" w:hAnsi="Arial" w:cs="Arial"/>
          <w:sz w:val="20"/>
          <w:szCs w:val="20"/>
        </w:rPr>
        <w:t>)</w:t>
      </w:r>
    </w:p>
    <w:p w:rsidR="00C32CC2" w:rsidRPr="00580DC0" w:rsidRDefault="00C32CC2" w:rsidP="00C32C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6352C" w:rsidRDefault="00AC00AE" w:rsidP="009F1D5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Préavis communal établi par la commune</w:t>
      </w:r>
    </w:p>
    <w:p w:rsidR="0022087F" w:rsidRPr="0022087F" w:rsidRDefault="0022087F" w:rsidP="0022087F">
      <w:pPr>
        <w:pStyle w:val="Paragraphedeliste"/>
        <w:ind w:left="0"/>
        <w:rPr>
          <w:rFonts w:ascii="Arial" w:hAnsi="Arial" w:cs="Arial"/>
          <w:sz w:val="16"/>
          <w:szCs w:val="16"/>
        </w:rPr>
      </w:pPr>
    </w:p>
    <w:p w:rsidR="0022087F" w:rsidRDefault="0022087F" w:rsidP="009F1D5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Conventions de reports d’indices</w:t>
      </w:r>
    </w:p>
    <w:p w:rsidR="0022087F" w:rsidRPr="0022087F" w:rsidRDefault="0022087F" w:rsidP="0022087F">
      <w:pPr>
        <w:pStyle w:val="Paragraphedeliste"/>
        <w:ind w:left="0"/>
        <w:rPr>
          <w:rFonts w:ascii="Arial" w:hAnsi="Arial" w:cs="Arial"/>
          <w:sz w:val="16"/>
          <w:szCs w:val="16"/>
        </w:rPr>
      </w:pPr>
    </w:p>
    <w:p w:rsidR="0022087F" w:rsidRDefault="0022087F" w:rsidP="009F1D5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087F">
        <w:rPr>
          <w:rFonts w:ascii="Arial" w:hAnsi="Arial" w:cs="Arial"/>
          <w:sz w:val="20"/>
          <w:szCs w:val="20"/>
        </w:rPr>
        <w:t>Conventions de dérogation aux prescriptions sur les limites de fonds</w:t>
      </w:r>
    </w:p>
    <w:p w:rsidR="0022087F" w:rsidRPr="0022087F" w:rsidRDefault="0022087F" w:rsidP="0022087F">
      <w:pPr>
        <w:pStyle w:val="Paragraphedeliste"/>
        <w:ind w:left="0"/>
        <w:rPr>
          <w:rFonts w:ascii="Arial" w:hAnsi="Arial" w:cs="Arial"/>
          <w:sz w:val="16"/>
          <w:szCs w:val="16"/>
        </w:rPr>
      </w:pPr>
    </w:p>
    <w:p w:rsidR="0022087F" w:rsidRDefault="0022087F" w:rsidP="000D6484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Demandes de dérogation</w:t>
      </w:r>
    </w:p>
    <w:p w:rsidR="000D6484" w:rsidRPr="006669CF" w:rsidRDefault="000D6484" w:rsidP="000D648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2087F" w:rsidRPr="0022087F" w:rsidRDefault="0022087F" w:rsidP="009F1D5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Oppositions, </w:t>
      </w:r>
      <w:r w:rsidRPr="0022087F">
        <w:rPr>
          <w:rFonts w:ascii="Arial" w:hAnsi="Arial" w:cs="Arial"/>
          <w:sz w:val="20"/>
          <w:szCs w:val="20"/>
        </w:rPr>
        <w:t xml:space="preserve">retraits d’oppositions, déterminations, </w:t>
      </w:r>
      <w:r w:rsidR="00D27DE6">
        <w:rPr>
          <w:rFonts w:ascii="Arial" w:hAnsi="Arial" w:cs="Arial"/>
          <w:sz w:val="20"/>
          <w:szCs w:val="20"/>
        </w:rPr>
        <w:t xml:space="preserve">séance de conciliation, </w:t>
      </w:r>
      <w:r w:rsidR="000D2307" w:rsidRPr="0022087F">
        <w:rPr>
          <w:rFonts w:ascii="Arial" w:hAnsi="Arial" w:cs="Arial"/>
          <w:sz w:val="20"/>
          <w:szCs w:val="20"/>
        </w:rPr>
        <w:t>etc.</w:t>
      </w:r>
      <w:r w:rsidRPr="0022087F">
        <w:rPr>
          <w:rFonts w:ascii="Arial" w:hAnsi="Arial" w:cs="Arial"/>
          <w:sz w:val="20"/>
          <w:szCs w:val="20"/>
        </w:rPr>
        <w:t xml:space="preserve"> (</w:t>
      </w:r>
      <w:r w:rsidRPr="000D2307">
        <w:rPr>
          <w:rFonts w:ascii="Arial" w:hAnsi="Arial" w:cs="Arial"/>
          <w:sz w:val="18"/>
          <w:szCs w:val="18"/>
        </w:rPr>
        <w:t>à agrafer</w:t>
      </w:r>
      <w:r w:rsidR="00D650AB" w:rsidRPr="000D2307">
        <w:rPr>
          <w:rFonts w:ascii="Arial" w:hAnsi="Arial" w:cs="Arial"/>
          <w:sz w:val="18"/>
          <w:szCs w:val="18"/>
        </w:rPr>
        <w:t xml:space="preserve"> par thème</w:t>
      </w:r>
      <w:r>
        <w:rPr>
          <w:rFonts w:ascii="Arial" w:hAnsi="Arial" w:cs="Arial"/>
          <w:sz w:val="20"/>
          <w:szCs w:val="20"/>
        </w:rPr>
        <w:t>)</w:t>
      </w:r>
    </w:p>
    <w:p w:rsidR="00C32CC2" w:rsidRPr="00580DC0" w:rsidRDefault="00C32CC2" w:rsidP="00C32C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2443D" w:rsidRDefault="00406553" w:rsidP="009F1D5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de garde</w:t>
      </w:r>
      <w:r w:rsidR="00E96FC1">
        <w:rPr>
          <w:rFonts w:ascii="Arial" w:hAnsi="Arial" w:cs="Arial"/>
          <w:sz w:val="20"/>
          <w:szCs w:val="20"/>
        </w:rPr>
        <w:t xml:space="preserve"> et</w:t>
      </w:r>
      <w:r>
        <w:rPr>
          <w:rFonts w:ascii="Arial" w:hAnsi="Arial" w:cs="Arial"/>
          <w:sz w:val="20"/>
          <w:szCs w:val="20"/>
        </w:rPr>
        <w:t xml:space="preserve"> formulaires spécifiques A à O </w:t>
      </w:r>
      <w:r w:rsidR="00E96FC1">
        <w:rPr>
          <w:rFonts w:ascii="Arial" w:hAnsi="Arial" w:cs="Arial"/>
          <w:sz w:val="20"/>
          <w:szCs w:val="20"/>
        </w:rPr>
        <w:t>avec leurs annexes (</w:t>
      </w:r>
      <w:r w:rsidR="00E96FC1" w:rsidRPr="000D2307">
        <w:rPr>
          <w:rFonts w:ascii="Arial" w:hAnsi="Arial" w:cs="Arial"/>
          <w:sz w:val="18"/>
          <w:szCs w:val="18"/>
        </w:rPr>
        <w:t xml:space="preserve">à </w:t>
      </w:r>
      <w:r w:rsidR="00854268" w:rsidRPr="000D2307">
        <w:rPr>
          <w:rFonts w:ascii="Arial" w:hAnsi="Arial" w:cs="Arial"/>
          <w:sz w:val="18"/>
          <w:szCs w:val="18"/>
        </w:rPr>
        <w:t>agrafer</w:t>
      </w:r>
      <w:r w:rsidR="00D650AB" w:rsidRPr="000D2307">
        <w:rPr>
          <w:rFonts w:ascii="Arial" w:hAnsi="Arial" w:cs="Arial"/>
          <w:sz w:val="18"/>
          <w:szCs w:val="18"/>
        </w:rPr>
        <w:t xml:space="preserve"> par ordre alphabétique</w:t>
      </w:r>
      <w:r w:rsidR="008E22B8">
        <w:rPr>
          <w:rFonts w:ascii="Arial" w:hAnsi="Arial" w:cs="Arial"/>
          <w:sz w:val="20"/>
          <w:szCs w:val="20"/>
        </w:rPr>
        <w:t>)</w:t>
      </w:r>
    </w:p>
    <w:p w:rsidR="008E22B8" w:rsidRPr="008E22B8" w:rsidRDefault="008E22B8" w:rsidP="008E22B8">
      <w:pPr>
        <w:pStyle w:val="Paragraphedeliste"/>
        <w:ind w:left="0"/>
        <w:rPr>
          <w:rFonts w:ascii="Arial" w:hAnsi="Arial" w:cs="Arial"/>
          <w:sz w:val="16"/>
          <w:szCs w:val="16"/>
        </w:rPr>
      </w:pPr>
    </w:p>
    <w:p w:rsidR="008E22B8" w:rsidRDefault="008E22B8" w:rsidP="009F1D5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8E22B8">
        <w:rPr>
          <w:rFonts w:ascii="Arial" w:hAnsi="Arial" w:cs="Arial"/>
          <w:sz w:val="20"/>
          <w:szCs w:val="20"/>
        </w:rPr>
        <w:t xml:space="preserve">ormulaires spécifiques sur l’énergie EN à EN11 avec leurs annexes, schémas, données techniques, etc. </w:t>
      </w:r>
      <w:r w:rsidRPr="00BC73AB">
        <w:rPr>
          <w:rFonts w:ascii="Arial" w:hAnsi="Arial" w:cs="Arial"/>
          <w:sz w:val="18"/>
          <w:szCs w:val="18"/>
        </w:rPr>
        <w:t>(à</w:t>
      </w:r>
      <w:r w:rsidR="00581E2A" w:rsidRPr="00BC73AB">
        <w:rPr>
          <w:rFonts w:ascii="Arial" w:hAnsi="Arial" w:cs="Arial"/>
          <w:sz w:val="18"/>
          <w:szCs w:val="18"/>
        </w:rPr>
        <w:t xml:space="preserve"> agrafer</w:t>
      </w:r>
      <w:r w:rsidRPr="00BC73AB">
        <w:rPr>
          <w:rFonts w:ascii="Arial" w:hAnsi="Arial" w:cs="Arial"/>
          <w:sz w:val="18"/>
          <w:szCs w:val="18"/>
        </w:rPr>
        <w:t xml:space="preserve"> </w:t>
      </w:r>
      <w:r w:rsidR="00581E2A" w:rsidRPr="00BC73AB">
        <w:rPr>
          <w:rFonts w:ascii="Arial" w:hAnsi="Arial" w:cs="Arial"/>
          <w:sz w:val="18"/>
          <w:szCs w:val="18"/>
        </w:rPr>
        <w:t>par ordre croissant</w:t>
      </w:r>
      <w:r w:rsidRPr="00BC73AB">
        <w:rPr>
          <w:rFonts w:ascii="Arial" w:hAnsi="Arial" w:cs="Arial"/>
          <w:sz w:val="18"/>
          <w:szCs w:val="18"/>
        </w:rPr>
        <w:t>)</w:t>
      </w:r>
    </w:p>
    <w:p w:rsidR="008E22B8" w:rsidRPr="008E22B8" w:rsidRDefault="008E22B8" w:rsidP="008E22B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C1D4A" w:rsidRDefault="00E62FD3" w:rsidP="009F1D5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Divers rapports, expertises, études, dossiers techniques, photos</w:t>
      </w:r>
      <w:r w:rsidR="00797CA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etc</w:t>
      </w:r>
      <w:r w:rsidR="0004779E">
        <w:rPr>
          <w:rFonts w:ascii="Arial" w:hAnsi="Arial" w:cs="Arial"/>
          <w:sz w:val="20"/>
          <w:szCs w:val="20"/>
        </w:rPr>
        <w:t>.</w:t>
      </w:r>
      <w:r w:rsidR="00581E2A" w:rsidRPr="00581E2A">
        <w:rPr>
          <w:rFonts w:ascii="Arial" w:hAnsi="Arial" w:cs="Arial"/>
          <w:sz w:val="20"/>
          <w:szCs w:val="20"/>
        </w:rPr>
        <w:t xml:space="preserve"> </w:t>
      </w:r>
      <w:r w:rsidR="00581E2A" w:rsidRPr="0022087F">
        <w:rPr>
          <w:rFonts w:ascii="Arial" w:hAnsi="Arial" w:cs="Arial"/>
          <w:sz w:val="20"/>
          <w:szCs w:val="20"/>
        </w:rPr>
        <w:t>(</w:t>
      </w:r>
      <w:r w:rsidR="00581E2A" w:rsidRPr="000D2307">
        <w:rPr>
          <w:rFonts w:ascii="Arial" w:hAnsi="Arial" w:cs="Arial"/>
          <w:sz w:val="18"/>
          <w:szCs w:val="18"/>
        </w:rPr>
        <w:t>à agrafer par thème</w:t>
      </w:r>
      <w:r w:rsidR="00581E2A">
        <w:rPr>
          <w:rFonts w:ascii="Arial" w:hAnsi="Arial" w:cs="Arial"/>
          <w:sz w:val="20"/>
          <w:szCs w:val="20"/>
        </w:rPr>
        <w:t>)</w:t>
      </w:r>
    </w:p>
    <w:p w:rsidR="00CC4226" w:rsidRPr="00CC4226" w:rsidRDefault="00CC4226" w:rsidP="00CC4226">
      <w:pPr>
        <w:pStyle w:val="Paragraphedeliste"/>
        <w:ind w:left="0"/>
        <w:rPr>
          <w:rFonts w:ascii="Arial" w:hAnsi="Arial" w:cs="Arial"/>
          <w:sz w:val="16"/>
          <w:szCs w:val="16"/>
        </w:rPr>
      </w:pPr>
    </w:p>
    <w:p w:rsidR="00CC4226" w:rsidRDefault="00CC4226" w:rsidP="00CC4226">
      <w:pPr>
        <w:pStyle w:val="Paragraphedeliste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Feuilles de calcul pour les places de stationnement</w:t>
      </w:r>
      <w:r w:rsidR="006B692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y compris les éventuelles annexes</w:t>
      </w:r>
      <w:r w:rsidR="00581E2A">
        <w:rPr>
          <w:rFonts w:ascii="Arial" w:hAnsi="Arial" w:cs="Arial"/>
          <w:sz w:val="20"/>
          <w:szCs w:val="20"/>
        </w:rPr>
        <w:t xml:space="preserve"> (</w:t>
      </w:r>
      <w:r w:rsidR="00581E2A" w:rsidRPr="000D2307">
        <w:rPr>
          <w:rFonts w:ascii="Arial" w:hAnsi="Arial" w:cs="Arial"/>
          <w:sz w:val="18"/>
          <w:szCs w:val="18"/>
        </w:rPr>
        <w:t>à agrafer</w:t>
      </w:r>
      <w:r w:rsidR="00581E2A">
        <w:rPr>
          <w:rFonts w:ascii="Arial" w:hAnsi="Arial" w:cs="Arial"/>
          <w:sz w:val="20"/>
          <w:szCs w:val="20"/>
        </w:rPr>
        <w:t>)</w:t>
      </w:r>
    </w:p>
    <w:p w:rsidR="00117383" w:rsidRPr="00117383" w:rsidRDefault="00117383" w:rsidP="00117383">
      <w:pPr>
        <w:pStyle w:val="Paragraphedeliste"/>
        <w:ind w:left="0"/>
        <w:rPr>
          <w:rFonts w:ascii="Arial" w:hAnsi="Arial" w:cs="Arial"/>
          <w:sz w:val="16"/>
          <w:szCs w:val="16"/>
        </w:rPr>
      </w:pPr>
    </w:p>
    <w:p w:rsidR="00117383" w:rsidRDefault="00117383" w:rsidP="00CC4226">
      <w:pPr>
        <w:pStyle w:val="Paragraphedeliste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Feuilles de calcul du ruissellement et les annexes – plans, schémas</w:t>
      </w:r>
      <w:r w:rsidR="00FF09B6">
        <w:rPr>
          <w:rFonts w:ascii="Arial" w:hAnsi="Arial" w:cs="Arial"/>
          <w:sz w:val="20"/>
          <w:szCs w:val="20"/>
        </w:rPr>
        <w:t>, etc.</w:t>
      </w:r>
      <w:r>
        <w:rPr>
          <w:rFonts w:ascii="Arial" w:hAnsi="Arial" w:cs="Arial"/>
          <w:sz w:val="20"/>
          <w:szCs w:val="20"/>
        </w:rPr>
        <w:t xml:space="preserve"> (</w:t>
      </w:r>
      <w:r w:rsidR="00581E2A" w:rsidRPr="000D2307">
        <w:rPr>
          <w:rFonts w:ascii="Arial" w:hAnsi="Arial" w:cs="Arial"/>
          <w:sz w:val="18"/>
          <w:szCs w:val="18"/>
        </w:rPr>
        <w:t>à agrafer</w:t>
      </w:r>
      <w:r>
        <w:rPr>
          <w:rFonts w:ascii="Arial" w:hAnsi="Arial" w:cs="Arial"/>
          <w:sz w:val="20"/>
          <w:szCs w:val="20"/>
        </w:rPr>
        <w:t>)</w:t>
      </w:r>
    </w:p>
    <w:p w:rsidR="00FF09B6" w:rsidRPr="00FF09B6" w:rsidRDefault="00FF09B6" w:rsidP="00FF09B6">
      <w:pPr>
        <w:pStyle w:val="Paragraphedeliste"/>
        <w:ind w:left="0"/>
        <w:rPr>
          <w:rFonts w:ascii="Arial" w:hAnsi="Arial" w:cs="Arial"/>
          <w:sz w:val="16"/>
          <w:szCs w:val="16"/>
        </w:rPr>
      </w:pPr>
    </w:p>
    <w:p w:rsidR="00FF09B6" w:rsidRDefault="00FF09B6" w:rsidP="00CC4226">
      <w:pPr>
        <w:pStyle w:val="Paragraphedeliste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Feuilles de calcul</w:t>
      </w:r>
      <w:r w:rsidR="00BC73A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accompagné</w:t>
      </w:r>
      <w:r w:rsidR="003F29A9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des schémas</w:t>
      </w:r>
      <w:r w:rsidR="00BC73A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des indices </w:t>
      </w:r>
      <w:r w:rsidRPr="00381272">
        <w:rPr>
          <w:rFonts w:ascii="Arial" w:hAnsi="Arial" w:cs="Arial"/>
          <w:sz w:val="20"/>
          <w:szCs w:val="20"/>
        </w:rPr>
        <w:t>brut</w:t>
      </w:r>
      <w:r>
        <w:rPr>
          <w:rFonts w:ascii="Arial" w:hAnsi="Arial" w:cs="Arial"/>
          <w:sz w:val="20"/>
          <w:szCs w:val="20"/>
        </w:rPr>
        <w:t>s d’utilisation du sol (IBUS</w:t>
      </w:r>
      <w:r w:rsidR="00BC73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381272">
        <w:rPr>
          <w:rFonts w:ascii="Arial" w:hAnsi="Arial" w:cs="Arial"/>
          <w:sz w:val="20"/>
          <w:szCs w:val="20"/>
        </w:rPr>
        <w:t>d’occupation du sol (IOS)</w:t>
      </w:r>
      <w:r>
        <w:rPr>
          <w:rFonts w:ascii="Arial" w:hAnsi="Arial" w:cs="Arial"/>
          <w:sz w:val="20"/>
          <w:szCs w:val="20"/>
        </w:rPr>
        <w:t xml:space="preserve">, </w:t>
      </w:r>
      <w:r w:rsidR="005A1D89">
        <w:rPr>
          <w:rFonts w:ascii="Arial" w:hAnsi="Arial" w:cs="Arial"/>
          <w:sz w:val="20"/>
          <w:szCs w:val="20"/>
        </w:rPr>
        <w:t xml:space="preserve">de surface </w:t>
      </w:r>
      <w:r w:rsidRPr="00381272">
        <w:rPr>
          <w:rFonts w:ascii="Arial" w:hAnsi="Arial" w:cs="Arial"/>
          <w:sz w:val="20"/>
          <w:szCs w:val="20"/>
        </w:rPr>
        <w:t>vert</w:t>
      </w:r>
      <w:r>
        <w:rPr>
          <w:rFonts w:ascii="Arial" w:hAnsi="Arial" w:cs="Arial"/>
          <w:sz w:val="20"/>
          <w:szCs w:val="20"/>
        </w:rPr>
        <w:t xml:space="preserve">e </w:t>
      </w:r>
      <w:r w:rsidRPr="007A71AF">
        <w:rPr>
          <w:rFonts w:ascii="Arial" w:hAnsi="Arial" w:cs="Arial"/>
          <w:sz w:val="20"/>
          <w:szCs w:val="20"/>
        </w:rPr>
        <w:t>(Iver)</w:t>
      </w:r>
      <w:r>
        <w:rPr>
          <w:rFonts w:ascii="Arial" w:hAnsi="Arial" w:cs="Arial"/>
          <w:sz w:val="20"/>
          <w:szCs w:val="20"/>
        </w:rPr>
        <w:t xml:space="preserve">, </w:t>
      </w:r>
      <w:r w:rsidRPr="00381272">
        <w:rPr>
          <w:rFonts w:ascii="Arial" w:hAnsi="Arial" w:cs="Arial"/>
          <w:sz w:val="20"/>
          <w:szCs w:val="20"/>
        </w:rPr>
        <w:t>de ma</w:t>
      </w:r>
      <w:r>
        <w:rPr>
          <w:rFonts w:ascii="Arial" w:hAnsi="Arial" w:cs="Arial"/>
          <w:sz w:val="20"/>
          <w:szCs w:val="20"/>
        </w:rPr>
        <w:t>s</w:t>
      </w:r>
      <w:r w:rsidRPr="00381272">
        <w:rPr>
          <w:rFonts w:ascii="Arial" w:hAnsi="Arial" w:cs="Arial"/>
          <w:sz w:val="20"/>
          <w:szCs w:val="20"/>
        </w:rPr>
        <w:t>se (IM)</w:t>
      </w:r>
      <w:r>
        <w:rPr>
          <w:rFonts w:ascii="Arial" w:hAnsi="Arial" w:cs="Arial"/>
          <w:sz w:val="20"/>
          <w:szCs w:val="20"/>
        </w:rPr>
        <w:t xml:space="preserve"> </w:t>
      </w:r>
      <w:r w:rsidR="00BC73AB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 xml:space="preserve"> du cube SIA </w:t>
      </w:r>
      <w:r w:rsidRPr="00381272">
        <w:rPr>
          <w:rFonts w:ascii="Arial" w:hAnsi="Arial" w:cs="Arial"/>
          <w:sz w:val="20"/>
          <w:szCs w:val="20"/>
        </w:rPr>
        <w:t>(</w:t>
      </w:r>
      <w:r w:rsidRPr="000D2307">
        <w:rPr>
          <w:rFonts w:ascii="Arial" w:hAnsi="Arial" w:cs="Arial"/>
          <w:sz w:val="18"/>
          <w:szCs w:val="18"/>
        </w:rPr>
        <w:t>à agrafer</w:t>
      </w:r>
      <w:r>
        <w:rPr>
          <w:rFonts w:ascii="Arial" w:hAnsi="Arial" w:cs="Arial"/>
          <w:sz w:val="20"/>
          <w:szCs w:val="20"/>
        </w:rPr>
        <w:t>)</w:t>
      </w:r>
    </w:p>
    <w:p w:rsidR="00BD25A0" w:rsidRPr="00BD25A0" w:rsidRDefault="00BD25A0" w:rsidP="00BD25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4ED2" w:rsidRPr="007A71AF" w:rsidRDefault="00062E17" w:rsidP="00E07F13">
      <w:pPr>
        <w:pStyle w:val="Paragraphedeliste"/>
        <w:numPr>
          <w:ilvl w:val="0"/>
          <w:numId w:val="1"/>
        </w:numPr>
        <w:spacing w:after="0" w:line="240" w:lineRule="auto"/>
        <w:ind w:left="709" w:hanging="357"/>
        <w:rPr>
          <w:rFonts w:ascii="Arial" w:hAnsi="Arial" w:cs="Arial"/>
          <w:sz w:val="20"/>
          <w:szCs w:val="20"/>
        </w:rPr>
      </w:pPr>
      <w:r w:rsidRPr="00C911BC">
        <w:rPr>
          <w:rFonts w:ascii="Arial" w:hAnsi="Arial" w:cs="Arial"/>
          <w:sz w:val="20"/>
          <w:szCs w:val="20"/>
        </w:rPr>
        <w:t>Le plan de situation du</w:t>
      </w:r>
      <w:r w:rsidR="00F208DA" w:rsidRPr="00C911BC">
        <w:rPr>
          <w:rFonts w:ascii="Arial" w:hAnsi="Arial" w:cs="Arial"/>
          <w:sz w:val="20"/>
          <w:szCs w:val="20"/>
        </w:rPr>
        <w:t>/de la</w:t>
      </w:r>
      <w:r w:rsidRPr="00C911BC">
        <w:rPr>
          <w:rFonts w:ascii="Arial" w:hAnsi="Arial" w:cs="Arial"/>
          <w:sz w:val="20"/>
          <w:szCs w:val="20"/>
        </w:rPr>
        <w:t xml:space="preserve"> géomètre</w:t>
      </w:r>
      <w:r w:rsidR="00F208DA" w:rsidRPr="00C911BC">
        <w:rPr>
          <w:rFonts w:ascii="Arial" w:hAnsi="Arial" w:cs="Arial"/>
          <w:sz w:val="20"/>
          <w:szCs w:val="20"/>
        </w:rPr>
        <w:t>-e</w:t>
      </w:r>
      <w:r w:rsidRPr="00C911BC">
        <w:rPr>
          <w:rFonts w:ascii="Arial" w:hAnsi="Arial" w:cs="Arial"/>
          <w:sz w:val="20"/>
          <w:szCs w:val="20"/>
        </w:rPr>
        <w:t xml:space="preserve"> </w:t>
      </w:r>
      <w:r w:rsidR="00BD400D">
        <w:rPr>
          <w:rFonts w:ascii="Arial" w:hAnsi="Arial" w:cs="Arial"/>
          <w:sz w:val="20"/>
          <w:szCs w:val="20"/>
        </w:rPr>
        <w:t>ainsi que</w:t>
      </w:r>
      <w:r w:rsidRPr="00C911BC">
        <w:rPr>
          <w:rFonts w:ascii="Arial" w:hAnsi="Arial" w:cs="Arial"/>
          <w:sz w:val="20"/>
          <w:szCs w:val="20"/>
        </w:rPr>
        <w:t xml:space="preserve"> tous les plans nécessaire</w:t>
      </w:r>
      <w:r w:rsidR="00F668F9" w:rsidRPr="00C911BC">
        <w:rPr>
          <w:rFonts w:ascii="Arial" w:hAnsi="Arial" w:cs="Arial"/>
          <w:sz w:val="20"/>
          <w:szCs w:val="20"/>
        </w:rPr>
        <w:t>s</w:t>
      </w:r>
      <w:r w:rsidRPr="00C911BC">
        <w:rPr>
          <w:rFonts w:ascii="Arial" w:hAnsi="Arial" w:cs="Arial"/>
          <w:sz w:val="20"/>
          <w:szCs w:val="20"/>
        </w:rPr>
        <w:t xml:space="preserve"> à la bonne compréhension du projet</w:t>
      </w:r>
    </w:p>
    <w:p w:rsidR="006669CF" w:rsidRDefault="006669CF" w:rsidP="006669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69CF" w:rsidRDefault="006669CF" w:rsidP="006669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69CF" w:rsidRDefault="006669CF" w:rsidP="006669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04BC" w:rsidRDefault="005204BC" w:rsidP="006669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2E17" w:rsidRDefault="00BD25A0" w:rsidP="006669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62E17">
        <w:rPr>
          <w:rFonts w:ascii="Arial" w:hAnsi="Arial" w:cs="Arial"/>
          <w:sz w:val="20"/>
          <w:szCs w:val="20"/>
        </w:rPr>
        <w:t xml:space="preserve">erci </w:t>
      </w:r>
      <w:r w:rsidR="00F668F9">
        <w:rPr>
          <w:rFonts w:ascii="Arial" w:hAnsi="Arial" w:cs="Arial"/>
          <w:sz w:val="20"/>
          <w:szCs w:val="20"/>
        </w:rPr>
        <w:t>de votre</w:t>
      </w:r>
      <w:r w:rsidR="00062E17">
        <w:rPr>
          <w:rFonts w:ascii="Arial" w:hAnsi="Arial" w:cs="Arial"/>
          <w:sz w:val="20"/>
          <w:szCs w:val="20"/>
        </w:rPr>
        <w:t xml:space="preserve"> </w:t>
      </w:r>
      <w:r w:rsidR="002E6D97">
        <w:rPr>
          <w:rFonts w:ascii="Arial" w:hAnsi="Arial" w:cs="Arial"/>
          <w:sz w:val="20"/>
          <w:szCs w:val="20"/>
        </w:rPr>
        <w:t>collaboration</w:t>
      </w:r>
      <w:r w:rsidR="00BC26E5">
        <w:rPr>
          <w:rFonts w:ascii="Arial" w:hAnsi="Arial" w:cs="Arial"/>
          <w:sz w:val="20"/>
          <w:szCs w:val="20"/>
        </w:rPr>
        <w:t>.</w:t>
      </w:r>
    </w:p>
    <w:p w:rsidR="006669CF" w:rsidRDefault="006669CF" w:rsidP="00062E1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4ED2" w:rsidRPr="00A14ED2" w:rsidRDefault="00A14ED2" w:rsidP="00062E1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14ED2">
        <w:rPr>
          <w:rFonts w:ascii="Arial" w:hAnsi="Arial" w:cs="Arial"/>
          <w:sz w:val="16"/>
          <w:szCs w:val="16"/>
        </w:rPr>
        <w:t>SeCA/</w:t>
      </w:r>
      <w:r w:rsidR="00F37D02">
        <w:rPr>
          <w:rFonts w:ascii="Arial" w:hAnsi="Arial" w:cs="Arial"/>
          <w:sz w:val="16"/>
          <w:szCs w:val="16"/>
        </w:rPr>
        <w:t>septembre</w:t>
      </w:r>
      <w:r w:rsidR="00DC6966">
        <w:rPr>
          <w:rFonts w:ascii="Arial" w:hAnsi="Arial" w:cs="Arial"/>
          <w:sz w:val="16"/>
          <w:szCs w:val="16"/>
        </w:rPr>
        <w:t xml:space="preserve"> 2017</w:t>
      </w:r>
    </w:p>
    <w:sectPr w:rsidR="00A14ED2" w:rsidRPr="00A14ED2" w:rsidSect="003D5C1A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633"/>
    <w:multiLevelType w:val="hybridMultilevel"/>
    <w:tmpl w:val="987AEFE4"/>
    <w:lvl w:ilvl="0" w:tplc="58B475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01"/>
    <w:rsid w:val="000007BD"/>
    <w:rsid w:val="00020237"/>
    <w:rsid w:val="000418BC"/>
    <w:rsid w:val="0004779E"/>
    <w:rsid w:val="00062E17"/>
    <w:rsid w:val="00070151"/>
    <w:rsid w:val="000743A4"/>
    <w:rsid w:val="00076D98"/>
    <w:rsid w:val="00084C86"/>
    <w:rsid w:val="000A2A19"/>
    <w:rsid w:val="000B7DFA"/>
    <w:rsid w:val="000D2307"/>
    <w:rsid w:val="000D6484"/>
    <w:rsid w:val="00117383"/>
    <w:rsid w:val="00121B8F"/>
    <w:rsid w:val="0015054E"/>
    <w:rsid w:val="00152694"/>
    <w:rsid w:val="001629D3"/>
    <w:rsid w:val="00174B45"/>
    <w:rsid w:val="00184D77"/>
    <w:rsid w:val="00196085"/>
    <w:rsid w:val="001B17DE"/>
    <w:rsid w:val="001B1E6B"/>
    <w:rsid w:val="001C27C2"/>
    <w:rsid w:val="0022087F"/>
    <w:rsid w:val="00231148"/>
    <w:rsid w:val="00254069"/>
    <w:rsid w:val="0026231E"/>
    <w:rsid w:val="002648B3"/>
    <w:rsid w:val="002914B8"/>
    <w:rsid w:val="00297D48"/>
    <w:rsid w:val="002B2C67"/>
    <w:rsid w:val="002B61B3"/>
    <w:rsid w:val="002C14CB"/>
    <w:rsid w:val="002C739C"/>
    <w:rsid w:val="002E6D97"/>
    <w:rsid w:val="00331A9A"/>
    <w:rsid w:val="0033798B"/>
    <w:rsid w:val="003741E9"/>
    <w:rsid w:val="00376539"/>
    <w:rsid w:val="00381272"/>
    <w:rsid w:val="00392FD8"/>
    <w:rsid w:val="003B3DD3"/>
    <w:rsid w:val="003C01CE"/>
    <w:rsid w:val="003C04B8"/>
    <w:rsid w:val="003C0D40"/>
    <w:rsid w:val="003D5C1A"/>
    <w:rsid w:val="003F29A9"/>
    <w:rsid w:val="003F60D5"/>
    <w:rsid w:val="003F6BEA"/>
    <w:rsid w:val="00406553"/>
    <w:rsid w:val="00431964"/>
    <w:rsid w:val="0044716E"/>
    <w:rsid w:val="00460ADD"/>
    <w:rsid w:val="004A4457"/>
    <w:rsid w:val="004E4C97"/>
    <w:rsid w:val="004F26FB"/>
    <w:rsid w:val="00514CBC"/>
    <w:rsid w:val="005204BC"/>
    <w:rsid w:val="0052238D"/>
    <w:rsid w:val="005439F4"/>
    <w:rsid w:val="005641F8"/>
    <w:rsid w:val="00566794"/>
    <w:rsid w:val="00580659"/>
    <w:rsid w:val="00580DC0"/>
    <w:rsid w:val="00581E2A"/>
    <w:rsid w:val="005A1D89"/>
    <w:rsid w:val="005A1F6C"/>
    <w:rsid w:val="005D1D10"/>
    <w:rsid w:val="005D34E0"/>
    <w:rsid w:val="005D35AD"/>
    <w:rsid w:val="00603EDB"/>
    <w:rsid w:val="00604625"/>
    <w:rsid w:val="00624F03"/>
    <w:rsid w:val="006476D0"/>
    <w:rsid w:val="006669CF"/>
    <w:rsid w:val="0066733C"/>
    <w:rsid w:val="006733A4"/>
    <w:rsid w:val="006A01C8"/>
    <w:rsid w:val="006B6926"/>
    <w:rsid w:val="006C527E"/>
    <w:rsid w:val="006E44C4"/>
    <w:rsid w:val="0072443D"/>
    <w:rsid w:val="0073005D"/>
    <w:rsid w:val="00760A19"/>
    <w:rsid w:val="00775CB0"/>
    <w:rsid w:val="00783170"/>
    <w:rsid w:val="00794C57"/>
    <w:rsid w:val="00797CAF"/>
    <w:rsid w:val="007A0797"/>
    <w:rsid w:val="007A71AF"/>
    <w:rsid w:val="007B1A4A"/>
    <w:rsid w:val="007B6005"/>
    <w:rsid w:val="007D2329"/>
    <w:rsid w:val="007F70DD"/>
    <w:rsid w:val="008260AF"/>
    <w:rsid w:val="00831706"/>
    <w:rsid w:val="00854268"/>
    <w:rsid w:val="008659F6"/>
    <w:rsid w:val="00866161"/>
    <w:rsid w:val="0086781E"/>
    <w:rsid w:val="008800F5"/>
    <w:rsid w:val="008C57BA"/>
    <w:rsid w:val="008D645C"/>
    <w:rsid w:val="008E1301"/>
    <w:rsid w:val="008E22B8"/>
    <w:rsid w:val="008F042C"/>
    <w:rsid w:val="009033CC"/>
    <w:rsid w:val="009111FF"/>
    <w:rsid w:val="009140D8"/>
    <w:rsid w:val="00934920"/>
    <w:rsid w:val="00940E72"/>
    <w:rsid w:val="00961380"/>
    <w:rsid w:val="009822D6"/>
    <w:rsid w:val="009A0C08"/>
    <w:rsid w:val="009A304F"/>
    <w:rsid w:val="009E1BAE"/>
    <w:rsid w:val="009F1D56"/>
    <w:rsid w:val="00A14ED2"/>
    <w:rsid w:val="00A16ACE"/>
    <w:rsid w:val="00A24893"/>
    <w:rsid w:val="00A4712D"/>
    <w:rsid w:val="00A47398"/>
    <w:rsid w:val="00A51DB3"/>
    <w:rsid w:val="00A56632"/>
    <w:rsid w:val="00A934A3"/>
    <w:rsid w:val="00AA5EDB"/>
    <w:rsid w:val="00AA798C"/>
    <w:rsid w:val="00AA7C92"/>
    <w:rsid w:val="00AC00AE"/>
    <w:rsid w:val="00AC1D4A"/>
    <w:rsid w:val="00AD07EA"/>
    <w:rsid w:val="00B1097C"/>
    <w:rsid w:val="00B16232"/>
    <w:rsid w:val="00B3735D"/>
    <w:rsid w:val="00B77449"/>
    <w:rsid w:val="00B86E71"/>
    <w:rsid w:val="00BA6E5D"/>
    <w:rsid w:val="00BA74DB"/>
    <w:rsid w:val="00BC041C"/>
    <w:rsid w:val="00BC26E5"/>
    <w:rsid w:val="00BC2857"/>
    <w:rsid w:val="00BC73AB"/>
    <w:rsid w:val="00BD25A0"/>
    <w:rsid w:val="00BD400D"/>
    <w:rsid w:val="00BF7E1A"/>
    <w:rsid w:val="00BF7F5C"/>
    <w:rsid w:val="00C1199A"/>
    <w:rsid w:val="00C32CC2"/>
    <w:rsid w:val="00C42A18"/>
    <w:rsid w:val="00C5209B"/>
    <w:rsid w:val="00C911BC"/>
    <w:rsid w:val="00C926E2"/>
    <w:rsid w:val="00C97903"/>
    <w:rsid w:val="00CA4A13"/>
    <w:rsid w:val="00CA65FF"/>
    <w:rsid w:val="00CC4226"/>
    <w:rsid w:val="00CC59FA"/>
    <w:rsid w:val="00CD1CE3"/>
    <w:rsid w:val="00CD6363"/>
    <w:rsid w:val="00CF4DCA"/>
    <w:rsid w:val="00D00FE5"/>
    <w:rsid w:val="00D26781"/>
    <w:rsid w:val="00D2699E"/>
    <w:rsid w:val="00D27DE6"/>
    <w:rsid w:val="00D360C0"/>
    <w:rsid w:val="00D45170"/>
    <w:rsid w:val="00D53A40"/>
    <w:rsid w:val="00D54BB1"/>
    <w:rsid w:val="00D56D33"/>
    <w:rsid w:val="00D6352C"/>
    <w:rsid w:val="00D650AB"/>
    <w:rsid w:val="00D71967"/>
    <w:rsid w:val="00DA6DF8"/>
    <w:rsid w:val="00DB5855"/>
    <w:rsid w:val="00DC6966"/>
    <w:rsid w:val="00DD13F4"/>
    <w:rsid w:val="00E07F13"/>
    <w:rsid w:val="00E242EF"/>
    <w:rsid w:val="00E412B7"/>
    <w:rsid w:val="00E53400"/>
    <w:rsid w:val="00E550DE"/>
    <w:rsid w:val="00E551A1"/>
    <w:rsid w:val="00E575BC"/>
    <w:rsid w:val="00E62FD3"/>
    <w:rsid w:val="00E96FC1"/>
    <w:rsid w:val="00EB797D"/>
    <w:rsid w:val="00F010D1"/>
    <w:rsid w:val="00F208DA"/>
    <w:rsid w:val="00F37D02"/>
    <w:rsid w:val="00F5203F"/>
    <w:rsid w:val="00F668F9"/>
    <w:rsid w:val="00F8246D"/>
    <w:rsid w:val="00FC2417"/>
    <w:rsid w:val="00FE091B"/>
    <w:rsid w:val="00FF09B6"/>
    <w:rsid w:val="00FF1856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1D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74B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1D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74B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4DE2-BFA5-4120-8B21-7BDE95DB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lorène</dc:creator>
  <cp:lastModifiedBy>Stempfel Frédéric</cp:lastModifiedBy>
  <cp:revision>10</cp:revision>
  <cp:lastPrinted>2017-09-28T08:05:00Z</cp:lastPrinted>
  <dcterms:created xsi:type="dcterms:W3CDTF">2017-09-19T13:20:00Z</dcterms:created>
  <dcterms:modified xsi:type="dcterms:W3CDTF">2017-10-09T16:05:00Z</dcterms:modified>
</cp:coreProperties>
</file>