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333202">
      <w:pPr>
        <w:tabs>
          <w:tab w:val="left" w:pos="6521"/>
        </w:tabs>
        <w:spacing w:after="0" w:line="240" w:lineRule="auto"/>
        <w:rPr>
          <w:rFonts w:eastAsia="Times New Roman" w:cs="Times New Roman"/>
          <w:caps/>
          <w:lang w:val="de-CH" w:eastAsia="en-US"/>
        </w:rPr>
      </w:pPr>
      <w:r w:rsidRPr="00DE74EF">
        <w:rPr>
          <w:rFonts w:eastAsia="Times New Roman" w:cs="Times New Roman"/>
          <w:b/>
          <w:caps/>
          <w:lang w:val="de-CH"/>
        </w:rPr>
        <w:t xml:space="preserve">Reglement über das Gemeindebürgerrecht </w:t>
      </w:r>
      <w:r w:rsidRPr="00DE74EF">
        <w:rPr>
          <w:rFonts w:eastAsia="Times New Roman" w:cs="Times New Roman"/>
          <w:caps/>
          <w:vertAlign w:val="superscript"/>
          <w:lang w:val="de-CH"/>
        </w:rPr>
        <w:footnoteReference w:id="1"/>
      </w:r>
      <w:r w:rsidR="00333202">
        <w:rPr>
          <w:rFonts w:eastAsia="Times New Roman" w:cs="Times New Roman"/>
          <w:b/>
          <w:caps/>
          <w:lang w:val="de-CH"/>
        </w:rPr>
        <w:tab/>
      </w:r>
      <w:r w:rsidRPr="00DE74EF">
        <w:rPr>
          <w:rFonts w:eastAsia="Times New Roman" w:cs="Times New Roman"/>
          <w:caps/>
          <w:lang w:val="de-CH"/>
        </w:rPr>
        <w:t>(Musterreglement)</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i/>
          <w:color w:val="0000FF"/>
          <w:lang w:val="de-CH" w:eastAsia="en-US"/>
        </w:rPr>
      </w:pPr>
      <w:r w:rsidRPr="00DE74EF">
        <w:rPr>
          <w:rFonts w:eastAsia="Times New Roman" w:cs="Times New Roman"/>
          <w:i/>
          <w:lang w:val="de-CH"/>
        </w:rPr>
        <w:t xml:space="preserve">Die Gemeindeversammlung </w:t>
      </w:r>
      <w:r w:rsidRPr="00DE74EF">
        <w:rPr>
          <w:rFonts w:eastAsia="Times New Roman" w:cs="Times New Roman"/>
          <w:i/>
          <w:color w:val="0000FF"/>
          <w:lang w:val="de-CH"/>
        </w:rPr>
        <w:t>(Der Generalrat)</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b/>
          <w:lang w:val="de-CH" w:eastAsia="en-US"/>
        </w:rPr>
      </w:pPr>
      <w:r w:rsidRPr="00DE74EF">
        <w:rPr>
          <w:rFonts w:eastAsia="Times New Roman" w:cs="Times New Roman"/>
          <w:b/>
          <w:lang w:val="de-CH"/>
        </w:rPr>
        <w:t>gestützt auf:</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120" w:line="240" w:lineRule="auto"/>
        <w:jc w:val="both"/>
        <w:rPr>
          <w:rFonts w:eastAsia="Times New Roman" w:cs="Times New Roman"/>
          <w:lang w:val="de-CH" w:eastAsia="en-US"/>
        </w:rPr>
      </w:pPr>
      <w:r w:rsidRPr="00DE74EF">
        <w:rPr>
          <w:rFonts w:eastAsia="Times New Roman" w:cs="Times New Roman"/>
          <w:lang w:val="de-CH"/>
        </w:rPr>
        <w:t>Das Gesetz vom 14. Dezember 2017 über das freiburgische Bürgerrecht (BRG - SGF 114.1</w:t>
      </w:r>
      <w:r w:rsidR="007659D4">
        <w:rPr>
          <w:rFonts w:eastAsia="Times New Roman" w:cs="Times New Roman"/>
          <w:lang w:val="de-CH"/>
        </w:rPr>
        <w:t>.1</w:t>
      </w:r>
      <w:r w:rsidRPr="00DE74EF">
        <w:rPr>
          <w:rFonts w:eastAsia="Times New Roman" w:cs="Times New Roman"/>
          <w:lang w:val="de-CH"/>
        </w:rPr>
        <w:t>);</w:t>
      </w:r>
    </w:p>
    <w:p w:rsidR="002166F7" w:rsidRPr="00DE74EF" w:rsidRDefault="002166F7" w:rsidP="002166F7">
      <w:pPr>
        <w:spacing w:after="120" w:line="240" w:lineRule="auto"/>
        <w:jc w:val="both"/>
        <w:rPr>
          <w:rFonts w:eastAsia="Times New Roman" w:cs="Times New Roman"/>
          <w:lang w:val="de-CH" w:eastAsia="en-US"/>
        </w:rPr>
      </w:pPr>
      <w:r w:rsidRPr="00DE74EF">
        <w:rPr>
          <w:rFonts w:eastAsia="Times New Roman" w:cs="Times New Roman"/>
          <w:lang w:val="de-CH"/>
        </w:rPr>
        <w:t>Das Reglement vom 19. März 2018 über das freiburgische Bürgerrecht (BRR – SGF 114.1.1</w:t>
      </w:r>
      <w:r w:rsidR="007659D4">
        <w:rPr>
          <w:rFonts w:eastAsia="Times New Roman" w:cs="Times New Roman"/>
          <w:lang w:val="de-CH"/>
        </w:rPr>
        <w:t>1</w:t>
      </w:r>
      <w:r w:rsidRPr="00DE74EF">
        <w:rPr>
          <w:rFonts w:eastAsia="Times New Roman" w:cs="Times New Roman"/>
          <w:lang w:val="de-CH"/>
        </w:rPr>
        <w:t>);</w:t>
      </w:r>
    </w:p>
    <w:p w:rsidR="002166F7" w:rsidRPr="00DE74EF" w:rsidRDefault="002166F7" w:rsidP="002166F7">
      <w:pPr>
        <w:spacing w:after="120" w:line="240" w:lineRule="auto"/>
        <w:jc w:val="both"/>
        <w:rPr>
          <w:rFonts w:eastAsia="Times New Roman" w:cs="Times New Roman"/>
          <w:lang w:val="de-CH" w:eastAsia="en-US"/>
        </w:rPr>
      </w:pPr>
      <w:r w:rsidRPr="00DE74EF">
        <w:rPr>
          <w:rFonts w:eastAsia="Times New Roman" w:cs="Times New Roman"/>
          <w:lang w:val="de-CH"/>
        </w:rPr>
        <w:t>Das Gesetz vom 25. September 1980 über die Gemeinden (GG – SGF 140.1);</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333202" w:rsidP="002166F7">
      <w:pPr>
        <w:spacing w:after="0" w:line="240" w:lineRule="auto"/>
        <w:jc w:val="both"/>
        <w:rPr>
          <w:rFonts w:eastAsia="Times New Roman" w:cs="Times New Roman"/>
          <w:i/>
          <w:lang w:val="de-CH" w:eastAsia="en-US"/>
        </w:rPr>
      </w:pPr>
      <w:r w:rsidRPr="00DE74EF">
        <w:rPr>
          <w:rFonts w:eastAsia="Times New Roman" w:cs="Times New Roman"/>
          <w:i/>
          <w:lang w:val="de-CH"/>
        </w:rPr>
        <w:t>B</w:t>
      </w:r>
      <w:r w:rsidR="002166F7" w:rsidRPr="00DE74EF">
        <w:rPr>
          <w:rFonts w:eastAsia="Times New Roman" w:cs="Times New Roman"/>
          <w:i/>
          <w:lang w:val="de-CH"/>
        </w:rPr>
        <w:t>eschliesst</w:t>
      </w:r>
      <w:r>
        <w:rPr>
          <w:rFonts w:eastAsia="Times New Roman" w:cs="Times New Roman"/>
          <w:i/>
          <w:lang w:val="de-CH"/>
        </w:rPr>
        <w:t>:</w:t>
      </w:r>
    </w:p>
    <w:p w:rsidR="002166F7" w:rsidRPr="00DE74EF" w:rsidRDefault="002166F7"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514"/>
        <w:gridCol w:w="6774"/>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Artikel 1</w:t>
            </w:r>
          </w:p>
        </w:tc>
        <w:tc>
          <w:tcPr>
            <w:tcW w:w="7150"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Gegenstand</w:t>
            </w:r>
          </w:p>
        </w:tc>
      </w:tr>
      <w:tr w:rsidR="002166F7" w:rsidRPr="00DE74EF"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Dieses Reglement regelt die Voraussetzungen für den Erwerb und Verlust des Gemeindebürgerrechts sowie das diesbezügliche Verfahren und die diesbezüglichen Gebühren. Die bundesrechtlichen und kantonalen Bestimmungen bleiben vorbehalten.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240" w:line="240" w:lineRule="auto"/>
        <w:jc w:val="both"/>
        <w:rPr>
          <w:rFonts w:eastAsia="Times New Roman" w:cs="Times New Roman"/>
          <w:lang w:val="de-CH" w:eastAsia="en-US"/>
        </w:rPr>
      </w:pPr>
      <w:r w:rsidRPr="00DE74EF">
        <w:rPr>
          <w:rFonts w:eastAsia="Times New Roman" w:cs="Times New Roman"/>
          <w:lang w:val="de-CH"/>
        </w:rPr>
        <w:t>A. ERWERB DES GEMEINDEBÜRGERRECHTS</w:t>
      </w:r>
    </w:p>
    <w:tbl>
      <w:tblPr>
        <w:tblW w:w="0" w:type="auto"/>
        <w:tblLook w:val="01E0" w:firstRow="1" w:lastRow="1" w:firstColumn="1" w:lastColumn="1" w:noHBand="0" w:noVBand="0"/>
      </w:tblPr>
      <w:tblGrid>
        <w:gridCol w:w="2497"/>
        <w:gridCol w:w="6791"/>
      </w:tblGrid>
      <w:tr w:rsidR="002166F7" w:rsidRPr="007659D4"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2</w:t>
            </w:r>
          </w:p>
        </w:tc>
        <w:tc>
          <w:tcPr>
            <w:tcW w:w="7150"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Voraussetzungen</w:t>
            </w:r>
          </w:p>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a) für ausländische Personen</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Das Gemeindebürgerrecht kann einer ausländischen Person gewährt werden, wenn:</w:t>
            </w:r>
          </w:p>
          <w:p w:rsidR="002166F7" w:rsidRPr="00DE74EF" w:rsidRDefault="002166F7" w:rsidP="002166F7">
            <w:pPr>
              <w:numPr>
                <w:ilvl w:val="0"/>
                <w:numId w:val="3"/>
              </w:numPr>
              <w:spacing w:after="0" w:line="240" w:lineRule="auto"/>
              <w:jc w:val="both"/>
              <w:rPr>
                <w:rFonts w:eastAsia="Times New Roman" w:cs="Times New Roman"/>
                <w:lang w:val="de-CH" w:eastAsia="en-US"/>
              </w:rPr>
            </w:pPr>
            <w:r w:rsidRPr="00DE74EF">
              <w:rPr>
                <w:rFonts w:eastAsia="Times New Roman" w:cs="Times New Roman"/>
                <w:lang w:val="de-CH"/>
              </w:rPr>
              <w:t>sie die bundesrechtlichen Voraussetzungen erfüllt;</w:t>
            </w:r>
          </w:p>
          <w:p w:rsidR="002166F7" w:rsidRPr="00DE74EF" w:rsidRDefault="002166F7" w:rsidP="002166F7">
            <w:pPr>
              <w:numPr>
                <w:ilvl w:val="0"/>
                <w:numId w:val="3"/>
              </w:numPr>
              <w:spacing w:after="0" w:line="240" w:lineRule="auto"/>
              <w:jc w:val="both"/>
              <w:rPr>
                <w:rFonts w:eastAsia="Times New Roman" w:cs="Times New Roman"/>
                <w:lang w:val="de-CH" w:eastAsia="en-US"/>
              </w:rPr>
            </w:pPr>
            <w:r w:rsidRPr="00DE74EF">
              <w:rPr>
                <w:rFonts w:eastAsia="Times New Roman" w:cs="Times New Roman"/>
                <w:lang w:val="de-CH"/>
              </w:rPr>
              <w:t>sie die auf Kantonsebene vorgesehenen allgemeinen Integrationsvoraussetzungen und die weiteren besonderen Anforderungen an den Wohnsitz, die Aufenthaltsbewilligung und das Alter erfüllt;</w:t>
            </w:r>
          </w:p>
          <w:p w:rsidR="002166F7" w:rsidRPr="00DE74EF" w:rsidRDefault="002166F7" w:rsidP="002166F7">
            <w:pPr>
              <w:numPr>
                <w:ilvl w:val="0"/>
                <w:numId w:val="3"/>
              </w:numPr>
              <w:spacing w:after="0" w:line="240" w:lineRule="auto"/>
              <w:jc w:val="both"/>
              <w:rPr>
                <w:rFonts w:eastAsia="Times New Roman" w:cs="Times New Roman"/>
                <w:lang w:val="de-CH" w:eastAsia="en-US"/>
              </w:rPr>
            </w:pPr>
            <w:r w:rsidRPr="00DE74EF">
              <w:rPr>
                <w:rFonts w:eastAsia="Times New Roman" w:cs="Times New Roman"/>
                <w:lang w:val="de-CH"/>
              </w:rPr>
              <w:t xml:space="preserve">sie ihren zivilrechtlichen Wohnsitz seit mindestens </w:t>
            </w:r>
            <w:r w:rsidRPr="00DE74EF">
              <w:rPr>
                <w:rFonts w:eastAsia="Times New Roman" w:cs="Times New Roman"/>
                <w:highlight w:val="yellow"/>
                <w:u w:val="single"/>
                <w:lang w:val="de-CH"/>
              </w:rPr>
              <w:t>xx</w:t>
            </w:r>
            <w:r w:rsidRPr="00DE74EF">
              <w:rPr>
                <w:rFonts w:eastAsia="Times New Roman" w:cs="Times New Roman"/>
                <w:u w:val="single"/>
                <w:lang w:val="de-CH"/>
              </w:rPr>
              <w:t xml:space="preserve"> </w:t>
            </w:r>
            <w:r w:rsidRPr="00DE74EF">
              <w:rPr>
                <w:rFonts w:eastAsia="Times New Roman" w:cs="Times New Roman"/>
                <w:lang w:val="de-CH"/>
              </w:rPr>
              <w:t>Jahren</w:t>
            </w:r>
            <w:r w:rsidRPr="00DE74EF">
              <w:rPr>
                <w:rFonts w:eastAsia="Times New Roman" w:cs="Times New Roman"/>
                <w:vertAlign w:val="superscript"/>
                <w:lang w:val="de-CH"/>
              </w:rPr>
              <w:footnoteReference w:id="2"/>
            </w:r>
            <w:r w:rsidRPr="00DE74EF">
              <w:rPr>
                <w:rFonts w:eastAsia="Times New Roman" w:cs="Times New Roman"/>
                <w:lang w:val="de-CH"/>
              </w:rPr>
              <w:t xml:space="preserve"> in der Gemeinde hat. Der Gemeinderat kann ausnahmsweise von dieser Voraussetzung absehen, wenn wichtige Gründe dies rechtfertigen;</w:t>
            </w:r>
          </w:p>
          <w:p w:rsidR="002166F7" w:rsidRPr="00DE74EF" w:rsidRDefault="002166F7" w:rsidP="002166F7">
            <w:pPr>
              <w:numPr>
                <w:ilvl w:val="0"/>
                <w:numId w:val="3"/>
              </w:numPr>
              <w:spacing w:after="0" w:line="240" w:lineRule="auto"/>
              <w:jc w:val="both"/>
              <w:rPr>
                <w:rFonts w:eastAsia="Times New Roman" w:cs="Times New Roman"/>
                <w:lang w:val="de-CH" w:eastAsia="en-US"/>
              </w:rPr>
            </w:pPr>
            <w:r w:rsidRPr="00DE74EF">
              <w:rPr>
                <w:rFonts w:eastAsia="Times New Roman" w:cs="Times New Roman"/>
                <w:lang w:val="de-CH"/>
              </w:rPr>
              <w:t>ihre Lage in persönlicher, administrativer und beruflicher Hinsicht klar ist, damit der Einbürgerungsentscheid in voller Kenntnis der Sachlage gefällt werden kann. Die betroffene Person kann zur Zusammenarbeit aufgefordert werden;</w:t>
            </w:r>
          </w:p>
          <w:p w:rsidR="002166F7" w:rsidRPr="00DE74EF" w:rsidRDefault="002166F7" w:rsidP="002166F7">
            <w:pPr>
              <w:numPr>
                <w:ilvl w:val="0"/>
                <w:numId w:val="3"/>
              </w:numPr>
              <w:spacing w:after="0" w:line="240" w:lineRule="auto"/>
              <w:jc w:val="both"/>
              <w:rPr>
                <w:rFonts w:eastAsia="Times New Roman" w:cs="Times New Roman"/>
                <w:lang w:val="de-CH" w:eastAsia="en-US"/>
              </w:rPr>
            </w:pPr>
            <w:r w:rsidRPr="00DE74EF">
              <w:rPr>
                <w:rFonts w:eastAsia="Times New Roman" w:cs="Times New Roman"/>
                <w:lang w:val="de-CH"/>
              </w:rPr>
              <w:t>sie eine positive und echte Motivation zeigt, Schweizer Bürgerin oder Bürger zu werden.</w:t>
            </w:r>
          </w:p>
        </w:tc>
      </w:tr>
    </w:tbl>
    <w:p w:rsidR="002166F7" w:rsidRPr="00DE74EF" w:rsidRDefault="002166F7" w:rsidP="002166F7">
      <w:pPr>
        <w:spacing w:after="0" w:line="240" w:lineRule="auto"/>
        <w:jc w:val="both"/>
        <w:rPr>
          <w:rFonts w:eastAsia="Times New Roman" w:cs="Times New Roman"/>
          <w:lang w:val="de-CH" w:eastAsia="en-US"/>
        </w:rPr>
      </w:pPr>
    </w:p>
    <w:p w:rsidR="002166F7" w:rsidRDefault="002166F7" w:rsidP="002166F7">
      <w:pPr>
        <w:spacing w:after="0" w:line="240" w:lineRule="auto"/>
        <w:jc w:val="both"/>
        <w:rPr>
          <w:rFonts w:eastAsia="Times New Roman" w:cs="Times New Roman"/>
          <w:lang w:val="de-CH" w:eastAsia="en-US"/>
        </w:rPr>
      </w:pPr>
    </w:p>
    <w:p w:rsidR="00333202" w:rsidRDefault="00333202" w:rsidP="002166F7">
      <w:pPr>
        <w:spacing w:after="0" w:line="240" w:lineRule="auto"/>
        <w:jc w:val="both"/>
        <w:rPr>
          <w:rFonts w:eastAsia="Times New Roman" w:cs="Times New Roman"/>
          <w:lang w:val="de-CH" w:eastAsia="en-US"/>
        </w:rPr>
      </w:pPr>
    </w:p>
    <w:p w:rsidR="00333202" w:rsidRDefault="00333202" w:rsidP="002166F7">
      <w:pPr>
        <w:spacing w:after="0" w:line="240" w:lineRule="auto"/>
        <w:jc w:val="both"/>
        <w:rPr>
          <w:rFonts w:eastAsia="Times New Roman" w:cs="Times New Roman"/>
          <w:lang w:val="de-CH" w:eastAsia="en-US"/>
        </w:rPr>
      </w:pPr>
    </w:p>
    <w:p w:rsidR="00333202" w:rsidRDefault="00333202" w:rsidP="002166F7">
      <w:pPr>
        <w:spacing w:after="0" w:line="240" w:lineRule="auto"/>
        <w:jc w:val="both"/>
        <w:rPr>
          <w:rFonts w:eastAsia="Times New Roman" w:cs="Times New Roman"/>
          <w:lang w:val="de-CH" w:eastAsia="en-US"/>
        </w:rPr>
      </w:pPr>
    </w:p>
    <w:p w:rsidR="00333202" w:rsidRPr="00DE74EF" w:rsidRDefault="00333202"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497"/>
        <w:gridCol w:w="6791"/>
      </w:tblGrid>
      <w:tr w:rsidR="002166F7" w:rsidRPr="007659D4"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lastRenderedPageBreak/>
              <w:t xml:space="preserve">Art. 3 </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b) für Schweizerinnen und Schweizer und Freiburgerinnen und Freiburger</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Das Gemeindebürgerrecht kann einer Person mit Schweizer oder freiburgischem Bürgerrecht gewährt werden, wenn:</w:t>
            </w:r>
          </w:p>
          <w:p w:rsidR="002166F7" w:rsidRPr="00DE74EF" w:rsidRDefault="002166F7" w:rsidP="005E632F">
            <w:pPr>
              <w:spacing w:after="0" w:line="240" w:lineRule="auto"/>
              <w:jc w:val="both"/>
              <w:rPr>
                <w:rFonts w:eastAsia="Times New Roman" w:cs="Times New Roman"/>
                <w:lang w:val="de-CH" w:eastAsia="en-US"/>
              </w:rPr>
            </w:pPr>
          </w:p>
          <w:p w:rsidR="002166F7" w:rsidRPr="00DE74EF" w:rsidRDefault="002166F7" w:rsidP="002166F7">
            <w:pPr>
              <w:numPr>
                <w:ilvl w:val="0"/>
                <w:numId w:val="4"/>
              </w:numPr>
              <w:spacing w:after="0" w:line="240" w:lineRule="auto"/>
              <w:jc w:val="both"/>
              <w:rPr>
                <w:rFonts w:eastAsia="Times New Roman" w:cs="Times New Roman"/>
                <w:lang w:val="de-CH" w:eastAsia="en-US"/>
              </w:rPr>
            </w:pPr>
            <w:r w:rsidRPr="00DE74EF">
              <w:rPr>
                <w:rFonts w:eastAsia="Times New Roman" w:cs="Times New Roman"/>
                <w:lang w:val="de-CH"/>
              </w:rPr>
              <w:t>sie die kantonalen Anforderungen an den Wohnsitz erfüllt</w:t>
            </w:r>
            <w:r w:rsidR="007659D4">
              <w:rPr>
                <w:rFonts w:eastAsia="Times New Roman" w:cs="Times New Roman"/>
                <w:lang w:val="de-CH"/>
              </w:rPr>
              <w:t>;</w:t>
            </w:r>
            <w:r w:rsidRPr="00DE74EF">
              <w:rPr>
                <w:rFonts w:eastAsia="Times New Roman" w:cs="Times New Roman"/>
                <w:lang w:val="de-CH"/>
              </w:rPr>
              <w:t xml:space="preserve"> </w:t>
            </w:r>
          </w:p>
          <w:p w:rsidR="002166F7" w:rsidRPr="00DE74EF" w:rsidRDefault="002166F7" w:rsidP="002166F7">
            <w:pPr>
              <w:numPr>
                <w:ilvl w:val="0"/>
                <w:numId w:val="4"/>
              </w:numPr>
              <w:spacing w:after="0" w:line="240" w:lineRule="auto"/>
              <w:jc w:val="both"/>
              <w:rPr>
                <w:rFonts w:eastAsia="Times New Roman" w:cs="Times New Roman"/>
                <w:lang w:val="de-CH" w:eastAsia="en-US"/>
              </w:rPr>
            </w:pPr>
            <w:r w:rsidRPr="00DE74EF">
              <w:rPr>
                <w:rFonts w:eastAsia="Times New Roman" w:cs="Times New Roman"/>
                <w:lang w:val="de-CH"/>
              </w:rPr>
              <w:t xml:space="preserve">sie ihren zivilrechtlichen Wohnsitz seit mindestens </w:t>
            </w:r>
            <w:r w:rsidRPr="00DE74EF">
              <w:rPr>
                <w:rFonts w:eastAsia="Times New Roman" w:cs="Times New Roman"/>
                <w:highlight w:val="yellow"/>
                <w:u w:val="single"/>
                <w:lang w:val="de-CH"/>
              </w:rPr>
              <w:t>xx</w:t>
            </w:r>
            <w:r w:rsidRPr="00DE74EF">
              <w:rPr>
                <w:rFonts w:eastAsia="Times New Roman" w:cs="Times New Roman"/>
                <w:lang w:val="de-CH"/>
              </w:rPr>
              <w:t xml:space="preserve"> Jahren in der Gemeinde hat. Der Gemeinderat kann ausnahmsweise von dieser Voraussetzung absehen, wenn wichtige Gründe dies rechtfertigen; </w:t>
            </w:r>
          </w:p>
          <w:p w:rsidR="002166F7" w:rsidRPr="00DE74EF" w:rsidRDefault="002166F7" w:rsidP="002166F7">
            <w:pPr>
              <w:numPr>
                <w:ilvl w:val="0"/>
                <w:numId w:val="4"/>
              </w:numPr>
              <w:spacing w:after="0" w:line="240" w:lineRule="auto"/>
              <w:jc w:val="both"/>
              <w:rPr>
                <w:rFonts w:eastAsia="Times New Roman" w:cs="Times New Roman"/>
                <w:lang w:val="de-CH" w:eastAsia="en-US"/>
              </w:rPr>
            </w:pPr>
            <w:r w:rsidRPr="00DE74EF">
              <w:rPr>
                <w:rFonts w:eastAsia="Times New Roman" w:cs="Times New Roman"/>
                <w:lang w:val="de-CH"/>
              </w:rPr>
              <w:t>sie in der Gemeinde gut integriert ist oder eine bes</w:t>
            </w:r>
            <w:r w:rsidR="007659D4">
              <w:rPr>
                <w:rFonts w:eastAsia="Times New Roman" w:cs="Times New Roman"/>
                <w:lang w:val="de-CH"/>
              </w:rPr>
              <w:t>ondere Bindung zur Gemeinde hat;</w:t>
            </w:r>
            <w:bookmarkStart w:id="0" w:name="_GoBack"/>
            <w:bookmarkEnd w:id="0"/>
            <w:r w:rsidRPr="00DE74EF">
              <w:rPr>
                <w:rFonts w:eastAsia="Times New Roman" w:cs="Times New Roman"/>
                <w:lang w:val="de-CH"/>
              </w:rPr>
              <w:t xml:space="preserve"> </w:t>
            </w:r>
          </w:p>
          <w:p w:rsidR="002166F7" w:rsidRPr="00DE74EF" w:rsidRDefault="002166F7" w:rsidP="002166F7">
            <w:pPr>
              <w:numPr>
                <w:ilvl w:val="0"/>
                <w:numId w:val="4"/>
              </w:numPr>
              <w:spacing w:after="0" w:line="240" w:lineRule="auto"/>
              <w:jc w:val="both"/>
              <w:rPr>
                <w:rFonts w:eastAsia="Times New Roman" w:cs="Times New Roman"/>
                <w:lang w:val="de-CH" w:eastAsia="en-US"/>
              </w:rPr>
            </w:pPr>
            <w:r w:rsidRPr="00DE74EF">
              <w:rPr>
                <w:rFonts w:eastAsia="Times New Roman" w:cs="Times New Roman"/>
                <w:lang w:val="de-CH"/>
              </w:rPr>
              <w:t>ihre Lage in persönlicher, administrativer und beruflicher Hinsicht klar ist, damit der Einbürgerungsentscheid in voller Kenntnis der Sachlage gefällt werden kann.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240" w:line="240" w:lineRule="auto"/>
        <w:jc w:val="both"/>
        <w:rPr>
          <w:rFonts w:eastAsia="Times New Roman" w:cs="Times New Roman"/>
          <w:lang w:val="de-CH" w:eastAsia="en-US"/>
        </w:rPr>
      </w:pPr>
      <w:r w:rsidRPr="00DE74EF">
        <w:rPr>
          <w:rFonts w:eastAsia="Times New Roman" w:cs="Times New Roman"/>
          <w:lang w:val="de-CH"/>
        </w:rPr>
        <w:t>B. VERLUST DES GEMEINDEBÜRGERRECHTS</w:t>
      </w:r>
    </w:p>
    <w:tbl>
      <w:tblPr>
        <w:tblW w:w="0" w:type="auto"/>
        <w:tblLook w:val="01E0" w:firstRow="1" w:lastRow="1" w:firstColumn="1" w:lastColumn="1" w:noHBand="0" w:noVBand="0"/>
      </w:tblPr>
      <w:tblGrid>
        <w:gridCol w:w="2483"/>
        <w:gridCol w:w="6805"/>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4</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Entlass</w:t>
            </w:r>
            <w:r w:rsidR="00333202">
              <w:rPr>
                <w:rFonts w:eastAsia="Times New Roman" w:cs="Times New Roman"/>
                <w:b/>
                <w:lang w:val="de-CH"/>
              </w:rPr>
              <w:t>ung aus dem Gemeindebürgerrecht</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Eine Person, die über mehrere Bürgerrechte freiburgischer Gemeinden verfügt, kann um die Entlassung aus ihrem Gemeindebürgerrecht ersuchen, sofern sie mindestens ein Gemeindebürgerrecht beibehält. </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Das Verfahren zur Entlassung aus dem Gemeindebürgerrecht ist im Gesetz über das freiburgische Bürgerrecht geregelt.</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240" w:line="240" w:lineRule="auto"/>
        <w:jc w:val="both"/>
        <w:rPr>
          <w:rFonts w:eastAsia="Times New Roman" w:cs="Times New Roman"/>
          <w:lang w:val="de-CH" w:eastAsia="en-US"/>
        </w:rPr>
      </w:pPr>
      <w:r w:rsidRPr="00DE74EF">
        <w:rPr>
          <w:rFonts w:eastAsia="Times New Roman" w:cs="Times New Roman"/>
          <w:lang w:val="de-CH"/>
        </w:rPr>
        <w:t>C. VERFAHREN</w:t>
      </w:r>
    </w:p>
    <w:tbl>
      <w:tblPr>
        <w:tblW w:w="0" w:type="auto"/>
        <w:tblLook w:val="01E0" w:firstRow="1" w:lastRow="1" w:firstColumn="1" w:lastColumn="1" w:noHBand="0" w:noVBand="0"/>
      </w:tblPr>
      <w:tblGrid>
        <w:gridCol w:w="2501"/>
        <w:gridCol w:w="6787"/>
      </w:tblGrid>
      <w:tr w:rsidR="002166F7" w:rsidRPr="007659D4"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 xml:space="preserve">Art. 5 </w:t>
            </w:r>
          </w:p>
        </w:tc>
        <w:tc>
          <w:tcPr>
            <w:tcW w:w="7150"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Ordentliche Einbürgerung</w:t>
            </w:r>
          </w:p>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a) Zuständige Behörde</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 xml:space="preserve">1 </w:t>
            </w:r>
            <w:r w:rsidRPr="00DE74EF">
              <w:rPr>
                <w:rFonts w:eastAsia="Times New Roman" w:cs="Times New Roman"/>
                <w:lang w:val="de-CH"/>
              </w:rPr>
              <w:t xml:space="preserve">Der Gemeinderat ist für die Erteilung des Gemeindebürgerrechts an Ausländerinnen und Ausländer, Schweizerinnen und Schweizer und Freiburgerinnen und Freiburger zuständig. </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Er kann alle für seinen Entscheid notwendigen und zweckdienlichen Instruktionsmassnahmen nach dem Gesetz über die Verwaltungsrechtspflege vornehmen. Zu diesem Zweck kann namentlich die betroffene Person zur Zusammenarbeit aufgefordert werden.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474"/>
        <w:gridCol w:w="37"/>
        <w:gridCol w:w="6777"/>
      </w:tblGrid>
      <w:tr w:rsidR="002166F7" w:rsidRPr="007659D4" w:rsidTr="005E632F">
        <w:tc>
          <w:tcPr>
            <w:tcW w:w="2474"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6</w:t>
            </w:r>
          </w:p>
        </w:tc>
        <w:tc>
          <w:tcPr>
            <w:tcW w:w="6814" w:type="dxa"/>
            <w:gridSpan w:val="2"/>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b) Stellungnahme der Einbürgerungskommission der Gemeinde</w:t>
            </w:r>
          </w:p>
        </w:tc>
      </w:tr>
      <w:tr w:rsidR="002166F7" w:rsidRPr="007659D4" w:rsidTr="005E632F">
        <w:tc>
          <w:tcPr>
            <w:tcW w:w="9288" w:type="dxa"/>
            <w:gridSpan w:val="3"/>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 xml:space="preserve">1 </w:t>
            </w:r>
            <w:r w:rsidRPr="00DE74EF">
              <w:rPr>
                <w:rFonts w:eastAsia="Times New Roman" w:cs="Times New Roman"/>
                <w:lang w:val="de-CH"/>
              </w:rPr>
              <w:t>Bevor der Gemeinderat entscheidet, prüft die Einbürgerungskommission der Gemeinde die Dossiers und hört die Bewerberinnen und Bewerber grundsätzlich an. Sie kann darauf verzichten, die Bewerberin oder den Bewerber anzuhören, wenn aus dem Dossier hervorgeht, dass sie oder er vollkommen integriert ist</w:t>
            </w:r>
            <w:r w:rsidRPr="00DE74EF">
              <w:rPr>
                <w:rFonts w:eastAsia="Times New Roman" w:cs="Times New Roman"/>
                <w:vertAlign w:val="superscript"/>
                <w:lang w:val="de-CH"/>
              </w:rPr>
              <w:footnoteReference w:id="3"/>
            </w:r>
            <w:r w:rsidRPr="00DE74EF">
              <w:rPr>
                <w:rFonts w:eastAsia="Times New Roman" w:cs="Times New Roman"/>
                <w:lang w:val="de-CH"/>
              </w:rPr>
              <w:t>.</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Die Kommission hat die Aufgabe, grundsätzlich durch eine Anhörung zu überprüfen, ob die Voraussetzungen für die Einbürgerung erfüllt sind.</w:t>
            </w:r>
          </w:p>
          <w:p w:rsidR="002166F7" w:rsidRDefault="002166F7" w:rsidP="005E632F">
            <w:pPr>
              <w:spacing w:after="0" w:line="240" w:lineRule="auto"/>
              <w:jc w:val="both"/>
              <w:rPr>
                <w:rFonts w:eastAsia="Times New Roman" w:cs="Times New Roman"/>
                <w:lang w:val="de-CH"/>
              </w:rPr>
            </w:pPr>
            <w:r w:rsidRPr="00DE74EF">
              <w:rPr>
                <w:rFonts w:eastAsia="Times New Roman" w:cs="Times New Roman"/>
                <w:vertAlign w:val="superscript"/>
                <w:lang w:val="de-CH"/>
              </w:rPr>
              <w:t>3</w:t>
            </w:r>
            <w:r w:rsidRPr="00DE74EF">
              <w:rPr>
                <w:rFonts w:eastAsia="Times New Roman" w:cs="Times New Roman"/>
                <w:lang w:val="de-CH"/>
              </w:rPr>
              <w:t xml:space="preserve"> Nach der Anhörung oder der Prüfung des Dossiers leitet die Kommission ihre Stellungnahme und gegebenenfalls das Anhörungsprotokoll, die </w:t>
            </w:r>
            <w:proofErr w:type="gramStart"/>
            <w:r w:rsidRPr="00DE74EF">
              <w:rPr>
                <w:rFonts w:eastAsia="Times New Roman" w:cs="Times New Roman"/>
                <w:lang w:val="de-CH"/>
              </w:rPr>
              <w:t>ins Dossiers</w:t>
            </w:r>
            <w:proofErr w:type="gramEnd"/>
            <w:r w:rsidRPr="00DE74EF">
              <w:rPr>
                <w:rFonts w:eastAsia="Times New Roman" w:cs="Times New Roman"/>
                <w:lang w:val="de-CH"/>
              </w:rPr>
              <w:t xml:space="preserve"> integriert werden, an den Gemeinderat weiter.</w:t>
            </w:r>
          </w:p>
          <w:p w:rsidR="00333202" w:rsidRPr="00DE74EF" w:rsidRDefault="00333202" w:rsidP="005E632F">
            <w:pPr>
              <w:spacing w:after="0" w:line="240" w:lineRule="auto"/>
              <w:jc w:val="both"/>
              <w:rPr>
                <w:rFonts w:eastAsia="Times New Roman" w:cs="Times New Roman"/>
                <w:lang w:val="de-CH" w:eastAsia="en-US"/>
              </w:rPr>
            </w:pP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lastRenderedPageBreak/>
              <w:t>4</w:t>
            </w:r>
            <w:r w:rsidRPr="00DE74EF">
              <w:rPr>
                <w:rFonts w:eastAsia="Times New Roman" w:cs="Times New Roman"/>
                <w:lang w:val="de-CH"/>
              </w:rPr>
              <w:t xml:space="preserve"> Aus der Stellungnahme muss hervorgehen, weshalb die Einbürgerungskommission der Gemeinde der Ansicht war, dass die Einbürgerungsvoraussetzungen erfüllt sind oder nicht</w:t>
            </w:r>
            <w:r w:rsidRPr="00DE74EF">
              <w:rPr>
                <w:rFonts w:eastAsia="Times New Roman" w:cs="Times New Roman"/>
                <w:vertAlign w:val="superscript"/>
                <w:lang w:val="de-CH"/>
              </w:rPr>
              <w:footnoteReference w:id="4"/>
            </w:r>
            <w:r w:rsidRPr="00DE74EF">
              <w:rPr>
                <w:rFonts w:eastAsia="Times New Roman" w:cs="Times New Roman"/>
                <w:lang w:val="de-CH"/>
              </w:rPr>
              <w:t>.</w:t>
            </w:r>
          </w:p>
          <w:p w:rsidR="002166F7" w:rsidRDefault="002166F7" w:rsidP="005E632F">
            <w:pPr>
              <w:spacing w:after="0" w:line="240" w:lineRule="auto"/>
              <w:jc w:val="both"/>
              <w:rPr>
                <w:rFonts w:eastAsia="Times New Roman" w:cs="Times New Roman"/>
                <w:lang w:val="de-CH"/>
              </w:rPr>
            </w:pPr>
            <w:r w:rsidRPr="00DE74EF">
              <w:rPr>
                <w:rFonts w:eastAsia="Times New Roman" w:cs="Times New Roman"/>
                <w:vertAlign w:val="superscript"/>
                <w:lang w:val="de-CH"/>
              </w:rPr>
              <w:t>5</w:t>
            </w:r>
            <w:r w:rsidRPr="00DE74EF">
              <w:rPr>
                <w:rFonts w:eastAsia="Times New Roman" w:cs="Times New Roman"/>
                <w:lang w:val="de-CH"/>
              </w:rPr>
              <w:t xml:space="preserve"> Bei Schweizerinnen und Schweizern und Freiburgerinnen und Freiburgern sind die Anhörung und die Abgabe einer Stellungnahme durch die Einbürgerungskommission der Gemeinde fakultativ, ausser wenn der Gemeinderat es anders bestimmt.</w:t>
            </w:r>
          </w:p>
          <w:p w:rsidR="00333202" w:rsidRDefault="00333202" w:rsidP="005E632F">
            <w:pPr>
              <w:spacing w:after="0" w:line="240" w:lineRule="auto"/>
              <w:jc w:val="both"/>
              <w:rPr>
                <w:rFonts w:eastAsia="Times New Roman" w:cs="Times New Roman"/>
                <w:lang w:val="de-CH"/>
              </w:rPr>
            </w:pPr>
          </w:p>
          <w:p w:rsidR="00333202" w:rsidRPr="00DE74EF" w:rsidRDefault="00333202" w:rsidP="005E632F">
            <w:pPr>
              <w:spacing w:after="0" w:line="240" w:lineRule="auto"/>
              <w:jc w:val="both"/>
              <w:rPr>
                <w:rFonts w:eastAsia="Times New Roman" w:cs="Times New Roman"/>
                <w:lang w:val="de-CH" w:eastAsia="en-US"/>
              </w:rPr>
            </w:pPr>
          </w:p>
        </w:tc>
      </w:tr>
      <w:tr w:rsidR="002166F7" w:rsidRPr="00DE74EF" w:rsidTr="005E632F">
        <w:tc>
          <w:tcPr>
            <w:tcW w:w="2511" w:type="dxa"/>
            <w:gridSpan w:val="2"/>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lastRenderedPageBreak/>
              <w:t xml:space="preserve">Art. 7 </w:t>
            </w:r>
          </w:p>
        </w:tc>
        <w:tc>
          <w:tcPr>
            <w:tcW w:w="6777"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c) Entscheid</w:t>
            </w:r>
          </w:p>
        </w:tc>
      </w:tr>
      <w:tr w:rsidR="002166F7" w:rsidRPr="007659D4" w:rsidTr="005E632F">
        <w:tc>
          <w:tcPr>
            <w:tcW w:w="9288" w:type="dxa"/>
            <w:gridSpan w:val="3"/>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Der Gemeinderat entscheidet, nachdem er die Stellungnahme der Einbürgerungskommission der Gemeinde erhalten hat. Bei Schweizerinnen und Schweizern oder Freiburgerinnen und Freiburgern entscheidet der Gemeinderat direkt, es sei denn er beschliesst, sie vorgängig von der Einbürgerungskommission der Gemeinde anhören zu lassen, damit diese eine Stellungnahme abgeben kann.</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Ein ablehnender Entscheid über die Erteilung des Gemeindebürgerrechts muss die Gründe erläutern, weshalb das Gesuch abgelehnt wurde.</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3</w:t>
            </w:r>
            <w:r w:rsidRPr="00DE74EF">
              <w:rPr>
                <w:rFonts w:eastAsia="Times New Roman" w:cs="Times New Roman"/>
                <w:lang w:val="de-CH"/>
              </w:rPr>
              <w:t xml:space="preserve"> Nebst der Begründung muss der Entscheid des Gemeinderates die folgenden Angaben enthalten:</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a) die Zusammensetzung des Gemeinderats;</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b) den Namen der Person, die das Einbürgerungsgesuch oder das Gesuch um Erlangung des Gemeindebürgerrechts gestellt hat;</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c) das Dispositiv;</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d) das Datum des Entscheids;</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e) die Unterschrift der Gemeindepräsidentin oder des Gemeindeammanns und der Gemeindeschreiberin oder des Gemeindeschreibers;</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f) den Hinweis auf die Möglichkeit, den Entscheid beim Oberamtmann innert 30 Tagen seit der Eröffnung des Entscheids mit Beschwerde anzufechten.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491"/>
        <w:gridCol w:w="6797"/>
      </w:tblGrid>
      <w:tr w:rsidR="002166F7" w:rsidRPr="007659D4"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8</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 xml:space="preserve">d) Rücküberweisung des Dossiers an das Amt für institutionelle Angelegenheiten, Einbürgerungen und </w:t>
            </w:r>
            <w:proofErr w:type="spellStart"/>
            <w:r w:rsidRPr="00DE74EF">
              <w:rPr>
                <w:rFonts w:eastAsia="Times New Roman" w:cs="Times New Roman"/>
                <w:b/>
                <w:lang w:val="de-CH"/>
              </w:rPr>
              <w:t>Zivilstandswesen</w:t>
            </w:r>
            <w:proofErr w:type="spellEnd"/>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Das Dossier muss spätestens wenn der Entscheid der Gemeinde rechtskräftig wird an das Amt für institutionelle Angelegenheiten, Einbürgerungen und </w:t>
            </w:r>
            <w:proofErr w:type="spellStart"/>
            <w:r w:rsidRPr="00DE74EF">
              <w:rPr>
                <w:rFonts w:eastAsia="Times New Roman" w:cs="Times New Roman"/>
                <w:lang w:val="de-CH"/>
              </w:rPr>
              <w:t>Zivilstandswesen</w:t>
            </w:r>
            <w:proofErr w:type="spellEnd"/>
            <w:r w:rsidRPr="00DE74EF">
              <w:rPr>
                <w:rFonts w:eastAsia="Times New Roman" w:cs="Times New Roman"/>
                <w:lang w:val="de-CH"/>
              </w:rPr>
              <w:t xml:space="preserve"> zurücküberwiesen werden.</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Zusammen mit ihrem Entscheid überweist die Gemeinde das Anhörungsprotokoll und die Stellungnahme der Kommission</w:t>
            </w:r>
            <w:r w:rsidRPr="00DE74EF">
              <w:rPr>
                <w:rFonts w:eastAsia="Times New Roman" w:cs="Times New Roman"/>
                <w:vertAlign w:val="superscript"/>
                <w:lang w:val="de-CH"/>
              </w:rPr>
              <w:footnoteReference w:id="5"/>
            </w:r>
            <w:r w:rsidRPr="00DE74EF">
              <w:rPr>
                <w:rFonts w:eastAsia="Times New Roman" w:cs="Times New Roman"/>
                <w:lang w:val="de-CH"/>
              </w:rPr>
              <w:t>.</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483"/>
        <w:gridCol w:w="6805"/>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9</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Entlassung aus dem Gemeindebürgerrecht</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Das Gesuch um Entlassung aus dem Gemeindebürgerrecht muss schriftlich erfolgen und eine kurze Begründung sowie die </w:t>
            </w:r>
            <w:proofErr w:type="spellStart"/>
            <w:r w:rsidRPr="00DE74EF">
              <w:rPr>
                <w:rFonts w:eastAsia="Times New Roman" w:cs="Times New Roman"/>
                <w:lang w:val="de-CH"/>
              </w:rPr>
              <w:t>Zivilstandsdokumente</w:t>
            </w:r>
            <w:proofErr w:type="spellEnd"/>
            <w:r w:rsidRPr="00DE74EF">
              <w:rPr>
                <w:rFonts w:eastAsia="Times New Roman" w:cs="Times New Roman"/>
                <w:lang w:val="de-CH"/>
              </w:rPr>
              <w:t xml:space="preserve"> enthalten, die die verschiedenen Bürgerrechte der gesuchstellenden Person belegen können.</w:t>
            </w:r>
          </w:p>
          <w:p w:rsidR="002166F7" w:rsidRDefault="002166F7" w:rsidP="005E632F">
            <w:pPr>
              <w:spacing w:after="0" w:line="240" w:lineRule="auto"/>
              <w:jc w:val="both"/>
              <w:rPr>
                <w:rFonts w:eastAsia="Times New Roman" w:cs="Times New Roman"/>
                <w:lang w:val="de-CH"/>
              </w:rPr>
            </w:pPr>
            <w:r w:rsidRPr="00DE74EF">
              <w:rPr>
                <w:rFonts w:eastAsia="Times New Roman" w:cs="Times New Roman"/>
                <w:vertAlign w:val="superscript"/>
                <w:lang w:val="de-CH"/>
              </w:rPr>
              <w:t>2</w:t>
            </w:r>
            <w:r w:rsidRPr="00DE74EF">
              <w:rPr>
                <w:rFonts w:eastAsia="Times New Roman" w:cs="Times New Roman"/>
                <w:lang w:val="de-CH"/>
              </w:rPr>
              <w:t xml:space="preserve"> Jedes Gesuch um Entlassung aus dem Gemeindebürgerrecht muss vom Amt für institutionelle Angelegenheiten, Einbürgerungen und </w:t>
            </w:r>
            <w:proofErr w:type="spellStart"/>
            <w:r w:rsidRPr="00DE74EF">
              <w:rPr>
                <w:rFonts w:eastAsia="Times New Roman" w:cs="Times New Roman"/>
                <w:lang w:val="de-CH"/>
              </w:rPr>
              <w:t>Zivilstandswesen</w:t>
            </w:r>
            <w:proofErr w:type="spellEnd"/>
            <w:r w:rsidRPr="00DE74EF">
              <w:rPr>
                <w:rFonts w:eastAsia="Times New Roman" w:cs="Times New Roman"/>
                <w:lang w:val="de-CH"/>
              </w:rPr>
              <w:t>, auf die Gemeindebürgerrechte der gesuchstellenden Person hin überprüft werden.</w:t>
            </w:r>
          </w:p>
          <w:p w:rsidR="00333202" w:rsidRDefault="00333202" w:rsidP="005E632F">
            <w:pPr>
              <w:spacing w:after="0" w:line="240" w:lineRule="auto"/>
              <w:jc w:val="both"/>
              <w:rPr>
                <w:rFonts w:eastAsia="Times New Roman" w:cs="Times New Roman"/>
                <w:lang w:val="de-CH"/>
              </w:rPr>
            </w:pPr>
          </w:p>
          <w:p w:rsidR="00333202" w:rsidRPr="00DE74EF" w:rsidRDefault="00333202" w:rsidP="005E632F">
            <w:pPr>
              <w:spacing w:after="0" w:line="240" w:lineRule="auto"/>
              <w:jc w:val="both"/>
              <w:rPr>
                <w:rFonts w:eastAsia="Times New Roman" w:cs="Times New Roman"/>
                <w:lang w:val="de-CH" w:eastAsia="en-US"/>
              </w:rPr>
            </w:pP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lastRenderedPageBreak/>
              <w:t>3</w:t>
            </w:r>
            <w:r w:rsidRPr="00DE74EF">
              <w:rPr>
                <w:rFonts w:eastAsia="Times New Roman" w:cs="Times New Roman"/>
                <w:lang w:val="de-CH"/>
              </w:rPr>
              <w:t xml:space="preserve"> Der Gemeinderat stellt die Urkunde über die Entlassung aus dem Gemeindebürgerrecht aus. Wird die Entlassung verweigert, so muss dieser Entscheid begründet werden.</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4</w:t>
            </w:r>
            <w:r w:rsidRPr="00DE74EF">
              <w:rPr>
                <w:rFonts w:eastAsia="Times New Roman" w:cs="Times New Roman"/>
                <w:lang w:val="de-CH"/>
              </w:rPr>
              <w:t xml:space="preserve"> Eine Kopie des Entscheids über die Entlassung aus dem Gemeindebürgerrecht geht an das Amt für institutionelle Angelegenheiten, Einbürgerungen und </w:t>
            </w:r>
            <w:proofErr w:type="spellStart"/>
            <w:r w:rsidRPr="00DE74EF">
              <w:rPr>
                <w:rFonts w:eastAsia="Times New Roman" w:cs="Times New Roman"/>
                <w:lang w:val="de-CH"/>
              </w:rPr>
              <w:t>Zivilstandswesen</w:t>
            </w:r>
            <w:proofErr w:type="spellEnd"/>
            <w:r w:rsidRPr="00DE74EF">
              <w:rPr>
                <w:rFonts w:eastAsia="Times New Roman" w:cs="Times New Roman"/>
                <w:lang w:val="de-CH"/>
              </w:rPr>
              <w:t xml:space="preserve">, das im </w:t>
            </w:r>
            <w:proofErr w:type="spellStart"/>
            <w:r w:rsidRPr="00DE74EF">
              <w:rPr>
                <w:rFonts w:eastAsia="Times New Roman" w:cs="Times New Roman"/>
                <w:lang w:val="de-CH"/>
              </w:rPr>
              <w:t>informatisierten</w:t>
            </w:r>
            <w:proofErr w:type="spellEnd"/>
            <w:r w:rsidRPr="00DE74EF">
              <w:rPr>
                <w:rFonts w:eastAsia="Times New Roman" w:cs="Times New Roman"/>
                <w:lang w:val="de-CH"/>
              </w:rPr>
              <w:t xml:space="preserve"> Zivilstandsregister die nötigen Nachführungen vornimmt.</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 xml:space="preserve">5 </w:t>
            </w:r>
            <w:r w:rsidRPr="00DE74EF">
              <w:rPr>
                <w:rFonts w:eastAsia="Times New Roman" w:cs="Times New Roman"/>
                <w:lang w:val="de-CH"/>
              </w:rPr>
              <w:t>Das Verfahren zur Entlassung aus dem Gemeindebürgerrecht ist nach Artikel 48 BRG unentgeltlich.</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240" w:line="240" w:lineRule="auto"/>
        <w:jc w:val="both"/>
        <w:rPr>
          <w:rFonts w:eastAsia="Times New Roman" w:cs="Times New Roman"/>
          <w:lang w:val="de-CH" w:eastAsia="en-US"/>
        </w:rPr>
      </w:pPr>
      <w:r w:rsidRPr="00DE74EF">
        <w:rPr>
          <w:rFonts w:eastAsia="Times New Roman" w:cs="Times New Roman"/>
          <w:lang w:val="de-CH"/>
        </w:rPr>
        <w:t>D. EINBÜRGERUNGSKOMMISSION DER GEMEINDE</w:t>
      </w:r>
    </w:p>
    <w:tbl>
      <w:tblPr>
        <w:tblW w:w="0" w:type="auto"/>
        <w:tblLook w:val="01E0" w:firstRow="1" w:lastRow="1" w:firstColumn="1" w:lastColumn="1" w:noHBand="0" w:noVBand="0"/>
      </w:tblPr>
      <w:tblGrid>
        <w:gridCol w:w="2490"/>
        <w:gridCol w:w="6798"/>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10</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Bezeichnung und Zusammensetzung</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Die Einbürgerungskommission der Gemeinde besteht aus </w:t>
            </w:r>
            <w:r w:rsidRPr="00DE74EF">
              <w:rPr>
                <w:rFonts w:eastAsia="Times New Roman" w:cs="Times New Roman"/>
                <w:highlight w:val="yellow"/>
                <w:u w:val="single"/>
                <w:lang w:val="de-CH"/>
              </w:rPr>
              <w:t>xx</w:t>
            </w:r>
            <w:r w:rsidRPr="00DE74EF">
              <w:rPr>
                <w:rFonts w:eastAsia="Times New Roman" w:cs="Times New Roman"/>
                <w:lang w:val="de-CH"/>
              </w:rPr>
              <w:t xml:space="preserve"> Mitgliedern</w:t>
            </w:r>
            <w:r w:rsidRPr="00DE74EF">
              <w:rPr>
                <w:rFonts w:eastAsia="Times New Roman" w:cs="Times New Roman"/>
                <w:color w:val="0000FF"/>
                <w:lang w:val="de-CH"/>
              </w:rPr>
              <w:t xml:space="preserve"> (zwischen 5 und 11 Mitgliedern gemäss Artikel 43 BRG)</w:t>
            </w:r>
            <w:r w:rsidRPr="00DE74EF">
              <w:rPr>
                <w:rFonts w:eastAsia="Times New Roman" w:cs="Times New Roman"/>
                <w:lang w:val="de-CH"/>
              </w:rPr>
              <w:t>, die aus den in der Gemeinde wohnhaften Aktivbürgerinnen und Aktivbürgern gewählt werden.</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Zu Beginn jeder Legislaturperiode wählt die Gemeindeversammlung </w:t>
            </w:r>
            <w:r w:rsidRPr="00DE74EF">
              <w:rPr>
                <w:rFonts w:eastAsia="Times New Roman" w:cs="Times New Roman"/>
                <w:color w:val="0000FF"/>
                <w:lang w:val="de-CH"/>
              </w:rPr>
              <w:t>(oder der Generalrat)</w:t>
            </w:r>
            <w:r w:rsidRPr="00DE74EF">
              <w:rPr>
                <w:rFonts w:eastAsia="Times New Roman" w:cs="Times New Roman"/>
                <w:lang w:val="de-CH"/>
              </w:rPr>
              <w:t xml:space="preserve"> die Mitglieder der Einbürgerungskommission der Gemeinde für die Dauer der Legislaturperiode.</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3</w:t>
            </w:r>
            <w:r w:rsidRPr="00DE74EF">
              <w:rPr>
                <w:rFonts w:eastAsia="Times New Roman" w:cs="Times New Roman"/>
                <w:lang w:val="de-CH"/>
              </w:rPr>
              <w:t xml:space="preserve"> Wird kein Mitglied des Gemeinderats in die Einbürgerungskommission der Gemeinde gewählt, so kann eine Vertreterin oder ein Vertreter des Gemeinderats den Kommissionssitzungen ohne Stimmrecht beiwohnen.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240" w:line="240" w:lineRule="auto"/>
        <w:jc w:val="both"/>
        <w:rPr>
          <w:rFonts w:eastAsia="Times New Roman" w:cs="Times New Roman"/>
          <w:lang w:val="de-CH" w:eastAsia="en-US"/>
        </w:rPr>
      </w:pPr>
      <w:r w:rsidRPr="00DE74EF">
        <w:rPr>
          <w:rFonts w:eastAsia="Times New Roman" w:cs="Times New Roman"/>
          <w:lang w:val="de-CH"/>
        </w:rPr>
        <w:t>E. VERWALTUNGSGEBÜHREN</w:t>
      </w:r>
      <w:r w:rsidRPr="00DE74EF">
        <w:rPr>
          <w:rFonts w:eastAsia="Times New Roman" w:cs="Times New Roman"/>
          <w:vertAlign w:val="superscript"/>
          <w:lang w:val="de-CH"/>
        </w:rPr>
        <w:footnoteReference w:id="6"/>
      </w:r>
    </w:p>
    <w:tbl>
      <w:tblPr>
        <w:tblW w:w="0" w:type="auto"/>
        <w:tblLook w:val="01E0" w:firstRow="1" w:lastRow="1" w:firstColumn="1" w:lastColumn="1" w:noHBand="0" w:noVBand="0"/>
      </w:tblPr>
      <w:tblGrid>
        <w:gridCol w:w="2512"/>
        <w:gridCol w:w="6776"/>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11</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Verwaltungsgebühren</w:t>
            </w:r>
          </w:p>
        </w:tc>
      </w:tr>
      <w:tr w:rsidR="002166F7" w:rsidRPr="007659D4" w:rsidTr="005E632F">
        <w:tc>
          <w:tcPr>
            <w:tcW w:w="9778" w:type="dxa"/>
            <w:gridSpan w:val="2"/>
            <w:shd w:val="clear" w:color="auto" w:fill="auto"/>
          </w:tcPr>
          <w:p w:rsidR="002166F7" w:rsidRPr="00DE74EF" w:rsidRDefault="002166F7" w:rsidP="005E632F">
            <w:pPr>
              <w:spacing w:after="12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Pro Dossier können die folgenden Gebühren erhoben werden</w:t>
            </w:r>
            <w:r w:rsidRPr="00DE74EF">
              <w:rPr>
                <w:rFonts w:eastAsia="Times New Roman" w:cs="Times New Roman"/>
                <w:vertAlign w:val="superscript"/>
                <w:lang w:val="de-CH"/>
              </w:rPr>
              <w:footnoteReference w:id="7"/>
            </w:r>
            <w:r w:rsidRPr="00DE74EF">
              <w:rPr>
                <w:rFonts w:eastAsia="Times New Roman" w:cs="Times New Roman"/>
                <w:lang w:val="de-CH"/>
              </w:rPr>
              <w:t>:</w:t>
            </w:r>
          </w:p>
          <w:p w:rsidR="002166F7" w:rsidRPr="00DE74EF" w:rsidRDefault="002166F7" w:rsidP="005E632F">
            <w:pPr>
              <w:tabs>
                <w:tab w:val="left" w:pos="360"/>
                <w:tab w:val="left" w:pos="8100"/>
              </w:tabs>
              <w:spacing w:after="0" w:line="240" w:lineRule="auto"/>
              <w:ind w:left="284"/>
              <w:jc w:val="both"/>
              <w:rPr>
                <w:rFonts w:eastAsia="Times New Roman" w:cs="Times New Roman"/>
                <w:lang w:val="de-CH" w:eastAsia="en-US"/>
              </w:rPr>
            </w:pPr>
            <w:r w:rsidRPr="00DE74EF">
              <w:rPr>
                <w:rFonts w:eastAsia="Times New Roman" w:cs="Times New Roman"/>
                <w:u w:val="single"/>
                <w:lang w:val="de-CH"/>
              </w:rPr>
              <w:t>Ordentliche Einbürgerung</w:t>
            </w:r>
            <w:r w:rsidRPr="00DE74EF">
              <w:rPr>
                <w:rFonts w:eastAsia="Times New Roman" w:cs="Times New Roman"/>
                <w:lang w:val="de-CH"/>
              </w:rPr>
              <w:tab/>
              <w:t xml:space="preserve">Fr. </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a) Vorprüfung des Dossiers</w:t>
            </w:r>
            <w:r w:rsidRPr="00DE74EF">
              <w:rPr>
                <w:rFonts w:eastAsia="Times New Roman" w:cs="Times New Roman"/>
                <w:lang w:val="de-CH"/>
              </w:rPr>
              <w:tab/>
              <w:t>100-200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b) zusätzliche Abklärungen durch die Gemeinde</w:t>
            </w:r>
            <w:r w:rsidRPr="00DE74EF">
              <w:rPr>
                <w:rFonts w:eastAsia="Times New Roman" w:cs="Times New Roman"/>
                <w:lang w:val="de-CH"/>
              </w:rPr>
              <w:tab/>
              <w:t>20-150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c) Staatskundekurs und -unterlagen</w:t>
            </w:r>
            <w:r w:rsidRPr="00DE74EF">
              <w:rPr>
                <w:rFonts w:eastAsia="Times New Roman" w:cs="Times New Roman"/>
                <w:lang w:val="de-CH"/>
              </w:rPr>
              <w:tab/>
              <w:t>20-150</w:t>
            </w:r>
          </w:p>
          <w:p w:rsidR="002166F7" w:rsidRPr="00DE74EF" w:rsidRDefault="002166F7" w:rsidP="005E632F">
            <w:pPr>
              <w:tabs>
                <w:tab w:val="left" w:pos="284"/>
                <w:tab w:val="left" w:pos="8100"/>
              </w:tabs>
              <w:spacing w:after="0" w:line="240" w:lineRule="auto"/>
              <w:rPr>
                <w:rFonts w:eastAsia="Times New Roman" w:cs="Times New Roman"/>
                <w:lang w:val="de-CH" w:eastAsia="en-US"/>
              </w:rPr>
            </w:pPr>
            <w:r w:rsidRPr="00DE74EF">
              <w:rPr>
                <w:rFonts w:eastAsia="Times New Roman" w:cs="Times New Roman"/>
                <w:lang w:val="de-CH"/>
              </w:rPr>
              <w:tab/>
              <w:t xml:space="preserve">d) Anhörung und/oder </w:t>
            </w:r>
            <w:proofErr w:type="spellStart"/>
            <w:r w:rsidRPr="00DE74EF">
              <w:rPr>
                <w:rFonts w:eastAsia="Times New Roman" w:cs="Times New Roman"/>
                <w:lang w:val="de-CH"/>
              </w:rPr>
              <w:t>Stellungn</w:t>
            </w:r>
            <w:proofErr w:type="spellEnd"/>
            <w:r w:rsidRPr="00DE74EF">
              <w:rPr>
                <w:rFonts w:eastAsia="Times New Roman" w:cs="Times New Roman"/>
                <w:lang w:val="de-CH"/>
              </w:rPr>
              <w:t>. durch die Einbürgerungskommission der Gemeinde</w:t>
            </w:r>
            <w:r w:rsidRPr="00DE74EF">
              <w:rPr>
                <w:rFonts w:eastAsia="Times New Roman" w:cs="Times New Roman"/>
                <w:vertAlign w:val="superscript"/>
                <w:lang w:val="de-CH"/>
              </w:rPr>
              <w:footnoteReference w:id="8"/>
            </w:r>
            <w:r w:rsidRPr="00DE74EF">
              <w:rPr>
                <w:rFonts w:eastAsia="Times New Roman" w:cs="Times New Roman"/>
                <w:lang w:val="de-CH"/>
              </w:rPr>
              <w:tab/>
              <w:t>50-300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e) Entscheid des Gemeinderats</w:t>
            </w:r>
            <w:r w:rsidRPr="00DE74EF">
              <w:rPr>
                <w:rFonts w:eastAsia="Times New Roman" w:cs="Times New Roman"/>
                <w:lang w:val="de-CH"/>
              </w:rPr>
              <w:tab/>
              <w:t>50-200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f) Grundbetrag für Auslagen (Telefon-, Versandkosten usw.)</w:t>
            </w:r>
            <w:r w:rsidRPr="00DE74EF">
              <w:rPr>
                <w:rFonts w:eastAsia="Times New Roman" w:cs="Times New Roman"/>
                <w:lang w:val="de-CH"/>
              </w:rPr>
              <w:tab/>
              <w:t>20-30</w:t>
            </w:r>
          </w:p>
          <w:p w:rsidR="002166F7" w:rsidRPr="00DE74EF" w:rsidRDefault="002166F7" w:rsidP="005E632F">
            <w:pPr>
              <w:tabs>
                <w:tab w:val="left" w:pos="284"/>
                <w:tab w:val="left" w:pos="7938"/>
              </w:tabs>
              <w:spacing w:after="0" w:line="240" w:lineRule="auto"/>
              <w:rPr>
                <w:rFonts w:eastAsia="Times New Roman" w:cs="Times New Roman"/>
                <w:lang w:val="de-CH"/>
              </w:rPr>
            </w:pPr>
            <w:r w:rsidRPr="00DE74EF">
              <w:rPr>
                <w:rFonts w:eastAsia="Times New Roman" w:cs="Times New Roman"/>
                <w:lang w:val="de-CH"/>
              </w:rPr>
              <w:tab/>
              <w:t>g) bes</w:t>
            </w:r>
            <w:r>
              <w:rPr>
                <w:rFonts w:eastAsia="Times New Roman" w:cs="Times New Roman"/>
                <w:lang w:val="de-CH"/>
              </w:rPr>
              <w:t>ondere juristische Analyse</w:t>
            </w:r>
            <w:r w:rsidRPr="00DE74EF">
              <w:rPr>
                <w:rFonts w:eastAsia="Times New Roman" w:cs="Times New Roman"/>
                <w:lang w:val="de-CH"/>
              </w:rPr>
              <w:tab/>
              <w:t>150/</w:t>
            </w:r>
            <w:r>
              <w:rPr>
                <w:rFonts w:eastAsia="Times New Roman" w:cs="Times New Roman"/>
                <w:lang w:val="de-CH"/>
              </w:rPr>
              <w:t>Stunde</w:t>
            </w:r>
          </w:p>
          <w:p w:rsidR="002166F7" w:rsidRDefault="002166F7" w:rsidP="005E632F">
            <w:pPr>
              <w:tabs>
                <w:tab w:val="left" w:pos="360"/>
                <w:tab w:val="left" w:pos="7560"/>
              </w:tabs>
              <w:spacing w:after="0" w:line="240" w:lineRule="auto"/>
              <w:jc w:val="both"/>
              <w:rPr>
                <w:rFonts w:eastAsia="Times New Roman" w:cs="Times New Roman"/>
                <w:lang w:val="de-CH" w:eastAsia="en-US"/>
              </w:rPr>
            </w:pPr>
          </w:p>
          <w:p w:rsidR="00333202" w:rsidRDefault="00333202" w:rsidP="005E632F">
            <w:pPr>
              <w:tabs>
                <w:tab w:val="left" w:pos="360"/>
                <w:tab w:val="left" w:pos="7560"/>
              </w:tabs>
              <w:spacing w:after="0" w:line="240" w:lineRule="auto"/>
              <w:jc w:val="both"/>
              <w:rPr>
                <w:rFonts w:eastAsia="Times New Roman" w:cs="Times New Roman"/>
                <w:lang w:val="de-CH" w:eastAsia="en-US"/>
              </w:rPr>
            </w:pPr>
          </w:p>
          <w:p w:rsidR="00333202" w:rsidRDefault="00333202" w:rsidP="005E632F">
            <w:pPr>
              <w:tabs>
                <w:tab w:val="left" w:pos="360"/>
                <w:tab w:val="left" w:pos="7560"/>
              </w:tabs>
              <w:spacing w:after="0" w:line="240" w:lineRule="auto"/>
              <w:jc w:val="both"/>
              <w:rPr>
                <w:rFonts w:eastAsia="Times New Roman" w:cs="Times New Roman"/>
                <w:lang w:val="de-CH" w:eastAsia="en-US"/>
              </w:rPr>
            </w:pPr>
          </w:p>
          <w:p w:rsidR="00333202" w:rsidRDefault="00333202" w:rsidP="005E632F">
            <w:pPr>
              <w:tabs>
                <w:tab w:val="left" w:pos="360"/>
                <w:tab w:val="left" w:pos="7560"/>
              </w:tabs>
              <w:spacing w:after="0" w:line="240" w:lineRule="auto"/>
              <w:jc w:val="both"/>
              <w:rPr>
                <w:rFonts w:eastAsia="Times New Roman" w:cs="Times New Roman"/>
                <w:lang w:val="de-CH" w:eastAsia="en-US"/>
              </w:rPr>
            </w:pPr>
          </w:p>
          <w:p w:rsidR="00333202" w:rsidRDefault="00333202" w:rsidP="005E632F">
            <w:pPr>
              <w:tabs>
                <w:tab w:val="left" w:pos="360"/>
                <w:tab w:val="left" w:pos="7560"/>
              </w:tabs>
              <w:spacing w:after="0" w:line="240" w:lineRule="auto"/>
              <w:jc w:val="both"/>
              <w:rPr>
                <w:rFonts w:eastAsia="Times New Roman" w:cs="Times New Roman"/>
                <w:lang w:val="de-CH" w:eastAsia="en-US"/>
              </w:rPr>
            </w:pPr>
          </w:p>
          <w:p w:rsidR="00333202" w:rsidRPr="00DE74EF" w:rsidRDefault="00333202" w:rsidP="005E632F">
            <w:pPr>
              <w:tabs>
                <w:tab w:val="left" w:pos="360"/>
                <w:tab w:val="left" w:pos="7560"/>
              </w:tabs>
              <w:spacing w:after="0" w:line="240" w:lineRule="auto"/>
              <w:jc w:val="both"/>
              <w:rPr>
                <w:rFonts w:eastAsia="Times New Roman" w:cs="Times New Roman"/>
                <w:lang w:val="de-CH" w:eastAsia="en-US"/>
              </w:rPr>
            </w:pPr>
          </w:p>
          <w:p w:rsidR="002166F7" w:rsidRPr="00DE74EF" w:rsidRDefault="002166F7" w:rsidP="005E632F">
            <w:pPr>
              <w:tabs>
                <w:tab w:val="left" w:pos="360"/>
                <w:tab w:val="left" w:pos="8100"/>
              </w:tabs>
              <w:spacing w:after="0" w:line="240" w:lineRule="auto"/>
              <w:ind w:left="284"/>
              <w:jc w:val="both"/>
              <w:rPr>
                <w:rFonts w:eastAsia="Times New Roman" w:cs="Times New Roman"/>
                <w:lang w:val="de-CH" w:eastAsia="en-US"/>
              </w:rPr>
            </w:pPr>
            <w:r w:rsidRPr="00DE74EF">
              <w:rPr>
                <w:rFonts w:eastAsia="Times New Roman" w:cs="Times New Roman"/>
                <w:u w:val="single"/>
                <w:lang w:val="de-CH"/>
              </w:rPr>
              <w:lastRenderedPageBreak/>
              <w:t>Ordentliche Einbürgerung für Personen der zweiten Generation</w:t>
            </w:r>
            <w:r w:rsidRPr="00DE74EF">
              <w:rPr>
                <w:rFonts w:eastAsia="Times New Roman" w:cs="Times New Roman"/>
                <w:lang w:val="de-CH"/>
              </w:rPr>
              <w:tab/>
              <w:t xml:space="preserve">Fr. </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a) Vorprüfung des Dossiers</w:t>
            </w:r>
            <w:r w:rsidRPr="00DE74EF">
              <w:rPr>
                <w:rFonts w:eastAsia="Times New Roman" w:cs="Times New Roman"/>
                <w:lang w:val="de-CH"/>
              </w:rPr>
              <w:tab/>
              <w:t>50-100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b) zusätzliche Abklärungen durch die Gemeinde</w:t>
            </w:r>
            <w:r w:rsidRPr="00DE74EF">
              <w:rPr>
                <w:rFonts w:eastAsia="Times New Roman" w:cs="Times New Roman"/>
                <w:lang w:val="de-CH"/>
              </w:rPr>
              <w:tab/>
              <w:t>20-100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c) Staatskundekurs und -unterlagen</w:t>
            </w:r>
            <w:r w:rsidRPr="00DE74EF">
              <w:rPr>
                <w:rFonts w:eastAsia="Times New Roman" w:cs="Times New Roman"/>
                <w:lang w:val="de-CH"/>
              </w:rPr>
              <w:tab/>
              <w:t>20-50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 xml:space="preserve">d) Anhörung und/oder </w:t>
            </w:r>
            <w:proofErr w:type="spellStart"/>
            <w:r w:rsidRPr="00DE74EF">
              <w:rPr>
                <w:rFonts w:eastAsia="Times New Roman" w:cs="Times New Roman"/>
                <w:lang w:val="de-CH"/>
              </w:rPr>
              <w:t>Stellungn</w:t>
            </w:r>
            <w:proofErr w:type="spellEnd"/>
            <w:r w:rsidRPr="00DE74EF">
              <w:rPr>
                <w:rFonts w:eastAsia="Times New Roman" w:cs="Times New Roman"/>
                <w:lang w:val="de-CH"/>
              </w:rPr>
              <w:t>. durch die Einbürgerungskommission der Gemeinde</w:t>
            </w:r>
            <w:r w:rsidRPr="00DE74EF">
              <w:rPr>
                <w:rFonts w:eastAsia="Times New Roman" w:cs="Times New Roman"/>
                <w:lang w:val="de-CH"/>
              </w:rPr>
              <w:tab/>
              <w:t>50-200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e) Entscheid des Gemeinderats</w:t>
            </w:r>
            <w:r w:rsidRPr="00DE74EF">
              <w:rPr>
                <w:rFonts w:eastAsia="Times New Roman" w:cs="Times New Roman"/>
                <w:lang w:val="de-CH"/>
              </w:rPr>
              <w:tab/>
              <w:t>50-150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f) Grundbetrag für Auslagen (Telefon-, Versandkosten usw.)</w:t>
            </w:r>
            <w:r w:rsidRPr="00DE74EF">
              <w:rPr>
                <w:rFonts w:eastAsia="Times New Roman" w:cs="Times New Roman"/>
                <w:lang w:val="de-CH"/>
              </w:rPr>
              <w:tab/>
              <w:t>20-30</w:t>
            </w:r>
          </w:p>
          <w:p w:rsidR="002166F7" w:rsidRPr="00DE74EF" w:rsidRDefault="002166F7" w:rsidP="005E632F">
            <w:pPr>
              <w:tabs>
                <w:tab w:val="left" w:pos="284"/>
                <w:tab w:val="left" w:pos="7938"/>
              </w:tabs>
              <w:spacing w:after="0" w:line="240" w:lineRule="auto"/>
              <w:jc w:val="both"/>
              <w:rPr>
                <w:rFonts w:eastAsia="Times New Roman" w:cs="Times New Roman"/>
                <w:lang w:val="de-CH" w:eastAsia="en-US"/>
              </w:rPr>
            </w:pPr>
            <w:r w:rsidRPr="00DE74EF">
              <w:rPr>
                <w:rFonts w:eastAsia="Times New Roman" w:cs="Times New Roman"/>
                <w:lang w:val="de-CH"/>
              </w:rPr>
              <w:tab/>
              <w:t xml:space="preserve">g) </w:t>
            </w:r>
            <w:r>
              <w:rPr>
                <w:rFonts w:eastAsia="Times New Roman" w:cs="Times New Roman"/>
                <w:lang w:val="de-CH"/>
              </w:rPr>
              <w:t>besondere juristische Analyse</w:t>
            </w:r>
            <w:r w:rsidRPr="00DE74EF">
              <w:rPr>
                <w:rFonts w:eastAsia="Times New Roman" w:cs="Times New Roman"/>
                <w:lang w:val="de-CH"/>
              </w:rPr>
              <w:tab/>
              <w:t>150/</w:t>
            </w:r>
            <w:r>
              <w:rPr>
                <w:rFonts w:eastAsia="Times New Roman" w:cs="Times New Roman"/>
                <w:lang w:val="de-CH"/>
              </w:rPr>
              <w:t>Stunde</w:t>
            </w:r>
          </w:p>
          <w:p w:rsidR="002166F7" w:rsidRPr="00DE74EF" w:rsidRDefault="002166F7" w:rsidP="005E632F">
            <w:pPr>
              <w:tabs>
                <w:tab w:val="left" w:pos="360"/>
                <w:tab w:val="left" w:pos="7560"/>
              </w:tabs>
              <w:spacing w:after="0" w:line="240" w:lineRule="auto"/>
              <w:jc w:val="both"/>
              <w:rPr>
                <w:rFonts w:eastAsia="Times New Roman" w:cs="Times New Roman"/>
                <w:lang w:val="de-CH" w:eastAsia="en-US"/>
              </w:rPr>
            </w:pPr>
          </w:p>
          <w:p w:rsidR="002166F7" w:rsidRPr="00DE74EF" w:rsidRDefault="002166F7" w:rsidP="005E632F">
            <w:pPr>
              <w:tabs>
                <w:tab w:val="left" w:pos="360"/>
                <w:tab w:val="left" w:pos="8100"/>
              </w:tabs>
              <w:spacing w:after="0" w:line="240" w:lineRule="auto"/>
              <w:ind w:left="284"/>
              <w:jc w:val="both"/>
              <w:rPr>
                <w:rFonts w:eastAsia="Times New Roman" w:cs="Times New Roman"/>
                <w:lang w:val="de-CH" w:eastAsia="en-US"/>
              </w:rPr>
            </w:pPr>
            <w:r w:rsidRPr="00DE74EF">
              <w:rPr>
                <w:rFonts w:eastAsia="Times New Roman" w:cs="Times New Roman"/>
                <w:u w:val="single"/>
                <w:lang w:val="de-CH"/>
              </w:rPr>
              <w:t>Erteilung des Gemeindebürgerrechts an Schweizerinnen und Schweizer oder Freiburgerinnen und Freiburger</w:t>
            </w:r>
            <w:r w:rsidRPr="00DE74EF">
              <w:rPr>
                <w:rFonts w:eastAsia="Times New Roman" w:cs="Times New Roman"/>
                <w:lang w:val="de-CH"/>
              </w:rPr>
              <w:tab/>
              <w:t>Fr.</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a) Vorprüfung des Dossiers</w:t>
            </w:r>
            <w:r w:rsidRPr="00DE74EF">
              <w:rPr>
                <w:rFonts w:eastAsia="Times New Roman" w:cs="Times New Roman"/>
                <w:lang w:val="de-CH"/>
              </w:rPr>
              <w:tab/>
              <w:t>50-100</w:t>
            </w:r>
          </w:p>
          <w:p w:rsidR="002166F7" w:rsidRPr="00DE74EF" w:rsidRDefault="002166F7" w:rsidP="005E632F">
            <w:pPr>
              <w:tabs>
                <w:tab w:val="left" w:pos="284"/>
                <w:tab w:val="left" w:pos="8100"/>
              </w:tabs>
              <w:spacing w:after="0" w:line="240" w:lineRule="auto"/>
              <w:jc w:val="both"/>
              <w:rPr>
                <w:rFonts w:eastAsia="Times New Roman" w:cs="Times New Roman"/>
                <w:lang w:val="de-CH" w:eastAsia="en-US"/>
              </w:rPr>
            </w:pPr>
            <w:r w:rsidRPr="00DE74EF">
              <w:rPr>
                <w:rFonts w:eastAsia="Times New Roman" w:cs="Times New Roman"/>
                <w:lang w:val="de-CH"/>
              </w:rPr>
              <w:tab/>
              <w:t>e) Entscheid des Gemeinderats</w:t>
            </w:r>
            <w:r w:rsidRPr="00DE74EF">
              <w:rPr>
                <w:rFonts w:eastAsia="Times New Roman" w:cs="Times New Roman"/>
                <w:lang w:val="de-CH"/>
              </w:rPr>
              <w:tab/>
              <w:t>50-200</w:t>
            </w:r>
          </w:p>
          <w:p w:rsidR="002166F7" w:rsidRPr="00DE74EF" w:rsidRDefault="002166F7" w:rsidP="005E632F">
            <w:pPr>
              <w:widowControl w:val="0"/>
              <w:tabs>
                <w:tab w:val="left" w:pos="1134"/>
              </w:tabs>
              <w:spacing w:after="0" w:line="240" w:lineRule="auto"/>
              <w:jc w:val="both"/>
              <w:rPr>
                <w:rFonts w:eastAsia="Times New Roman" w:cs="Times New Roman"/>
                <w:lang w:val="de-CH" w:eastAsia="en-US"/>
              </w:rPr>
            </w:pPr>
          </w:p>
          <w:p w:rsidR="002166F7" w:rsidRPr="00DE74EF" w:rsidRDefault="002166F7" w:rsidP="005E632F">
            <w:pPr>
              <w:widowControl w:val="0"/>
              <w:tabs>
                <w:tab w:val="left" w:pos="1134"/>
              </w:tabs>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Wird das Gesuch zurückgezogen, ausgesetzt oder abgewiesen, so bleibt die Verwaltungsgebühr für die bereits durchgeführten Verfahrensschritte geschuldet.</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3</w:t>
            </w:r>
            <w:r w:rsidRPr="00DE74EF">
              <w:rPr>
                <w:rFonts w:eastAsia="Times New Roman" w:cs="Times New Roman"/>
                <w:lang w:val="de-CH"/>
              </w:rPr>
              <w:t xml:space="preserve"> Eine Bewerberin oder ein Bewerber, die oder der sich in einer schwierigen Finanzlage befindet, kann eine Kürzung der Gebühren beantragen. Der Gemeinderat entscheidet über die Kürzung der Gebühren.</w:t>
            </w:r>
          </w:p>
          <w:p w:rsidR="002166F7" w:rsidRPr="00DE74EF" w:rsidRDefault="002166F7" w:rsidP="005E632F">
            <w:pPr>
              <w:tabs>
                <w:tab w:val="left" w:pos="360"/>
                <w:tab w:val="left" w:pos="7560"/>
              </w:tabs>
              <w:spacing w:after="0" w:line="240" w:lineRule="auto"/>
              <w:jc w:val="both"/>
              <w:rPr>
                <w:rFonts w:eastAsia="Times New Roman" w:cs="Times New Roman"/>
                <w:lang w:val="de-CH" w:eastAsia="en-US"/>
              </w:rPr>
            </w:pPr>
            <w:r w:rsidRPr="00DE74EF">
              <w:rPr>
                <w:rFonts w:eastAsia="Times New Roman" w:cs="Times New Roman"/>
                <w:vertAlign w:val="superscript"/>
                <w:lang w:val="de-CH"/>
              </w:rPr>
              <w:t>4</w:t>
            </w:r>
            <w:r w:rsidRPr="00DE74EF">
              <w:rPr>
                <w:rFonts w:eastAsia="Times New Roman" w:cs="Times New Roman"/>
                <w:lang w:val="de-CH"/>
              </w:rPr>
              <w:t xml:space="preserve"> Die Gebühren sind fällig, sobald der Gemeinderat den Entscheid gefällt hat.</w:t>
            </w:r>
          </w:p>
          <w:p w:rsidR="002166F7" w:rsidRPr="00DE74EF" w:rsidRDefault="002166F7" w:rsidP="005E632F">
            <w:pPr>
              <w:spacing w:before="120" w:after="0" w:line="240" w:lineRule="auto"/>
              <w:jc w:val="both"/>
              <w:rPr>
                <w:rFonts w:eastAsia="Times New Roman" w:cs="Times New Roman"/>
                <w:color w:val="0000FF"/>
                <w:lang w:val="de-CH" w:eastAsia="en-US"/>
              </w:rPr>
            </w:pPr>
            <w:r w:rsidRPr="00DE74EF">
              <w:rPr>
                <w:rFonts w:eastAsia="Times New Roman" w:cs="Times New Roman"/>
                <w:color w:val="0000FF"/>
                <w:u w:val="single"/>
                <w:lang w:val="de-CH"/>
              </w:rPr>
              <w:t>Variante zu Absatz 1</w:t>
            </w:r>
            <w:r w:rsidRPr="00DE74EF">
              <w:rPr>
                <w:rFonts w:eastAsia="Times New Roman" w:cs="Times New Roman"/>
                <w:color w:val="0000FF"/>
                <w:lang w:val="de-CH"/>
              </w:rPr>
              <w:t>:</w:t>
            </w:r>
          </w:p>
          <w:p w:rsidR="002166F7" w:rsidRPr="00DE74EF" w:rsidRDefault="002166F7" w:rsidP="005E632F">
            <w:pPr>
              <w:spacing w:after="0" w:line="240" w:lineRule="auto"/>
              <w:jc w:val="both"/>
              <w:rPr>
                <w:rFonts w:eastAsia="Times New Roman" w:cs="Times New Roman"/>
                <w:color w:val="0000FF"/>
                <w:lang w:val="de-CH" w:eastAsia="en-US"/>
              </w:rPr>
            </w:pPr>
            <w:r w:rsidRPr="00DE74EF">
              <w:rPr>
                <w:rFonts w:eastAsia="Times New Roman" w:cs="Times New Roman"/>
                <w:color w:val="0000FF"/>
                <w:vertAlign w:val="superscript"/>
                <w:lang w:val="de-CH"/>
              </w:rPr>
              <w:t>1</w:t>
            </w:r>
            <w:r w:rsidRPr="00DE74EF">
              <w:rPr>
                <w:rFonts w:eastAsia="Times New Roman" w:cs="Times New Roman"/>
                <w:color w:val="0000FF"/>
                <w:lang w:val="de-CH"/>
              </w:rPr>
              <w:t xml:space="preserve"> Die Gebühren, die pro Dossier erhoben werden, können anhand des Tarifs im Anhang dieses Reglements berechnet werden.</w:t>
            </w:r>
          </w:p>
          <w:p w:rsidR="002166F7" w:rsidRPr="00DE74EF" w:rsidRDefault="002166F7" w:rsidP="005E632F">
            <w:pPr>
              <w:widowControl w:val="0"/>
              <w:tabs>
                <w:tab w:val="left" w:pos="1134"/>
              </w:tabs>
              <w:spacing w:after="0" w:line="240" w:lineRule="auto"/>
              <w:jc w:val="both"/>
              <w:rPr>
                <w:rFonts w:eastAsia="Times New Roman" w:cs="Times New Roman"/>
                <w:lang w:val="de-CH" w:eastAsia="en-US"/>
              </w:rPr>
            </w:pPr>
          </w:p>
        </w:tc>
      </w:tr>
      <w:tr w:rsidR="002166F7" w:rsidRPr="007659D4" w:rsidTr="005E632F">
        <w:tc>
          <w:tcPr>
            <w:tcW w:w="9778" w:type="dxa"/>
            <w:gridSpan w:val="2"/>
            <w:shd w:val="clear" w:color="auto" w:fill="auto"/>
          </w:tcPr>
          <w:p w:rsidR="002166F7" w:rsidRPr="00DE74EF" w:rsidRDefault="002166F7" w:rsidP="005E632F">
            <w:pPr>
              <w:spacing w:after="120" w:line="240" w:lineRule="auto"/>
              <w:jc w:val="both"/>
              <w:rPr>
                <w:rFonts w:eastAsia="Times New Roman" w:cs="Times New Roman"/>
                <w:vertAlign w:val="superscript"/>
                <w:lang w:val="de-CH"/>
              </w:rPr>
            </w:pPr>
          </w:p>
        </w:tc>
      </w:tr>
    </w:tbl>
    <w:p w:rsidR="002166F7" w:rsidRPr="00DE74EF" w:rsidRDefault="002166F7" w:rsidP="002166F7">
      <w:pPr>
        <w:spacing w:after="240" w:line="240" w:lineRule="auto"/>
        <w:jc w:val="both"/>
        <w:rPr>
          <w:rFonts w:eastAsia="Times New Roman" w:cs="Times New Roman"/>
          <w:lang w:val="de-CH" w:eastAsia="en-US"/>
        </w:rPr>
      </w:pPr>
      <w:r w:rsidRPr="00DE74EF">
        <w:rPr>
          <w:rFonts w:eastAsia="Times New Roman" w:cs="Times New Roman"/>
          <w:lang w:val="de-CH"/>
        </w:rPr>
        <w:t>F. RECHTSMITTEL UND SCHLUSSBESTIMMUNGEN</w:t>
      </w:r>
    </w:p>
    <w:tbl>
      <w:tblPr>
        <w:tblW w:w="0" w:type="auto"/>
        <w:tblLook w:val="01E0" w:firstRow="1" w:lastRow="1" w:firstColumn="1" w:lastColumn="1" w:noHBand="0" w:noVBand="0"/>
      </w:tblPr>
      <w:tblGrid>
        <w:gridCol w:w="2501"/>
        <w:gridCol w:w="6787"/>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12</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Rechtsmittel</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lang w:val="de-CH"/>
              </w:rPr>
              <w:t>Die Entscheide des Gemeinderats über die Erteilung des Gemeindebürgerrechts oder die Entlassung aus dem Gemeindebürgerrecht können beim Oberamtmann innert 30 Tagen seit ihrer Eröffnung mit Beschwerde angefochten werden.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494"/>
        <w:gridCol w:w="6794"/>
      </w:tblGrid>
      <w:tr w:rsidR="002166F7" w:rsidRPr="00DE74EF"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13</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Übergangsrecht</w:t>
            </w:r>
          </w:p>
        </w:tc>
      </w:tr>
      <w:tr w:rsidR="002166F7" w:rsidRPr="00DE74EF"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Das alte Gemeindereglement gilt für alle vor dem 1. Januar 2018 eingereichten Gesuche</w:t>
            </w:r>
            <w:r w:rsidRPr="00DE74EF">
              <w:rPr>
                <w:rFonts w:eastAsia="Times New Roman" w:cs="Times New Roman"/>
                <w:vertAlign w:val="superscript"/>
                <w:lang w:val="de-CH"/>
              </w:rPr>
              <w:footnoteReference w:id="9"/>
            </w:r>
            <w:r w:rsidRPr="00DE74EF">
              <w:rPr>
                <w:rFonts w:eastAsia="Times New Roman" w:cs="Times New Roman"/>
                <w:lang w:val="de-CH"/>
              </w:rPr>
              <w:t>.</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2</w:t>
            </w:r>
            <w:r w:rsidRPr="00DE74EF">
              <w:rPr>
                <w:rFonts w:eastAsia="Times New Roman" w:cs="Times New Roman"/>
                <w:lang w:val="de-CH"/>
              </w:rPr>
              <w:t xml:space="preserve"> Dieses Reglement gilt für alle ab dem 1. Januar 2018 eingereichten Gesuche.</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tbl>
      <w:tblPr>
        <w:tblW w:w="0" w:type="auto"/>
        <w:tblLook w:val="01E0" w:firstRow="1" w:lastRow="1" w:firstColumn="1" w:lastColumn="1" w:noHBand="0" w:noVBand="0"/>
      </w:tblPr>
      <w:tblGrid>
        <w:gridCol w:w="2500"/>
        <w:gridCol w:w="6788"/>
      </w:tblGrid>
      <w:tr w:rsidR="002166F7" w:rsidRPr="007659D4" w:rsidTr="005E632F">
        <w:tc>
          <w:tcPr>
            <w:tcW w:w="2628" w:type="dxa"/>
            <w:shd w:val="clear" w:color="auto" w:fill="auto"/>
          </w:tcPr>
          <w:p w:rsidR="002166F7" w:rsidRPr="00DE74EF" w:rsidRDefault="002166F7" w:rsidP="005E632F">
            <w:pPr>
              <w:spacing w:after="0" w:line="240" w:lineRule="auto"/>
              <w:jc w:val="both"/>
              <w:rPr>
                <w:rFonts w:eastAsia="Times New Roman" w:cs="Times New Roman"/>
                <w:b/>
                <w:lang w:val="de-CH" w:eastAsia="en-US"/>
              </w:rPr>
            </w:pPr>
            <w:r w:rsidRPr="00DE74EF">
              <w:rPr>
                <w:rFonts w:eastAsia="Times New Roman" w:cs="Times New Roman"/>
                <w:b/>
                <w:lang w:val="de-CH"/>
              </w:rPr>
              <w:t>Art. 14</w:t>
            </w:r>
          </w:p>
        </w:tc>
        <w:tc>
          <w:tcPr>
            <w:tcW w:w="7150" w:type="dxa"/>
            <w:shd w:val="clear" w:color="auto" w:fill="auto"/>
          </w:tcPr>
          <w:p w:rsidR="002166F7" w:rsidRPr="00DE74EF" w:rsidRDefault="002166F7" w:rsidP="005E632F">
            <w:pPr>
              <w:spacing w:after="120" w:line="240" w:lineRule="auto"/>
              <w:jc w:val="both"/>
              <w:rPr>
                <w:rFonts w:eastAsia="Times New Roman" w:cs="Times New Roman"/>
                <w:b/>
                <w:lang w:val="de-CH" w:eastAsia="en-US"/>
              </w:rPr>
            </w:pPr>
            <w:r w:rsidRPr="00DE74EF">
              <w:rPr>
                <w:rFonts w:eastAsia="Times New Roman" w:cs="Times New Roman"/>
                <w:b/>
                <w:lang w:val="de-CH"/>
              </w:rPr>
              <w:t>Inkrafttreten und Aufhebung des bisherigen Reglements</w:t>
            </w:r>
          </w:p>
        </w:tc>
      </w:tr>
      <w:tr w:rsidR="002166F7" w:rsidRPr="007659D4" w:rsidTr="005E632F">
        <w:tc>
          <w:tcPr>
            <w:tcW w:w="9778" w:type="dxa"/>
            <w:gridSpan w:val="2"/>
            <w:shd w:val="clear" w:color="auto" w:fill="auto"/>
          </w:tcPr>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1</w:t>
            </w:r>
            <w:r w:rsidRPr="00DE74EF">
              <w:rPr>
                <w:rFonts w:eastAsia="Times New Roman" w:cs="Times New Roman"/>
                <w:lang w:val="de-CH"/>
              </w:rPr>
              <w:t xml:space="preserve"> Dieses Reglement tritt in Kraft, sobald es von der Direktion der Institutionen und der Land- und Forstwirtschaft genehmigt worden ist.</w:t>
            </w:r>
          </w:p>
          <w:p w:rsidR="002166F7" w:rsidRPr="00DE74EF" w:rsidRDefault="002166F7" w:rsidP="005E632F">
            <w:pPr>
              <w:spacing w:after="0" w:line="240" w:lineRule="auto"/>
              <w:jc w:val="both"/>
              <w:rPr>
                <w:rFonts w:eastAsia="Times New Roman" w:cs="Times New Roman"/>
                <w:lang w:val="de-CH" w:eastAsia="en-US"/>
              </w:rPr>
            </w:pPr>
            <w:r w:rsidRPr="00DE74EF">
              <w:rPr>
                <w:rFonts w:eastAsia="Times New Roman" w:cs="Times New Roman"/>
                <w:vertAlign w:val="superscript"/>
                <w:lang w:val="de-CH"/>
              </w:rPr>
              <w:t xml:space="preserve">2 </w:t>
            </w:r>
            <w:r w:rsidRPr="00DE74EF">
              <w:rPr>
                <w:rFonts w:eastAsia="Times New Roman" w:cs="Times New Roman"/>
                <w:lang w:val="de-CH"/>
              </w:rPr>
              <w:t>Das Reglement über das Gemeindebürgerrecht vom XXX wird am gleichen Datum aufgehoben.</w:t>
            </w:r>
          </w:p>
        </w:tc>
      </w:tr>
    </w:tbl>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Default="002166F7" w:rsidP="002166F7">
      <w:pPr>
        <w:spacing w:after="0" w:line="240" w:lineRule="auto"/>
        <w:jc w:val="both"/>
        <w:rPr>
          <w:rFonts w:eastAsia="Times New Roman" w:cs="Times New Roman"/>
          <w:lang w:val="de-CH" w:eastAsia="en-US"/>
        </w:rPr>
      </w:pPr>
    </w:p>
    <w:p w:rsidR="00333202" w:rsidRPr="00DE74EF" w:rsidRDefault="00333202"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r w:rsidRPr="00DE74EF">
        <w:rPr>
          <w:rFonts w:eastAsia="Times New Roman" w:cs="Times New Roman"/>
          <w:lang w:val="de-CH"/>
        </w:rPr>
        <w:lastRenderedPageBreak/>
        <w:t xml:space="preserve">So beschlossen an der Gemeindeversammlung </w:t>
      </w:r>
      <w:r w:rsidRPr="00DE74EF">
        <w:rPr>
          <w:rFonts w:eastAsia="Times New Roman" w:cs="Times New Roman"/>
          <w:color w:val="0000FF"/>
          <w:lang w:val="de-CH"/>
        </w:rPr>
        <w:t>(im Generalrat)</w:t>
      </w:r>
      <w:r w:rsidRPr="00DE74EF">
        <w:rPr>
          <w:rFonts w:eastAsia="Times New Roman" w:cs="Times New Roman"/>
          <w:lang w:val="de-CH"/>
        </w:rPr>
        <w:t xml:space="preserve"> vom …</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caps/>
          <w:lang w:val="de-CH" w:eastAsia="en-US"/>
        </w:rPr>
      </w:pPr>
      <w:r w:rsidRPr="00DE74EF">
        <w:rPr>
          <w:rFonts w:eastAsia="Times New Roman" w:cs="Times New Roman"/>
          <w:lang w:val="de-CH"/>
        </w:rPr>
        <w:t>IM NAMEN DER GEMEINDEVERSAMMLUNG</w:t>
      </w:r>
    </w:p>
    <w:p w:rsidR="002166F7" w:rsidRPr="00DE74EF" w:rsidRDefault="002166F7" w:rsidP="002166F7">
      <w:pPr>
        <w:spacing w:after="120" w:line="240" w:lineRule="auto"/>
        <w:jc w:val="center"/>
        <w:rPr>
          <w:rFonts w:eastAsia="Times New Roman" w:cs="Times New Roman"/>
          <w:color w:val="0000FF"/>
          <w:lang w:val="de-CH" w:eastAsia="en-US"/>
        </w:rPr>
      </w:pPr>
      <w:r w:rsidRPr="00DE74EF">
        <w:rPr>
          <w:rFonts w:eastAsia="Times New Roman" w:cs="Times New Roman"/>
          <w:caps/>
          <w:color w:val="0000FF"/>
          <w:lang w:val="de-CH"/>
        </w:rPr>
        <w:t>(IM NAMEN DES GENERALRATS)</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r w:rsidRPr="00DE74EF">
        <w:rPr>
          <w:rFonts w:eastAsia="Times New Roman" w:cs="Times New Roman"/>
          <w:lang w:val="de-CH"/>
        </w:rPr>
        <w:t>Der/die Gemeindeschreiber(in)</w:t>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t>Die Gemeindepräsidentin / der Gemeindeammann</w:t>
      </w:r>
    </w:p>
    <w:p w:rsidR="002166F7" w:rsidRPr="00DE74EF" w:rsidRDefault="002166F7" w:rsidP="002166F7">
      <w:pPr>
        <w:spacing w:after="0" w:line="240" w:lineRule="auto"/>
        <w:jc w:val="center"/>
        <w:rPr>
          <w:rFonts w:eastAsia="Times New Roman" w:cs="Times New Roman"/>
          <w:color w:val="0000FF"/>
          <w:lang w:val="de-CH" w:eastAsia="en-US"/>
        </w:rPr>
      </w:pPr>
      <w:r w:rsidRPr="00DE74EF">
        <w:rPr>
          <w:rFonts w:eastAsia="Times New Roman" w:cs="Times New Roman"/>
          <w:color w:val="0000FF"/>
          <w:lang w:val="de-CH"/>
        </w:rPr>
        <w:tab/>
      </w:r>
      <w:r w:rsidRPr="00DE74EF">
        <w:rPr>
          <w:rFonts w:eastAsia="Times New Roman" w:cs="Times New Roman"/>
          <w:color w:val="0000FF"/>
          <w:lang w:val="de-CH"/>
        </w:rPr>
        <w:tab/>
      </w:r>
      <w:r w:rsidRPr="00DE74EF">
        <w:rPr>
          <w:rFonts w:eastAsia="Times New Roman" w:cs="Times New Roman"/>
          <w:color w:val="0000FF"/>
          <w:lang w:val="de-CH"/>
        </w:rPr>
        <w:tab/>
      </w:r>
      <w:r w:rsidRPr="00DE74EF">
        <w:rPr>
          <w:rFonts w:eastAsia="Times New Roman" w:cs="Times New Roman"/>
          <w:color w:val="0000FF"/>
          <w:lang w:val="de-CH"/>
        </w:rPr>
        <w:tab/>
      </w:r>
      <w:r w:rsidRPr="00DE74EF">
        <w:rPr>
          <w:rFonts w:eastAsia="Times New Roman" w:cs="Times New Roman"/>
          <w:color w:val="0000FF"/>
          <w:lang w:val="de-CH"/>
        </w:rPr>
        <w:tab/>
      </w:r>
      <w:r w:rsidRPr="00DE74EF">
        <w:rPr>
          <w:rFonts w:eastAsia="Times New Roman" w:cs="Times New Roman"/>
          <w:color w:val="0000FF"/>
          <w:lang w:val="de-CH"/>
        </w:rPr>
        <w:tab/>
      </w:r>
      <w:r w:rsidRPr="00DE74EF">
        <w:rPr>
          <w:rFonts w:eastAsia="Times New Roman" w:cs="Times New Roman"/>
          <w:color w:val="0000FF"/>
          <w:lang w:val="de-CH"/>
        </w:rPr>
        <w:tab/>
        <w:t>(Die Präsidentin/Der Präsident)</w:t>
      </w: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both"/>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r w:rsidRPr="00DE74EF">
        <w:rPr>
          <w:rFonts w:eastAsia="Times New Roman" w:cs="Times New Roman"/>
          <w:lang w:val="de-CH"/>
        </w:rPr>
        <w:t>Genehmigt von</w:t>
      </w:r>
    </w:p>
    <w:p w:rsidR="002166F7" w:rsidRPr="00DE74EF" w:rsidRDefault="002166F7" w:rsidP="002166F7">
      <w:pPr>
        <w:spacing w:after="0" w:line="240" w:lineRule="auto"/>
        <w:jc w:val="center"/>
        <w:rPr>
          <w:rFonts w:eastAsia="Times New Roman" w:cs="Times New Roman"/>
          <w:lang w:val="de-CH" w:eastAsia="en-US"/>
        </w:rPr>
      </w:pPr>
      <w:r w:rsidRPr="00DE74EF">
        <w:rPr>
          <w:rFonts w:eastAsia="Times New Roman" w:cs="Times New Roman"/>
          <w:lang w:val="de-CH"/>
        </w:rPr>
        <w:t>der Direktion der Institutionen und der Land- und Forstwirtschaft</w:t>
      </w: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r w:rsidRPr="00DE74EF">
        <w:rPr>
          <w:rFonts w:eastAsia="Times New Roman" w:cs="Times New Roman"/>
          <w:lang w:val="de-CH"/>
        </w:rPr>
        <w:t>Freiburg, den …</w:t>
      </w: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t>Der Staatsrat, Direktor</w:t>
      </w:r>
    </w:p>
    <w:p w:rsidR="002166F7" w:rsidRPr="00DE74EF" w:rsidRDefault="002166F7" w:rsidP="002166F7">
      <w:pPr>
        <w:spacing w:after="0" w:line="240" w:lineRule="auto"/>
        <w:jc w:val="center"/>
        <w:rPr>
          <w:rFonts w:eastAsia="Times New Roman" w:cs="Times New Roman"/>
          <w:lang w:val="de-CH" w:eastAsia="en-US"/>
        </w:rPr>
      </w:pP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r>
      <w:r w:rsidRPr="00DE74EF">
        <w:rPr>
          <w:rFonts w:eastAsia="Times New Roman" w:cs="Times New Roman"/>
          <w:lang w:val="de-CH"/>
        </w:rPr>
        <w:tab/>
        <w:t>Die Staatsrätin, Direktorin</w:t>
      </w:r>
    </w:p>
    <w:p w:rsidR="002166F7" w:rsidRPr="00DE74EF" w:rsidRDefault="002166F7" w:rsidP="002166F7">
      <w:pPr>
        <w:spacing w:after="0" w:line="240" w:lineRule="auto"/>
        <w:jc w:val="center"/>
        <w:rPr>
          <w:rFonts w:eastAsia="Times New Roman" w:cs="Times New Roman"/>
          <w:lang w:val="de-CH" w:eastAsia="en-US"/>
        </w:rPr>
      </w:pPr>
    </w:p>
    <w:p w:rsidR="002166F7" w:rsidRPr="00DE74EF" w:rsidRDefault="002166F7" w:rsidP="002166F7">
      <w:pPr>
        <w:spacing w:after="0" w:line="240" w:lineRule="auto"/>
        <w:jc w:val="center"/>
        <w:rPr>
          <w:rFonts w:eastAsia="Times New Roman" w:cs="Times New Roman"/>
          <w:lang w:val="de-CH" w:eastAsia="en-US"/>
        </w:rPr>
      </w:pPr>
    </w:p>
    <w:p w:rsidR="00990D9E" w:rsidRPr="002166F7" w:rsidRDefault="00990D9E" w:rsidP="006962E1">
      <w:pPr>
        <w:spacing w:after="0" w:line="240" w:lineRule="auto"/>
        <w:jc w:val="both"/>
        <w:rPr>
          <w:lang w:val="de-CH"/>
        </w:rPr>
      </w:pPr>
    </w:p>
    <w:sectPr w:rsidR="00990D9E" w:rsidRPr="002166F7" w:rsidSect="002166F7">
      <w:headerReference w:type="default" r:id="rId8"/>
      <w:footerReference w:type="default" r:id="rId9"/>
      <w:pgSz w:w="11906" w:h="16838"/>
      <w:pgMar w:top="1417" w:right="1417" w:bottom="1417" w:left="1417" w:header="708" w:footer="7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A2" w:rsidRDefault="00D113A2" w:rsidP="00C746C0">
      <w:pPr>
        <w:spacing w:after="0" w:line="240" w:lineRule="auto"/>
      </w:pPr>
      <w:r>
        <w:separator/>
      </w:r>
    </w:p>
  </w:endnote>
  <w:endnote w:type="continuationSeparator" w:id="0">
    <w:p w:rsidR="00D113A2" w:rsidRDefault="00D113A2" w:rsidP="00C7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0" w:rsidRPr="003E0C17" w:rsidRDefault="00C746C0" w:rsidP="00C746C0">
    <w:pPr>
      <w:pStyle w:val="01entteetbasdepage"/>
      <w:rPr>
        <w:lang w:val="fr-FR"/>
      </w:rPr>
    </w:pPr>
    <w:r>
      <w:rPr>
        <w:lang w:val="fr-FR"/>
      </w:rPr>
      <w:t>___</w:t>
    </w:r>
  </w:p>
  <w:p w:rsidR="00C746C0" w:rsidRPr="003E0C17" w:rsidRDefault="00C746C0" w:rsidP="00C746C0">
    <w:pPr>
      <w:pStyle w:val="01entteetbasdepage"/>
      <w:rPr>
        <w:b/>
        <w:lang w:val="fr-FR"/>
      </w:rPr>
    </w:pPr>
    <w:r>
      <w:rPr>
        <w:lang w:val="fr-FR"/>
      </w:rPr>
      <w:t xml:space="preserve">Direction des institutions, de l’agriculture et des forêts </w:t>
    </w:r>
    <w:r w:rsidRPr="003E0C17">
      <w:rPr>
        <w:b/>
        <w:lang w:val="fr-FR"/>
      </w:rPr>
      <w:t>D</w:t>
    </w:r>
    <w:r>
      <w:rPr>
        <w:b/>
        <w:lang w:val="fr-FR"/>
      </w:rPr>
      <w:t>IAF</w:t>
    </w:r>
  </w:p>
  <w:p w:rsidR="00C746C0" w:rsidRPr="00C746C0" w:rsidRDefault="00C746C0" w:rsidP="00C746C0">
    <w:pPr>
      <w:pStyle w:val="01entteetbasdepage"/>
      <w:rPr>
        <w:lang w:val="de-CH"/>
      </w:rPr>
    </w:pPr>
    <w:r>
      <w:rPr>
        <w:lang w:val="de-CH"/>
      </w:rPr>
      <w:t xml:space="preserve">Direktion der Institutionen und der Land- und Forstwirtschaft </w:t>
    </w:r>
    <w:r>
      <w:rPr>
        <w:b/>
        <w:lang w:val="de-CH"/>
      </w:rPr>
      <w:t>ILFD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A2" w:rsidRDefault="00D113A2" w:rsidP="00C746C0">
      <w:pPr>
        <w:spacing w:after="0" w:line="240" w:lineRule="auto"/>
      </w:pPr>
      <w:r>
        <w:separator/>
      </w:r>
    </w:p>
  </w:footnote>
  <w:footnote w:type="continuationSeparator" w:id="0">
    <w:p w:rsidR="00D113A2" w:rsidRDefault="00D113A2" w:rsidP="00C746C0">
      <w:pPr>
        <w:spacing w:after="0" w:line="240" w:lineRule="auto"/>
      </w:pPr>
      <w:r>
        <w:continuationSeparator/>
      </w:r>
    </w:p>
  </w:footnote>
  <w:footnote w:id="1">
    <w:p w:rsidR="002166F7" w:rsidRPr="002166F7" w:rsidRDefault="002166F7" w:rsidP="002166F7">
      <w:pPr>
        <w:pStyle w:val="Notedebasdepage"/>
        <w:jc w:val="both"/>
        <w:rPr>
          <w:rFonts w:asciiTheme="minorHAnsi" w:hAnsiTheme="minorHAnsi"/>
          <w:lang w:val="de-CH"/>
        </w:rPr>
      </w:pPr>
      <w:r>
        <w:rPr>
          <w:rStyle w:val="Appelnotedebasdep"/>
          <w:rFonts w:asciiTheme="minorHAnsi" w:hAnsiTheme="minorHAnsi" w:cs="Arial"/>
        </w:rPr>
        <w:footnoteRef/>
      </w:r>
      <w:r w:rsidRPr="002166F7">
        <w:rPr>
          <w:rFonts w:asciiTheme="minorHAnsi" w:hAnsiTheme="minorHAnsi" w:cs="Arial"/>
          <w:lang w:val="de-CH"/>
        </w:rPr>
        <w:t xml:space="preserve"> </w:t>
      </w:r>
      <w:r w:rsidRPr="002166F7">
        <w:rPr>
          <w:rFonts w:asciiTheme="minorHAnsi" w:hAnsiTheme="minorHAnsi"/>
          <w:lang w:val="de-CH"/>
        </w:rPr>
        <w:t>Beim vorgeschlagenen Musterreglement handelt es sich um ein Modell des IAEZA. Es ist lediglich als Hilfsmittel für die Gemeinden gedacht und ist an sich nicht verbindlich. Es steht den Gemeinden frei, sich für eine andere Formulierung oder für einen anderen Aufbau zu entscheiden.</w:t>
      </w:r>
    </w:p>
  </w:footnote>
  <w:footnote w:id="2">
    <w:p w:rsidR="002166F7" w:rsidRPr="002166F7" w:rsidRDefault="002166F7" w:rsidP="002166F7">
      <w:pPr>
        <w:pStyle w:val="Notedebasdepage"/>
        <w:jc w:val="both"/>
        <w:rPr>
          <w:rFonts w:asciiTheme="minorHAnsi" w:hAnsiTheme="minorHAnsi"/>
          <w:lang w:val="de-CH"/>
        </w:rPr>
      </w:pPr>
      <w:r>
        <w:rPr>
          <w:rStyle w:val="Appelnotedebasdep"/>
          <w:rFonts w:asciiTheme="minorHAnsi" w:hAnsiTheme="minorHAnsi" w:cs="Arial"/>
        </w:rPr>
        <w:footnoteRef/>
      </w:r>
      <w:r w:rsidRPr="002166F7">
        <w:rPr>
          <w:rFonts w:asciiTheme="minorHAnsi" w:hAnsiTheme="minorHAnsi" w:cs="Arial"/>
          <w:lang w:val="de-CH"/>
        </w:rPr>
        <w:t xml:space="preserve"> </w:t>
      </w:r>
      <w:r w:rsidRPr="002166F7">
        <w:rPr>
          <w:rFonts w:asciiTheme="minorHAnsi" w:hAnsiTheme="minorHAnsi"/>
          <w:lang w:val="de-CH"/>
        </w:rPr>
        <w:t>Artikel 9 Abs. 4 BRG sieht vor, dass die Gemeinden nicht mehr als 3 Jahre Wohnsitz auf dem Gemeindegebiet fordern dürfen. Diese Einschränkung betrifft sowohl Ausländerinnen und Ausländer als auch Schweizerinnen und Schweizer und Freiburgerinnen und Freiburger.</w:t>
      </w:r>
    </w:p>
  </w:footnote>
  <w:footnote w:id="3">
    <w:p w:rsidR="002166F7" w:rsidRPr="002166F7" w:rsidRDefault="002166F7" w:rsidP="002166F7">
      <w:pPr>
        <w:pStyle w:val="Notedebasdepage"/>
        <w:rPr>
          <w:rFonts w:asciiTheme="minorHAnsi" w:hAnsiTheme="minorHAnsi"/>
          <w:lang w:val="de-CH"/>
        </w:rPr>
      </w:pPr>
      <w:r>
        <w:rPr>
          <w:rStyle w:val="Appelnotedebasdep"/>
          <w:rFonts w:asciiTheme="minorHAnsi" w:hAnsiTheme="minorHAnsi"/>
        </w:rPr>
        <w:footnoteRef/>
      </w:r>
      <w:r w:rsidRPr="002166F7">
        <w:rPr>
          <w:rFonts w:asciiTheme="minorHAnsi" w:hAnsiTheme="minorHAnsi"/>
          <w:lang w:val="de-CH"/>
        </w:rPr>
        <w:t xml:space="preserve"> Art. 43 Abs. 3 BRG</w:t>
      </w:r>
    </w:p>
  </w:footnote>
  <w:footnote w:id="4">
    <w:p w:rsidR="002166F7" w:rsidRPr="002166F7" w:rsidRDefault="002166F7" w:rsidP="002166F7">
      <w:pPr>
        <w:pStyle w:val="Notedebasdepage"/>
        <w:rPr>
          <w:rFonts w:asciiTheme="minorHAnsi" w:hAnsiTheme="minorHAnsi"/>
          <w:lang w:val="de-CH"/>
        </w:rPr>
      </w:pPr>
      <w:r>
        <w:rPr>
          <w:rStyle w:val="Appelnotedebasdep"/>
          <w:rFonts w:asciiTheme="minorHAnsi" w:hAnsiTheme="minorHAnsi"/>
        </w:rPr>
        <w:footnoteRef/>
      </w:r>
      <w:r w:rsidRPr="002166F7">
        <w:rPr>
          <w:rFonts w:asciiTheme="minorHAnsi" w:hAnsiTheme="minorHAnsi"/>
          <w:lang w:val="de-CH"/>
        </w:rPr>
        <w:t xml:space="preserve"> Art. 43 Abs. 4 BRG</w:t>
      </w:r>
    </w:p>
  </w:footnote>
  <w:footnote w:id="5">
    <w:p w:rsidR="002166F7" w:rsidRPr="002166F7" w:rsidRDefault="002166F7" w:rsidP="002166F7">
      <w:pPr>
        <w:pStyle w:val="Notedebasdepage"/>
        <w:rPr>
          <w:rFonts w:asciiTheme="minorHAnsi" w:hAnsiTheme="minorHAnsi"/>
          <w:lang w:val="de-CH"/>
        </w:rPr>
      </w:pPr>
      <w:r>
        <w:rPr>
          <w:rStyle w:val="Appelnotedebasdep"/>
          <w:rFonts w:asciiTheme="minorHAnsi" w:hAnsiTheme="minorHAnsi" w:cs="Arial"/>
        </w:rPr>
        <w:footnoteRef/>
      </w:r>
      <w:r w:rsidRPr="002166F7">
        <w:rPr>
          <w:rFonts w:asciiTheme="minorHAnsi" w:hAnsiTheme="minorHAnsi" w:cs="Arial"/>
          <w:lang w:val="de-CH"/>
        </w:rPr>
        <w:t xml:space="preserve"> </w:t>
      </w:r>
      <w:r w:rsidRPr="002166F7">
        <w:rPr>
          <w:rFonts w:asciiTheme="minorHAnsi" w:hAnsiTheme="minorHAnsi"/>
          <w:lang w:val="de-CH"/>
        </w:rPr>
        <w:t>Das Protokoll der Anhörung durch die Einbürgerungskommission der Gemeinde wird dem IAEZA überwiesen, um es der Einbürgerungskommission des Grossen Rates zu ermöglichen, auf eine zweite Anhörung der Bewerberin oder des Bewerbers zu verzichten, wenn sich aus der ersten Anhörung und dem ursprünglichen Dossier ergibt, dass die betroffene Person vollständig integriert ist.</w:t>
      </w:r>
    </w:p>
  </w:footnote>
  <w:footnote w:id="6">
    <w:p w:rsidR="002166F7" w:rsidRPr="002166F7" w:rsidRDefault="002166F7" w:rsidP="002166F7">
      <w:pPr>
        <w:pStyle w:val="Notedebasdepage"/>
        <w:jc w:val="both"/>
        <w:rPr>
          <w:rFonts w:asciiTheme="minorHAnsi" w:hAnsiTheme="minorHAnsi"/>
          <w:lang w:val="de-CH"/>
        </w:rPr>
      </w:pPr>
      <w:r>
        <w:rPr>
          <w:rStyle w:val="Appelnotedebasdep"/>
          <w:rFonts w:asciiTheme="minorHAnsi" w:hAnsiTheme="minorHAnsi" w:cs="Arial"/>
        </w:rPr>
        <w:footnoteRef/>
      </w:r>
      <w:r w:rsidRPr="002166F7">
        <w:rPr>
          <w:rFonts w:asciiTheme="minorHAnsi" w:hAnsiTheme="minorHAnsi" w:cs="Arial"/>
          <w:lang w:val="de-CH"/>
        </w:rPr>
        <w:t xml:space="preserve"> </w:t>
      </w:r>
      <w:r w:rsidRPr="002166F7">
        <w:rPr>
          <w:rFonts w:asciiTheme="minorHAnsi" w:hAnsiTheme="minorHAnsi"/>
          <w:lang w:val="de-CH"/>
        </w:rPr>
        <w:t>Die Gemeinden können nur auf der Grundlage eines allgemeinverbindlichen Gemeindereglements Gebühren erheben. Die Höhe der Gebühren, die erhoben werden, müssen demnach von der Gemeindeversammlung oder vom Generalrat angenommen werden. Es sei jedoch auf Artikel 10 Abs. 3 des Gesetzes über die Gemeinden hingewiesen, der der Gemeindeversammlung die Möglichkeit einräumt, dem Gemeinderat die Befugnis zu übertragen, den Tarif der öffentlichen Abgaben unter Ausschluss der Steuern festzusetzen, wobei sie selber den Gegenstand der Abgabe, den Kreis der Abgabepflichtigen, die Berechnungskriterien und den Höchstbetrag der Abgabe festzulegen hat.</w:t>
      </w:r>
    </w:p>
  </w:footnote>
  <w:footnote w:id="7">
    <w:p w:rsidR="002166F7" w:rsidRPr="002166F7" w:rsidRDefault="002166F7" w:rsidP="002166F7">
      <w:pPr>
        <w:pStyle w:val="Notedebasdepage"/>
        <w:jc w:val="both"/>
        <w:rPr>
          <w:rFonts w:asciiTheme="minorHAnsi" w:hAnsiTheme="minorHAnsi"/>
          <w:lang w:val="de-CH"/>
        </w:rPr>
      </w:pPr>
      <w:r>
        <w:rPr>
          <w:rStyle w:val="Appelnotedebasdep"/>
          <w:rFonts w:asciiTheme="minorHAnsi" w:hAnsiTheme="minorHAnsi" w:cs="Arial"/>
        </w:rPr>
        <w:footnoteRef/>
      </w:r>
      <w:r w:rsidRPr="002166F7">
        <w:rPr>
          <w:rFonts w:asciiTheme="minorHAnsi" w:hAnsiTheme="minorHAnsi" w:cs="Arial"/>
          <w:lang w:val="de-CH"/>
        </w:rPr>
        <w:t xml:space="preserve"> </w:t>
      </w:r>
      <w:r w:rsidRPr="002166F7">
        <w:rPr>
          <w:rFonts w:asciiTheme="minorHAnsi" w:hAnsiTheme="minorHAnsi"/>
          <w:lang w:val="de-CH"/>
        </w:rPr>
        <w:t>Bei den angegebenen Beträgen handelt es sich um unverbindliche Richtwerte, die die Gemeinden nach Bedarf anpassen können, wobei das Äquivalenz- und das Kostendeckungsprinzip zu beachten sind.</w:t>
      </w:r>
    </w:p>
  </w:footnote>
  <w:footnote w:id="8">
    <w:p w:rsidR="002166F7" w:rsidRPr="002166F7" w:rsidRDefault="002166F7" w:rsidP="002166F7">
      <w:pPr>
        <w:pStyle w:val="Notedebasdepage"/>
        <w:jc w:val="both"/>
        <w:rPr>
          <w:rFonts w:asciiTheme="minorHAnsi" w:hAnsiTheme="minorHAnsi"/>
          <w:lang w:val="de-CH"/>
        </w:rPr>
      </w:pPr>
      <w:r>
        <w:rPr>
          <w:rStyle w:val="Appelnotedebasdep"/>
          <w:rFonts w:asciiTheme="minorHAnsi" w:hAnsiTheme="minorHAnsi" w:cs="Arial"/>
        </w:rPr>
        <w:footnoteRef/>
      </w:r>
      <w:r w:rsidRPr="002166F7">
        <w:rPr>
          <w:rFonts w:asciiTheme="minorHAnsi" w:hAnsiTheme="minorHAnsi" w:cs="Arial"/>
          <w:lang w:val="de-CH"/>
        </w:rPr>
        <w:t xml:space="preserve"> </w:t>
      </w:r>
      <w:r w:rsidRPr="002166F7">
        <w:rPr>
          <w:rFonts w:asciiTheme="minorHAnsi" w:hAnsiTheme="minorHAnsi"/>
          <w:lang w:val="de-CH"/>
        </w:rPr>
        <w:t>Bei der Berechnung der Kosten, die sich aufgrund der Anhörung durch die Einbürgerungskommission der Gemeinde ergeben, müssen die Sitzungsgelder für die Mitglieder berücksichtigt werden.</w:t>
      </w:r>
    </w:p>
  </w:footnote>
  <w:footnote w:id="9">
    <w:p w:rsidR="002166F7" w:rsidRPr="002166F7" w:rsidRDefault="002166F7" w:rsidP="002166F7">
      <w:pPr>
        <w:pStyle w:val="Notedebasdepage"/>
        <w:rPr>
          <w:rFonts w:asciiTheme="minorHAnsi" w:hAnsiTheme="minorHAnsi"/>
          <w:lang w:val="de-CH"/>
        </w:rPr>
      </w:pPr>
      <w:r>
        <w:rPr>
          <w:rStyle w:val="Appelnotedebasdep"/>
          <w:rFonts w:asciiTheme="minorHAnsi" w:hAnsiTheme="minorHAnsi"/>
        </w:rPr>
        <w:footnoteRef/>
      </w:r>
      <w:r w:rsidRPr="002166F7">
        <w:rPr>
          <w:rFonts w:asciiTheme="minorHAnsi" w:hAnsiTheme="minorHAnsi"/>
          <w:lang w:val="de-CH"/>
        </w:rPr>
        <w:t xml:space="preserve"> vgl. Art. 50 Abs. 2 </w:t>
      </w:r>
      <w:proofErr w:type="spellStart"/>
      <w:r w:rsidRPr="002166F7">
        <w:rPr>
          <w:rFonts w:asciiTheme="minorHAnsi" w:hAnsiTheme="minorHAnsi"/>
          <w:lang w:val="de-CH"/>
        </w:rPr>
        <w:t>BüG</w:t>
      </w:r>
      <w:proofErr w:type="spellEnd"/>
      <w:r w:rsidRPr="002166F7">
        <w:rPr>
          <w:rFonts w:asciiTheme="minorHAnsi" w:hAnsiTheme="minorHAnsi"/>
          <w:lang w:val="de-CH"/>
        </w:rPr>
        <w:t xml:space="preserve"> und Art. 55 BRG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F7" w:rsidRPr="002166F7" w:rsidRDefault="002166F7" w:rsidP="002166F7">
    <w:pPr>
      <w:pStyle w:val="09enttepage2"/>
      <w:rPr>
        <w:b w:val="0"/>
        <w:lang w:val="de-CH"/>
      </w:rPr>
    </w:pPr>
    <w:r>
      <w:rPr>
        <w:noProof/>
        <w:lang w:eastAsia="fr-CH"/>
      </w:rPr>
      <w:drawing>
        <wp:anchor distT="0" distB="0" distL="114300" distR="114300" simplePos="0" relativeHeight="251659264" behindDoc="0" locked="1" layoutInCell="1" allowOverlap="1" wp14:anchorId="6B80D9C1" wp14:editId="492EC36A">
          <wp:simplePos x="0" y="0"/>
          <wp:positionH relativeFrom="page">
            <wp:posOffset>904875</wp:posOffset>
          </wp:positionH>
          <wp:positionV relativeFrom="page">
            <wp:posOffset>438150</wp:posOffset>
          </wp:positionV>
          <wp:extent cx="114300" cy="219075"/>
          <wp:effectExtent l="19050" t="0" r="0" b="0"/>
          <wp:wrapNone/>
          <wp:docPr id="20"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Pr="002166F7">
      <w:rPr>
        <w:lang w:val="de-CH"/>
      </w:rPr>
      <w:tab/>
      <w:t xml:space="preserve">Amt für institutionelle Angelegenheiten, Einbürgerungen und </w:t>
    </w:r>
    <w:proofErr w:type="spellStart"/>
    <w:r w:rsidRPr="002166F7">
      <w:rPr>
        <w:lang w:val="de-CH"/>
      </w:rPr>
      <w:t>Zivilstandswesen</w:t>
    </w:r>
    <w:proofErr w:type="spellEnd"/>
    <w:r w:rsidRPr="002166F7">
      <w:rPr>
        <w:lang w:val="de-CH"/>
      </w:rPr>
      <w:t xml:space="preserve"> </w:t>
    </w:r>
    <w:r w:rsidRPr="002166F7">
      <w:rPr>
        <w:b w:val="0"/>
        <w:lang w:val="de-CH"/>
      </w:rPr>
      <w:t>IAEZA</w:t>
    </w:r>
  </w:p>
  <w:p w:rsidR="00C746C0" w:rsidRDefault="002166F7" w:rsidP="002166F7">
    <w:pPr>
      <w:pStyle w:val="09enttepage2"/>
      <w:rPr>
        <w:b w:val="0"/>
        <w:lang w:val="de-DE"/>
      </w:rPr>
    </w:pPr>
    <w:r w:rsidRPr="002166F7">
      <w:rPr>
        <w:lang w:val="de-CH"/>
      </w:rPr>
      <w:t xml:space="preserve"> </w:t>
    </w:r>
    <w:r w:rsidRPr="002166F7">
      <w:rPr>
        <w:lang w:val="de-CH"/>
      </w:rPr>
      <w:tab/>
    </w:r>
  </w:p>
  <w:p w:rsidR="00C746C0" w:rsidRDefault="00C746C0" w:rsidP="00C746C0">
    <w:pPr>
      <w:pStyle w:val="09enttepage2"/>
      <w:rPr>
        <w:b w:val="0"/>
        <w:lang w:val="de-DE"/>
      </w:rPr>
    </w:pPr>
  </w:p>
  <w:p w:rsidR="00C746C0" w:rsidRPr="006962E1" w:rsidRDefault="00C746C0">
    <w:pPr>
      <w:pStyle w:val="En-tte"/>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AFFC0"/>
    <w:lvl w:ilvl="0">
      <w:numFmt w:val="bullet"/>
      <w:lvlText w:val="*"/>
      <w:lvlJc w:val="left"/>
      <w:pPr>
        <w:ind w:left="-360" w:firstLine="0"/>
      </w:pPr>
    </w:lvl>
  </w:abstractNum>
  <w:abstractNum w:abstractNumId="1">
    <w:nsid w:val="0DEE1767"/>
    <w:multiLevelType w:val="hybridMultilevel"/>
    <w:tmpl w:val="4D067712"/>
    <w:lvl w:ilvl="0" w:tplc="F668B268">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
    <w:nsid w:val="0FC944E9"/>
    <w:multiLevelType w:val="multilevel"/>
    <w:tmpl w:val="3AE604E0"/>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8F3F52"/>
    <w:multiLevelType w:val="hybridMultilevel"/>
    <w:tmpl w:val="006EB99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7E74580"/>
    <w:multiLevelType w:val="hybridMultilevel"/>
    <w:tmpl w:val="35FC8526"/>
    <w:lvl w:ilvl="0" w:tplc="A1A237A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507851BC"/>
    <w:multiLevelType w:val="hybridMultilevel"/>
    <w:tmpl w:val="DBBAE9D4"/>
    <w:lvl w:ilvl="0" w:tplc="A58204F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8ED32E9"/>
    <w:multiLevelType w:val="hybridMultilevel"/>
    <w:tmpl w:val="D374941A"/>
    <w:lvl w:ilvl="0" w:tplc="FF5032A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E4132F4"/>
    <w:multiLevelType w:val="hybridMultilevel"/>
    <w:tmpl w:val="B9EC1540"/>
    <w:lvl w:ilvl="0" w:tplc="F230E42A">
      <w:start w:val="1"/>
      <w:numFmt w:val="lowerLetter"/>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283"/>
        <w:lvlJc w:val="left"/>
        <w:pPr>
          <w:ind w:left="567" w:hanging="283"/>
        </w:pPr>
        <w:rPr>
          <w:rFonts w:ascii="Symbol" w:hAnsi="Symbol" w:hint="default"/>
          <w:b w:val="0"/>
          <w:i w:val="0"/>
          <w:strike w:val="0"/>
          <w:dstrike w:val="0"/>
          <w:u w:val="none"/>
          <w:effect w:val="none"/>
        </w:rPr>
      </w:lvl>
    </w:lvlOverride>
  </w:num>
  <w:num w:numId="3">
    <w:abstractNumId w:val="6"/>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C0"/>
    <w:rsid w:val="000B3068"/>
    <w:rsid w:val="000E743C"/>
    <w:rsid w:val="002166F7"/>
    <w:rsid w:val="00333202"/>
    <w:rsid w:val="00336B2E"/>
    <w:rsid w:val="006962E1"/>
    <w:rsid w:val="007659D4"/>
    <w:rsid w:val="00990D9E"/>
    <w:rsid w:val="00C746C0"/>
    <w:rsid w:val="00CB12D3"/>
    <w:rsid w:val="00D113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C0"/>
    <w:rPr>
      <w:rFonts w:eastAsiaTheme="minorEastAsia"/>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6C0"/>
    <w:pPr>
      <w:ind w:left="720"/>
      <w:contextualSpacing/>
    </w:pPr>
  </w:style>
  <w:style w:type="paragraph" w:styleId="Notedebasdepage">
    <w:name w:val="footnote text"/>
    <w:basedOn w:val="Normal"/>
    <w:link w:val="NotedebasdepageCar"/>
    <w:rsid w:val="00C746C0"/>
    <w:pPr>
      <w:spacing w:after="0"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C746C0"/>
    <w:rPr>
      <w:rFonts w:ascii="Times New Roman" w:eastAsia="Times New Roman" w:hAnsi="Times New Roman" w:cs="Times New Roman"/>
      <w:sz w:val="20"/>
      <w:szCs w:val="20"/>
    </w:rPr>
  </w:style>
  <w:style w:type="character" w:styleId="Appelnotedebasdep">
    <w:name w:val="footnote reference"/>
    <w:rsid w:val="00C746C0"/>
    <w:rPr>
      <w:vertAlign w:val="superscript"/>
    </w:rPr>
  </w:style>
  <w:style w:type="paragraph" w:styleId="En-tte">
    <w:name w:val="header"/>
    <w:basedOn w:val="Normal"/>
    <w:link w:val="En-tteCar"/>
    <w:uiPriority w:val="99"/>
    <w:unhideWhenUsed/>
    <w:rsid w:val="00C746C0"/>
    <w:pPr>
      <w:tabs>
        <w:tab w:val="center" w:pos="4536"/>
        <w:tab w:val="right" w:pos="9072"/>
      </w:tabs>
      <w:spacing w:after="0" w:line="240" w:lineRule="auto"/>
    </w:pPr>
  </w:style>
  <w:style w:type="character" w:customStyle="1" w:styleId="En-tteCar">
    <w:name w:val="En-tête Car"/>
    <w:basedOn w:val="Policepardfaut"/>
    <w:link w:val="En-tte"/>
    <w:uiPriority w:val="99"/>
    <w:rsid w:val="00C746C0"/>
    <w:rPr>
      <w:rFonts w:eastAsiaTheme="minorEastAsia"/>
      <w:lang w:eastAsia="fr-CH"/>
    </w:rPr>
  </w:style>
  <w:style w:type="paragraph" w:styleId="Pieddepage">
    <w:name w:val="footer"/>
    <w:basedOn w:val="Normal"/>
    <w:link w:val="PieddepageCar"/>
    <w:uiPriority w:val="99"/>
    <w:unhideWhenUsed/>
    <w:rsid w:val="00C74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C0"/>
    <w:rPr>
      <w:rFonts w:eastAsiaTheme="minorEastAsia"/>
      <w:lang w:eastAsia="fr-CH"/>
    </w:rPr>
  </w:style>
  <w:style w:type="paragraph" w:customStyle="1" w:styleId="09enttepage2">
    <w:name w:val="09_en_tête_page_2"/>
    <w:basedOn w:val="Normal"/>
    <w:qFormat/>
    <w:rsid w:val="00C746C0"/>
    <w:pPr>
      <w:spacing w:after="0" w:line="200" w:lineRule="exact"/>
    </w:pPr>
    <w:rPr>
      <w:rFonts w:ascii="Arial" w:eastAsia="Times New Roman" w:hAnsi="Arial" w:cs="Times New Roman"/>
      <w:b/>
      <w:sz w:val="16"/>
      <w:szCs w:val="24"/>
      <w:lang w:eastAsia="fr-FR"/>
    </w:rPr>
  </w:style>
  <w:style w:type="paragraph" w:customStyle="1" w:styleId="01entteetbasdepage">
    <w:name w:val="01_en_tête_et_bas_de_page"/>
    <w:qFormat/>
    <w:rsid w:val="00C746C0"/>
    <w:pPr>
      <w:spacing w:after="0" w:line="220" w:lineRule="exact"/>
    </w:pPr>
    <w:rPr>
      <w:rFonts w:ascii="Arial" w:eastAsia="Times New Roman" w:hAnsi="Arial" w:cs="Times New Roman"/>
      <w:sz w:val="16"/>
      <w:szCs w:val="24"/>
      <w:lang w:eastAsia="fr-FR"/>
    </w:rPr>
  </w:style>
  <w:style w:type="paragraph" w:customStyle="1" w:styleId="06atexteprincipal">
    <w:name w:val="06a_texte_principal"/>
    <w:qFormat/>
    <w:rsid w:val="002166F7"/>
    <w:pPr>
      <w:spacing w:after="180" w:line="280" w:lineRule="exact"/>
    </w:pPr>
    <w:rPr>
      <w:rFonts w:ascii="Times New Roman" w:eastAsia="Times New Roman" w:hAnsi="Times New Roman" w:cs="Times New Roman"/>
      <w:sz w:val="24"/>
      <w:szCs w:val="24"/>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C0"/>
    <w:rPr>
      <w:rFonts w:eastAsiaTheme="minorEastAsia"/>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6C0"/>
    <w:pPr>
      <w:ind w:left="720"/>
      <w:contextualSpacing/>
    </w:pPr>
  </w:style>
  <w:style w:type="paragraph" w:styleId="Notedebasdepage">
    <w:name w:val="footnote text"/>
    <w:basedOn w:val="Normal"/>
    <w:link w:val="NotedebasdepageCar"/>
    <w:rsid w:val="00C746C0"/>
    <w:pPr>
      <w:spacing w:after="0"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C746C0"/>
    <w:rPr>
      <w:rFonts w:ascii="Times New Roman" w:eastAsia="Times New Roman" w:hAnsi="Times New Roman" w:cs="Times New Roman"/>
      <w:sz w:val="20"/>
      <w:szCs w:val="20"/>
    </w:rPr>
  </w:style>
  <w:style w:type="character" w:styleId="Appelnotedebasdep">
    <w:name w:val="footnote reference"/>
    <w:rsid w:val="00C746C0"/>
    <w:rPr>
      <w:vertAlign w:val="superscript"/>
    </w:rPr>
  </w:style>
  <w:style w:type="paragraph" w:styleId="En-tte">
    <w:name w:val="header"/>
    <w:basedOn w:val="Normal"/>
    <w:link w:val="En-tteCar"/>
    <w:uiPriority w:val="99"/>
    <w:unhideWhenUsed/>
    <w:rsid w:val="00C746C0"/>
    <w:pPr>
      <w:tabs>
        <w:tab w:val="center" w:pos="4536"/>
        <w:tab w:val="right" w:pos="9072"/>
      </w:tabs>
      <w:spacing w:after="0" w:line="240" w:lineRule="auto"/>
    </w:pPr>
  </w:style>
  <w:style w:type="character" w:customStyle="1" w:styleId="En-tteCar">
    <w:name w:val="En-tête Car"/>
    <w:basedOn w:val="Policepardfaut"/>
    <w:link w:val="En-tte"/>
    <w:uiPriority w:val="99"/>
    <w:rsid w:val="00C746C0"/>
    <w:rPr>
      <w:rFonts w:eastAsiaTheme="minorEastAsia"/>
      <w:lang w:eastAsia="fr-CH"/>
    </w:rPr>
  </w:style>
  <w:style w:type="paragraph" w:styleId="Pieddepage">
    <w:name w:val="footer"/>
    <w:basedOn w:val="Normal"/>
    <w:link w:val="PieddepageCar"/>
    <w:uiPriority w:val="99"/>
    <w:unhideWhenUsed/>
    <w:rsid w:val="00C74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C0"/>
    <w:rPr>
      <w:rFonts w:eastAsiaTheme="minorEastAsia"/>
      <w:lang w:eastAsia="fr-CH"/>
    </w:rPr>
  </w:style>
  <w:style w:type="paragraph" w:customStyle="1" w:styleId="09enttepage2">
    <w:name w:val="09_en_tête_page_2"/>
    <w:basedOn w:val="Normal"/>
    <w:qFormat/>
    <w:rsid w:val="00C746C0"/>
    <w:pPr>
      <w:spacing w:after="0" w:line="200" w:lineRule="exact"/>
    </w:pPr>
    <w:rPr>
      <w:rFonts w:ascii="Arial" w:eastAsia="Times New Roman" w:hAnsi="Arial" w:cs="Times New Roman"/>
      <w:b/>
      <w:sz w:val="16"/>
      <w:szCs w:val="24"/>
      <w:lang w:eastAsia="fr-FR"/>
    </w:rPr>
  </w:style>
  <w:style w:type="paragraph" w:customStyle="1" w:styleId="01entteetbasdepage">
    <w:name w:val="01_en_tête_et_bas_de_page"/>
    <w:qFormat/>
    <w:rsid w:val="00C746C0"/>
    <w:pPr>
      <w:spacing w:after="0" w:line="220" w:lineRule="exact"/>
    </w:pPr>
    <w:rPr>
      <w:rFonts w:ascii="Arial" w:eastAsia="Times New Roman" w:hAnsi="Arial" w:cs="Times New Roman"/>
      <w:sz w:val="16"/>
      <w:szCs w:val="24"/>
      <w:lang w:eastAsia="fr-FR"/>
    </w:rPr>
  </w:style>
  <w:style w:type="paragraph" w:customStyle="1" w:styleId="06atexteprincipal">
    <w:name w:val="06a_texte_principal"/>
    <w:qFormat/>
    <w:rsid w:val="002166F7"/>
    <w:pPr>
      <w:spacing w:after="180" w:line="280" w:lineRule="exact"/>
    </w:pPr>
    <w:rPr>
      <w:rFonts w:ascii="Times New Roman" w:eastAsia="Times New Roman" w:hAnsi="Times New Roman" w:cs="Times New Roman"/>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Johann</dc:creator>
  <cp:lastModifiedBy>Biolley Isabelle</cp:lastModifiedBy>
  <cp:revision>2</cp:revision>
  <dcterms:created xsi:type="dcterms:W3CDTF">2018-11-15T13:20:00Z</dcterms:created>
  <dcterms:modified xsi:type="dcterms:W3CDTF">2018-11-15T13:20:00Z</dcterms:modified>
</cp:coreProperties>
</file>