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tabs>
          <w:tab w:val="left" w:pos="7088"/>
        </w:tabs>
        <w:spacing w:after="0" w:line="240" w:lineRule="auto"/>
        <w:jc w:val="both"/>
        <w:rPr>
          <w:rFonts w:eastAsia="Times New Roman" w:cs="Times New Roman"/>
          <w:caps/>
          <w:lang w:eastAsia="en-US"/>
        </w:rPr>
      </w:pPr>
      <w:r w:rsidRPr="00796433">
        <w:rPr>
          <w:rFonts w:eastAsia="Times New Roman" w:cs="Times New Roman"/>
          <w:b/>
          <w:caps/>
          <w:lang w:eastAsia="en-US"/>
        </w:rPr>
        <w:t>Règlement sur le droit de cité communal</w:t>
      </w:r>
      <w:r w:rsidRPr="00796433">
        <w:rPr>
          <w:rFonts w:eastAsia="Times New Roman" w:cs="Times New Roman"/>
          <w:caps/>
          <w:vertAlign w:val="superscript"/>
          <w:lang w:eastAsia="en-US"/>
        </w:rPr>
        <w:footnoteReference w:id="1"/>
      </w:r>
      <w:r w:rsidR="00314AA6">
        <w:rPr>
          <w:rFonts w:eastAsia="Times New Roman" w:cs="Times New Roman"/>
          <w:caps/>
          <w:lang w:eastAsia="en-US"/>
        </w:rPr>
        <w:tab/>
      </w:r>
      <w:r w:rsidRPr="00796433">
        <w:rPr>
          <w:rFonts w:eastAsia="Times New Roman" w:cs="Times New Roman"/>
          <w:caps/>
          <w:lang w:eastAsia="en-US"/>
        </w:rPr>
        <w:t>(Règlement-type)</w:t>
      </w: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i/>
          <w:color w:val="0000FF"/>
          <w:lang w:eastAsia="en-US"/>
        </w:rPr>
      </w:pPr>
      <w:r w:rsidRPr="00796433">
        <w:rPr>
          <w:rFonts w:eastAsia="Times New Roman" w:cs="Times New Roman"/>
          <w:i/>
          <w:lang w:eastAsia="en-US"/>
        </w:rPr>
        <w:t xml:space="preserve">L’assemblée communale </w:t>
      </w:r>
      <w:r w:rsidRPr="00796433">
        <w:rPr>
          <w:rFonts w:eastAsia="Times New Roman" w:cs="Times New Roman"/>
          <w:i/>
          <w:color w:val="0000FF"/>
          <w:lang w:eastAsia="en-US"/>
        </w:rPr>
        <w:t>(Le Conseil général)</w:t>
      </w: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b/>
          <w:lang w:eastAsia="en-US"/>
        </w:rPr>
      </w:pPr>
      <w:r w:rsidRPr="00796433">
        <w:rPr>
          <w:rFonts w:eastAsia="Times New Roman" w:cs="Times New Roman"/>
          <w:b/>
          <w:lang w:eastAsia="en-US"/>
        </w:rPr>
        <w:t>Vu :</w:t>
      </w: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120" w:line="240" w:lineRule="auto"/>
        <w:jc w:val="both"/>
        <w:rPr>
          <w:rFonts w:eastAsia="Times New Roman" w:cs="Times New Roman"/>
          <w:lang w:eastAsia="en-US"/>
        </w:rPr>
      </w:pPr>
      <w:r w:rsidRPr="00796433">
        <w:rPr>
          <w:rFonts w:eastAsia="Times New Roman" w:cs="Times New Roman"/>
          <w:lang w:eastAsia="en-US"/>
        </w:rPr>
        <w:t>La loi du 14 décembre 2017 sur le droit de cité fribourgeois (LDCF - RSF 114.1</w:t>
      </w:r>
      <w:r w:rsidR="008B0E96">
        <w:rPr>
          <w:rFonts w:eastAsia="Times New Roman" w:cs="Times New Roman"/>
          <w:lang w:eastAsia="en-US"/>
        </w:rPr>
        <w:t>.1</w:t>
      </w:r>
      <w:r w:rsidRPr="00796433">
        <w:rPr>
          <w:rFonts w:eastAsia="Times New Roman" w:cs="Times New Roman"/>
          <w:lang w:eastAsia="en-US"/>
        </w:rPr>
        <w:t>) ;</w:t>
      </w:r>
    </w:p>
    <w:p w:rsidR="00C746C0" w:rsidRPr="00796433" w:rsidRDefault="00C746C0" w:rsidP="00C746C0">
      <w:pPr>
        <w:spacing w:after="120" w:line="240" w:lineRule="auto"/>
        <w:jc w:val="both"/>
        <w:rPr>
          <w:rFonts w:eastAsia="Times New Roman" w:cs="Times New Roman"/>
          <w:lang w:eastAsia="en-US"/>
        </w:rPr>
      </w:pPr>
      <w:r w:rsidRPr="00796433">
        <w:rPr>
          <w:rFonts w:eastAsia="Times New Roman" w:cs="Times New Roman"/>
          <w:lang w:eastAsia="en-US"/>
        </w:rPr>
        <w:t xml:space="preserve">Le règlement du </w:t>
      </w:r>
      <w:r>
        <w:rPr>
          <w:rFonts w:eastAsia="Times New Roman" w:cs="Times New Roman"/>
          <w:lang w:eastAsia="en-US"/>
        </w:rPr>
        <w:t>19</w:t>
      </w:r>
      <w:r w:rsidRPr="00796433">
        <w:rPr>
          <w:rFonts w:eastAsia="Times New Roman" w:cs="Times New Roman"/>
          <w:lang w:eastAsia="en-US"/>
        </w:rPr>
        <w:t xml:space="preserve"> mars 2018 sur le droit de cité fribourgeois (RDCF – RSF 114.1.1</w:t>
      </w:r>
      <w:r w:rsidR="008B0E96">
        <w:rPr>
          <w:rFonts w:eastAsia="Times New Roman" w:cs="Times New Roman"/>
          <w:lang w:eastAsia="en-US"/>
        </w:rPr>
        <w:t>1</w:t>
      </w:r>
      <w:r w:rsidRPr="00796433">
        <w:rPr>
          <w:rFonts w:eastAsia="Times New Roman" w:cs="Times New Roman"/>
          <w:lang w:eastAsia="en-US"/>
        </w:rPr>
        <w:t>) ;</w:t>
      </w:r>
    </w:p>
    <w:p w:rsidR="00C746C0" w:rsidRPr="00796433" w:rsidRDefault="00C746C0" w:rsidP="00C746C0">
      <w:pPr>
        <w:spacing w:after="120" w:line="240" w:lineRule="auto"/>
        <w:jc w:val="both"/>
        <w:rPr>
          <w:rFonts w:eastAsia="Times New Roman" w:cs="Times New Roman"/>
          <w:lang w:eastAsia="en-US"/>
        </w:rPr>
      </w:pPr>
      <w:r w:rsidRPr="00796433">
        <w:rPr>
          <w:rFonts w:eastAsia="Times New Roman" w:cs="Times New Roman"/>
          <w:lang w:eastAsia="en-US"/>
        </w:rPr>
        <w:t>La loi du 25 septembre 1980 sur les communes (</w:t>
      </w:r>
      <w:proofErr w:type="spellStart"/>
      <w:r w:rsidRPr="00796433">
        <w:rPr>
          <w:rFonts w:eastAsia="Times New Roman" w:cs="Times New Roman"/>
          <w:lang w:eastAsia="en-US"/>
        </w:rPr>
        <w:t>LCo</w:t>
      </w:r>
      <w:proofErr w:type="spellEnd"/>
      <w:r w:rsidRPr="00796433">
        <w:rPr>
          <w:rFonts w:eastAsia="Times New Roman" w:cs="Times New Roman"/>
          <w:lang w:eastAsia="en-US"/>
        </w:rPr>
        <w:t xml:space="preserve"> – RSF 140.1) ;</w:t>
      </w: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i/>
          <w:lang w:eastAsia="en-US"/>
        </w:rPr>
      </w:pPr>
      <w:r w:rsidRPr="00796433">
        <w:rPr>
          <w:rFonts w:eastAsia="Times New Roman" w:cs="Times New Roman"/>
          <w:i/>
          <w:lang w:eastAsia="en-US"/>
        </w:rPr>
        <w:t>Arrête</w:t>
      </w:r>
      <w:r w:rsidR="00314AA6">
        <w:rPr>
          <w:rFonts w:eastAsia="Times New Roman" w:cs="Times New Roman"/>
          <w:i/>
          <w:lang w:eastAsia="en-US"/>
        </w:rPr>
        <w:t> :</w:t>
      </w:r>
    </w:p>
    <w:p w:rsidR="00C746C0" w:rsidRPr="00796433" w:rsidRDefault="00C746C0" w:rsidP="00C746C0">
      <w:pPr>
        <w:spacing w:after="0" w:line="240" w:lineRule="auto"/>
        <w:jc w:val="both"/>
        <w:rPr>
          <w:rFonts w:eastAsia="Times New Roman" w:cs="Times New Roman"/>
          <w:lang w:eastAsia="en-US"/>
        </w:rPr>
      </w:pPr>
    </w:p>
    <w:tbl>
      <w:tblPr>
        <w:tblW w:w="0" w:type="auto"/>
        <w:tblLook w:val="01E0" w:firstRow="1" w:lastRow="1" w:firstColumn="1" w:lastColumn="1" w:noHBand="0" w:noVBand="0"/>
      </w:tblPr>
      <w:tblGrid>
        <w:gridCol w:w="2526"/>
        <w:gridCol w:w="6762"/>
      </w:tblGrid>
      <w:tr w:rsidR="00C746C0" w:rsidRPr="00796433" w:rsidTr="005E632F">
        <w:tc>
          <w:tcPr>
            <w:tcW w:w="2628"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Article premier</w:t>
            </w:r>
          </w:p>
        </w:tc>
        <w:tc>
          <w:tcPr>
            <w:tcW w:w="7150"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Objet</w:t>
            </w:r>
          </w:p>
        </w:tc>
      </w:tr>
      <w:tr w:rsidR="00C746C0" w:rsidRPr="00796433" w:rsidTr="005E632F">
        <w:tc>
          <w:tcPr>
            <w:tcW w:w="9778" w:type="dxa"/>
            <w:gridSpan w:val="2"/>
            <w:shd w:val="clear" w:color="auto" w:fill="auto"/>
          </w:tcPr>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lang w:eastAsia="en-US"/>
              </w:rPr>
              <w:t>Le présent règlement fixe les conditions d’acquisition et de perte du droit de cité communal, la procédure ainsi que les émoluments y relatifs. Le droit fédéral et le droit cantonal sont réservés.</w:t>
            </w:r>
          </w:p>
        </w:tc>
      </w:tr>
    </w:tbl>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6F0026">
      <w:pPr>
        <w:tabs>
          <w:tab w:val="left" w:pos="7504"/>
        </w:tabs>
        <w:spacing w:after="240" w:line="240" w:lineRule="auto"/>
        <w:jc w:val="both"/>
        <w:rPr>
          <w:rFonts w:eastAsia="Times New Roman" w:cs="Times New Roman"/>
          <w:lang w:eastAsia="en-US"/>
        </w:rPr>
      </w:pPr>
      <w:r w:rsidRPr="00796433">
        <w:rPr>
          <w:rFonts w:eastAsia="Times New Roman" w:cs="Times New Roman"/>
          <w:lang w:eastAsia="en-US"/>
        </w:rPr>
        <w:t>A. ACQUISITION DU DROIT DE CITÉ COMMUNAL</w:t>
      </w:r>
      <w:r w:rsidR="006F0026">
        <w:rPr>
          <w:rFonts w:eastAsia="Times New Roman" w:cs="Times New Roman"/>
          <w:lang w:eastAsia="en-US"/>
        </w:rPr>
        <w:tab/>
      </w:r>
    </w:p>
    <w:tbl>
      <w:tblPr>
        <w:tblW w:w="0" w:type="auto"/>
        <w:tblLook w:val="01E0" w:firstRow="1" w:lastRow="1" w:firstColumn="1" w:lastColumn="1" w:noHBand="0" w:noVBand="0"/>
      </w:tblPr>
      <w:tblGrid>
        <w:gridCol w:w="2506"/>
        <w:gridCol w:w="6782"/>
      </w:tblGrid>
      <w:tr w:rsidR="00C746C0" w:rsidRPr="00796433" w:rsidTr="005E632F">
        <w:tc>
          <w:tcPr>
            <w:tcW w:w="2628" w:type="dxa"/>
            <w:shd w:val="clear" w:color="auto" w:fill="auto"/>
          </w:tcPr>
          <w:p w:rsidR="00C746C0" w:rsidRPr="00796433" w:rsidRDefault="00C746C0" w:rsidP="005E632F">
            <w:pPr>
              <w:spacing w:after="0" w:line="240" w:lineRule="auto"/>
              <w:jc w:val="both"/>
              <w:rPr>
                <w:rFonts w:eastAsia="Times New Roman" w:cs="Times New Roman"/>
                <w:b/>
                <w:lang w:eastAsia="en-US"/>
              </w:rPr>
            </w:pPr>
            <w:r>
              <w:rPr>
                <w:rFonts w:eastAsia="Times New Roman" w:cs="Times New Roman"/>
                <w:b/>
                <w:lang w:eastAsia="en-US"/>
              </w:rPr>
              <w:t>Art. 2</w:t>
            </w:r>
          </w:p>
        </w:tc>
        <w:tc>
          <w:tcPr>
            <w:tcW w:w="7150" w:type="dxa"/>
            <w:shd w:val="clear" w:color="auto" w:fill="auto"/>
          </w:tcPr>
          <w:p w:rsidR="00C746C0" w:rsidRPr="00796433" w:rsidRDefault="00C746C0" w:rsidP="005E632F">
            <w:pPr>
              <w:spacing w:after="0" w:line="240" w:lineRule="auto"/>
              <w:jc w:val="both"/>
              <w:rPr>
                <w:rFonts w:eastAsia="Times New Roman" w:cs="Times New Roman"/>
                <w:b/>
                <w:lang w:eastAsia="en-US"/>
              </w:rPr>
            </w:pPr>
            <w:r>
              <w:rPr>
                <w:rFonts w:eastAsia="Times New Roman" w:cs="Times New Roman"/>
                <w:b/>
                <w:lang w:eastAsia="en-US"/>
              </w:rPr>
              <w:t>Conditions</w:t>
            </w:r>
          </w:p>
          <w:p w:rsidR="00C746C0" w:rsidRPr="00796433" w:rsidRDefault="00C746C0" w:rsidP="005E632F">
            <w:pPr>
              <w:spacing w:after="120" w:line="240" w:lineRule="auto"/>
              <w:jc w:val="both"/>
              <w:rPr>
                <w:rFonts w:eastAsia="Times New Roman" w:cs="Times New Roman"/>
                <w:b/>
                <w:lang w:eastAsia="en-US"/>
              </w:rPr>
            </w:pPr>
            <w:r w:rsidRPr="00796433">
              <w:rPr>
                <w:rFonts w:eastAsia="Times New Roman" w:cs="Times New Roman"/>
                <w:b/>
                <w:lang w:eastAsia="en-US"/>
              </w:rPr>
              <w:t>a) pour les personnes étrangères</w:t>
            </w:r>
          </w:p>
        </w:tc>
      </w:tr>
      <w:tr w:rsidR="00C746C0" w:rsidRPr="00796433" w:rsidTr="005E632F">
        <w:tc>
          <w:tcPr>
            <w:tcW w:w="9778" w:type="dxa"/>
            <w:gridSpan w:val="2"/>
            <w:shd w:val="clear" w:color="auto" w:fill="auto"/>
          </w:tcPr>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lang w:eastAsia="en-US"/>
              </w:rPr>
              <w:t>Le droit de cité communal peut être accordé à une personne étrangère aux conditions suivantes :</w:t>
            </w:r>
          </w:p>
          <w:p w:rsidR="00C746C0" w:rsidRPr="00796433" w:rsidRDefault="00C746C0" w:rsidP="00C746C0">
            <w:pPr>
              <w:numPr>
                <w:ilvl w:val="0"/>
                <w:numId w:val="3"/>
              </w:numPr>
              <w:spacing w:after="0" w:line="240" w:lineRule="auto"/>
              <w:jc w:val="both"/>
              <w:rPr>
                <w:rFonts w:eastAsia="Times New Roman" w:cs="Times New Roman"/>
                <w:lang w:eastAsia="en-US"/>
              </w:rPr>
            </w:pPr>
            <w:r w:rsidRPr="00796433">
              <w:rPr>
                <w:rFonts w:eastAsia="Times New Roman" w:cs="Times New Roman"/>
                <w:lang w:eastAsia="en-US"/>
              </w:rPr>
              <w:t>remplir les conditions du droit fédéral ;</w:t>
            </w:r>
          </w:p>
          <w:p w:rsidR="00C746C0" w:rsidRPr="00796433" w:rsidRDefault="00C746C0" w:rsidP="00C746C0">
            <w:pPr>
              <w:numPr>
                <w:ilvl w:val="0"/>
                <w:numId w:val="3"/>
              </w:numPr>
              <w:spacing w:after="0" w:line="240" w:lineRule="auto"/>
              <w:jc w:val="both"/>
              <w:rPr>
                <w:rFonts w:eastAsia="Times New Roman" w:cs="Times New Roman"/>
                <w:lang w:eastAsia="en-US"/>
              </w:rPr>
            </w:pPr>
            <w:r w:rsidRPr="00796433">
              <w:rPr>
                <w:rFonts w:eastAsia="Times New Roman" w:cs="Times New Roman"/>
                <w:lang w:eastAsia="en-US"/>
              </w:rPr>
              <w:t>remplir les conditions générales et d’intégration ainsi que les autres conditions spécifiques liées à la résidence, au titre de séjour ou à l’âge prévues par le droit cantonal ;</w:t>
            </w:r>
          </w:p>
          <w:p w:rsidR="00C746C0" w:rsidRPr="00796433" w:rsidRDefault="00C746C0" w:rsidP="00C746C0">
            <w:pPr>
              <w:numPr>
                <w:ilvl w:val="0"/>
                <w:numId w:val="3"/>
              </w:numPr>
              <w:spacing w:after="0" w:line="240" w:lineRule="auto"/>
              <w:jc w:val="both"/>
              <w:rPr>
                <w:rFonts w:eastAsia="Times New Roman" w:cs="Times New Roman"/>
                <w:lang w:eastAsia="en-US"/>
              </w:rPr>
            </w:pPr>
            <w:r w:rsidRPr="00796433">
              <w:rPr>
                <w:rFonts w:eastAsia="Times New Roman" w:cs="Times New Roman"/>
                <w:lang w:eastAsia="en-US"/>
              </w:rPr>
              <w:t xml:space="preserve">résider légalement sur le territoire communal depuis au moins </w:t>
            </w:r>
            <w:r w:rsidRPr="00796433">
              <w:rPr>
                <w:rFonts w:eastAsia="Times New Roman" w:cs="Times New Roman"/>
                <w:highlight w:val="yellow"/>
                <w:u w:val="single"/>
                <w:lang w:eastAsia="en-US"/>
              </w:rPr>
              <w:t>xx</w:t>
            </w:r>
            <w:r w:rsidRPr="00796433">
              <w:rPr>
                <w:rFonts w:eastAsia="Times New Roman" w:cs="Times New Roman"/>
                <w:u w:val="single"/>
                <w:lang w:eastAsia="en-US"/>
              </w:rPr>
              <w:t xml:space="preserve"> </w:t>
            </w:r>
            <w:r w:rsidRPr="00796433">
              <w:rPr>
                <w:rFonts w:eastAsia="Times New Roman" w:cs="Times New Roman"/>
                <w:lang w:eastAsia="en-US"/>
              </w:rPr>
              <w:t>années</w:t>
            </w:r>
            <w:r w:rsidRPr="00796433">
              <w:rPr>
                <w:rFonts w:eastAsia="Times New Roman" w:cs="Times New Roman"/>
                <w:vertAlign w:val="superscript"/>
                <w:lang w:eastAsia="en-US"/>
              </w:rPr>
              <w:footnoteReference w:id="2"/>
            </w:r>
            <w:r w:rsidRPr="00796433">
              <w:rPr>
                <w:rFonts w:eastAsia="Times New Roman" w:cs="Times New Roman"/>
                <w:lang w:eastAsia="en-US"/>
              </w:rPr>
              <w:t>. Le Conseil communal peut exceptionnellement déroger à cette condition pour de justes motifs ;</w:t>
            </w:r>
          </w:p>
          <w:p w:rsidR="00C746C0" w:rsidRPr="00796433" w:rsidRDefault="00C746C0" w:rsidP="00C746C0">
            <w:pPr>
              <w:numPr>
                <w:ilvl w:val="0"/>
                <w:numId w:val="3"/>
              </w:numPr>
              <w:spacing w:after="0" w:line="240" w:lineRule="auto"/>
              <w:jc w:val="both"/>
              <w:rPr>
                <w:rFonts w:eastAsia="Times New Roman" w:cs="Times New Roman"/>
                <w:lang w:eastAsia="en-US"/>
              </w:rPr>
            </w:pPr>
            <w:r w:rsidRPr="00796433">
              <w:rPr>
                <w:rFonts w:eastAsia="Times New Roman" w:cs="Times New Roman"/>
                <w:lang w:eastAsia="en-US"/>
              </w:rPr>
              <w:t>présenter une situation claire, sur le plan personnel, administratif ou professionnel et permettant de statuer en pleine connaissance de cause. La collaboration de la personne concernée peut être requise ;</w:t>
            </w:r>
          </w:p>
          <w:p w:rsidR="00C746C0" w:rsidRPr="00796433" w:rsidRDefault="00C746C0" w:rsidP="00C746C0">
            <w:pPr>
              <w:numPr>
                <w:ilvl w:val="0"/>
                <w:numId w:val="3"/>
              </w:numPr>
              <w:spacing w:after="0" w:line="240" w:lineRule="auto"/>
              <w:jc w:val="both"/>
              <w:rPr>
                <w:rFonts w:eastAsia="Times New Roman" w:cs="Times New Roman"/>
                <w:lang w:eastAsia="en-US"/>
              </w:rPr>
            </w:pPr>
            <w:r w:rsidRPr="00796433">
              <w:rPr>
                <w:rFonts w:eastAsia="Times New Roman" w:cs="Times New Roman"/>
                <w:lang w:eastAsia="en-US"/>
              </w:rPr>
              <w:t>faire preuve d’une motivation positive et réelle à devenir citoyen suisse.</w:t>
            </w:r>
          </w:p>
        </w:tc>
      </w:tr>
    </w:tbl>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tbl>
      <w:tblPr>
        <w:tblW w:w="0" w:type="auto"/>
        <w:tblLook w:val="01E0" w:firstRow="1" w:lastRow="1" w:firstColumn="1" w:lastColumn="1" w:noHBand="0" w:noVBand="0"/>
      </w:tblPr>
      <w:tblGrid>
        <w:gridCol w:w="2498"/>
        <w:gridCol w:w="6790"/>
      </w:tblGrid>
      <w:tr w:rsidR="00C746C0" w:rsidRPr="00796433" w:rsidTr="005E632F">
        <w:tc>
          <w:tcPr>
            <w:tcW w:w="2628"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 xml:space="preserve">Art. 3 </w:t>
            </w:r>
          </w:p>
        </w:tc>
        <w:tc>
          <w:tcPr>
            <w:tcW w:w="7150" w:type="dxa"/>
            <w:shd w:val="clear" w:color="auto" w:fill="auto"/>
          </w:tcPr>
          <w:p w:rsidR="00C746C0" w:rsidRPr="00796433" w:rsidRDefault="00C746C0" w:rsidP="005E632F">
            <w:pPr>
              <w:spacing w:after="120" w:line="240" w:lineRule="auto"/>
              <w:jc w:val="both"/>
              <w:rPr>
                <w:rFonts w:eastAsia="Times New Roman" w:cs="Times New Roman"/>
                <w:b/>
                <w:lang w:eastAsia="en-US"/>
              </w:rPr>
            </w:pPr>
            <w:r w:rsidRPr="00796433">
              <w:rPr>
                <w:rFonts w:eastAsia="Times New Roman" w:cs="Times New Roman"/>
                <w:b/>
                <w:lang w:eastAsia="en-US"/>
              </w:rPr>
              <w:t>b) pour les personnes confédérés et fribourgeoises</w:t>
            </w:r>
          </w:p>
        </w:tc>
      </w:tr>
      <w:tr w:rsidR="00C746C0" w:rsidRPr="00796433" w:rsidTr="005E632F">
        <w:tc>
          <w:tcPr>
            <w:tcW w:w="9778" w:type="dxa"/>
            <w:gridSpan w:val="2"/>
            <w:shd w:val="clear" w:color="auto" w:fill="auto"/>
          </w:tcPr>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lang w:eastAsia="en-US"/>
              </w:rPr>
              <w:t>Le droit de cité communal peut être accordé à une personne confédérée ou fribourgeoise aux conditions suivantes :</w:t>
            </w:r>
          </w:p>
          <w:p w:rsidR="00C746C0" w:rsidRPr="00796433" w:rsidRDefault="00C746C0" w:rsidP="005E632F">
            <w:pPr>
              <w:spacing w:after="0" w:line="240" w:lineRule="auto"/>
              <w:jc w:val="both"/>
              <w:rPr>
                <w:rFonts w:eastAsia="Times New Roman" w:cs="Times New Roman"/>
                <w:lang w:eastAsia="en-US"/>
              </w:rPr>
            </w:pPr>
          </w:p>
          <w:p w:rsidR="00C746C0" w:rsidRPr="00796433" w:rsidRDefault="00C746C0" w:rsidP="00314AA6">
            <w:pPr>
              <w:numPr>
                <w:ilvl w:val="0"/>
                <w:numId w:val="4"/>
              </w:numPr>
              <w:tabs>
                <w:tab w:val="left" w:pos="6504"/>
              </w:tabs>
              <w:spacing w:after="0" w:line="240" w:lineRule="auto"/>
              <w:jc w:val="both"/>
              <w:rPr>
                <w:rFonts w:eastAsia="Times New Roman" w:cs="Times New Roman"/>
                <w:lang w:eastAsia="en-US"/>
              </w:rPr>
            </w:pPr>
            <w:r w:rsidRPr="00796433">
              <w:rPr>
                <w:rFonts w:eastAsia="Times New Roman" w:cs="Times New Roman"/>
                <w:lang w:eastAsia="en-US"/>
              </w:rPr>
              <w:t xml:space="preserve">remplir les conditions </w:t>
            </w:r>
            <w:r w:rsidR="008B0E96">
              <w:rPr>
                <w:rFonts w:eastAsia="Times New Roman" w:cs="Times New Roman"/>
                <w:lang w:eastAsia="en-US"/>
              </w:rPr>
              <w:t>de résidence du droit cantonal ;</w:t>
            </w:r>
          </w:p>
          <w:p w:rsidR="00C746C0" w:rsidRPr="00796433" w:rsidRDefault="00C746C0" w:rsidP="00C746C0">
            <w:pPr>
              <w:numPr>
                <w:ilvl w:val="0"/>
                <w:numId w:val="4"/>
              </w:numPr>
              <w:spacing w:after="0" w:line="240" w:lineRule="auto"/>
              <w:jc w:val="both"/>
              <w:rPr>
                <w:rFonts w:eastAsia="Times New Roman" w:cs="Times New Roman"/>
                <w:lang w:eastAsia="en-US"/>
              </w:rPr>
            </w:pPr>
            <w:r w:rsidRPr="00796433">
              <w:rPr>
                <w:rFonts w:eastAsia="Times New Roman" w:cs="Times New Roman"/>
                <w:lang w:eastAsia="en-US"/>
              </w:rPr>
              <w:t xml:space="preserve">résider légalement sur le territoire communal depuis au moins </w:t>
            </w:r>
            <w:r w:rsidRPr="00796433">
              <w:rPr>
                <w:rFonts w:eastAsia="Times New Roman" w:cs="Times New Roman"/>
                <w:highlight w:val="yellow"/>
                <w:u w:val="single"/>
                <w:lang w:eastAsia="en-US"/>
              </w:rPr>
              <w:t>xx</w:t>
            </w:r>
            <w:r w:rsidRPr="00796433">
              <w:rPr>
                <w:rFonts w:eastAsia="Times New Roman" w:cs="Times New Roman"/>
                <w:lang w:eastAsia="en-US"/>
              </w:rPr>
              <w:t xml:space="preserve"> années. Le Conseil communal peut exceptionnellement déroger à cette c</w:t>
            </w:r>
            <w:r w:rsidR="008B0E96">
              <w:rPr>
                <w:rFonts w:eastAsia="Times New Roman" w:cs="Times New Roman"/>
                <w:lang w:eastAsia="en-US"/>
              </w:rPr>
              <w:t>ondition pour de justes motifs ;</w:t>
            </w:r>
          </w:p>
          <w:p w:rsidR="00C746C0" w:rsidRPr="00796433" w:rsidRDefault="00C746C0" w:rsidP="00C746C0">
            <w:pPr>
              <w:numPr>
                <w:ilvl w:val="0"/>
                <w:numId w:val="4"/>
              </w:numPr>
              <w:spacing w:after="0" w:line="240" w:lineRule="auto"/>
              <w:jc w:val="both"/>
              <w:rPr>
                <w:rFonts w:eastAsia="Times New Roman" w:cs="Times New Roman"/>
                <w:lang w:eastAsia="en-US"/>
              </w:rPr>
            </w:pPr>
            <w:r w:rsidRPr="00796433">
              <w:rPr>
                <w:rFonts w:eastAsia="Times New Roman" w:cs="Times New Roman"/>
                <w:lang w:eastAsia="en-US"/>
              </w:rPr>
              <w:lastRenderedPageBreak/>
              <w:t>être bien intégrée au sein de la commune ou démontrer un attacheme</w:t>
            </w:r>
            <w:r w:rsidR="008B0E96">
              <w:rPr>
                <w:rFonts w:eastAsia="Times New Roman" w:cs="Times New Roman"/>
                <w:lang w:eastAsia="en-US"/>
              </w:rPr>
              <w:t>nt particulier avec la commune ;</w:t>
            </w:r>
          </w:p>
          <w:p w:rsidR="00C746C0" w:rsidRPr="00796433" w:rsidRDefault="00C746C0" w:rsidP="00C746C0">
            <w:pPr>
              <w:numPr>
                <w:ilvl w:val="0"/>
                <w:numId w:val="4"/>
              </w:numPr>
              <w:spacing w:after="0" w:line="240" w:lineRule="auto"/>
              <w:jc w:val="both"/>
              <w:rPr>
                <w:rFonts w:eastAsia="Times New Roman" w:cs="Times New Roman"/>
                <w:lang w:eastAsia="en-US"/>
              </w:rPr>
            </w:pPr>
            <w:r w:rsidRPr="00796433">
              <w:rPr>
                <w:rFonts w:eastAsia="Times New Roman" w:cs="Times New Roman"/>
                <w:lang w:eastAsia="en-US"/>
              </w:rPr>
              <w:t>présenter une situation claire, sur le plan personnel, administratif ou professionnel et permettant de statuer en pleine connaissance de cause.</w:t>
            </w:r>
            <w:bookmarkStart w:id="0" w:name="_GoBack"/>
            <w:bookmarkEnd w:id="0"/>
          </w:p>
        </w:tc>
      </w:tr>
    </w:tbl>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240" w:line="240" w:lineRule="auto"/>
        <w:jc w:val="both"/>
        <w:rPr>
          <w:rFonts w:eastAsia="Times New Roman" w:cs="Times New Roman"/>
          <w:lang w:eastAsia="en-US"/>
        </w:rPr>
      </w:pPr>
      <w:r w:rsidRPr="00796433">
        <w:rPr>
          <w:rFonts w:eastAsia="Times New Roman" w:cs="Times New Roman"/>
          <w:lang w:eastAsia="en-US"/>
        </w:rPr>
        <w:t>B. PERTE DU DROIT DE CITÉ COMMUNAL</w:t>
      </w:r>
    </w:p>
    <w:tbl>
      <w:tblPr>
        <w:tblW w:w="0" w:type="auto"/>
        <w:tblLook w:val="01E0" w:firstRow="1" w:lastRow="1" w:firstColumn="1" w:lastColumn="1" w:noHBand="0" w:noVBand="0"/>
      </w:tblPr>
      <w:tblGrid>
        <w:gridCol w:w="2502"/>
        <w:gridCol w:w="6786"/>
      </w:tblGrid>
      <w:tr w:rsidR="00C746C0" w:rsidRPr="00796433" w:rsidTr="005E632F">
        <w:tc>
          <w:tcPr>
            <w:tcW w:w="2628"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Art. 4</w:t>
            </w:r>
          </w:p>
        </w:tc>
        <w:tc>
          <w:tcPr>
            <w:tcW w:w="7150" w:type="dxa"/>
            <w:shd w:val="clear" w:color="auto" w:fill="auto"/>
          </w:tcPr>
          <w:p w:rsidR="00C746C0" w:rsidRPr="00796433" w:rsidRDefault="00C746C0" w:rsidP="005E632F">
            <w:pPr>
              <w:spacing w:after="120" w:line="240" w:lineRule="auto"/>
              <w:jc w:val="both"/>
              <w:rPr>
                <w:rFonts w:eastAsia="Times New Roman" w:cs="Times New Roman"/>
                <w:b/>
                <w:lang w:eastAsia="en-US"/>
              </w:rPr>
            </w:pPr>
            <w:r w:rsidRPr="00796433">
              <w:rPr>
                <w:rFonts w:eastAsia="Times New Roman" w:cs="Times New Roman"/>
                <w:b/>
                <w:lang w:eastAsia="en-US"/>
              </w:rPr>
              <w:t xml:space="preserve">Libération du droit de cité communal </w:t>
            </w:r>
          </w:p>
        </w:tc>
      </w:tr>
      <w:tr w:rsidR="00C746C0" w:rsidRPr="00796433" w:rsidTr="005E632F">
        <w:tc>
          <w:tcPr>
            <w:tcW w:w="9778" w:type="dxa"/>
            <w:gridSpan w:val="2"/>
            <w:shd w:val="clear" w:color="auto" w:fill="auto"/>
          </w:tcPr>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1</w:t>
            </w:r>
            <w:r w:rsidRPr="00796433">
              <w:rPr>
                <w:rFonts w:eastAsia="Times New Roman" w:cs="Times New Roman"/>
                <w:lang w:eastAsia="en-US"/>
              </w:rPr>
              <w:t xml:space="preserve"> La personne possédant plusieurs droits de cité de communes fribourgeoises peut demander la libération de son droit de cité communal pour autant qu’elle en conserve au moins un autre. </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2</w:t>
            </w:r>
            <w:r w:rsidRPr="00796433">
              <w:rPr>
                <w:rFonts w:eastAsia="Times New Roman" w:cs="Times New Roman"/>
                <w:lang w:eastAsia="en-US"/>
              </w:rPr>
              <w:t xml:space="preserve"> La procédure de libération du droit de cité communal est réglée par la loi sur le droit </w:t>
            </w:r>
            <w:r>
              <w:rPr>
                <w:rFonts w:eastAsia="Times New Roman" w:cs="Times New Roman"/>
                <w:lang w:eastAsia="en-US"/>
              </w:rPr>
              <w:t>de cité fribourgeois.</w:t>
            </w:r>
          </w:p>
        </w:tc>
      </w:tr>
    </w:tbl>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240" w:line="240" w:lineRule="auto"/>
        <w:jc w:val="both"/>
        <w:rPr>
          <w:rFonts w:eastAsia="Times New Roman" w:cs="Times New Roman"/>
          <w:lang w:eastAsia="en-US"/>
        </w:rPr>
      </w:pPr>
      <w:r w:rsidRPr="00796433">
        <w:rPr>
          <w:rFonts w:eastAsia="Times New Roman" w:cs="Times New Roman"/>
          <w:lang w:eastAsia="en-US"/>
        </w:rPr>
        <w:t>C. PROCÉDURE</w:t>
      </w:r>
    </w:p>
    <w:tbl>
      <w:tblPr>
        <w:tblW w:w="0" w:type="auto"/>
        <w:tblLook w:val="01E0" w:firstRow="1" w:lastRow="1" w:firstColumn="1" w:lastColumn="1" w:noHBand="0" w:noVBand="0"/>
      </w:tblPr>
      <w:tblGrid>
        <w:gridCol w:w="2496"/>
        <w:gridCol w:w="6792"/>
      </w:tblGrid>
      <w:tr w:rsidR="00C746C0" w:rsidRPr="00796433" w:rsidTr="005E632F">
        <w:tc>
          <w:tcPr>
            <w:tcW w:w="2628"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 xml:space="preserve">Art. 5 </w:t>
            </w:r>
          </w:p>
        </w:tc>
        <w:tc>
          <w:tcPr>
            <w:tcW w:w="7150"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Naturalisation ordinaire</w:t>
            </w:r>
          </w:p>
          <w:p w:rsidR="00C746C0" w:rsidRPr="00796433" w:rsidRDefault="00C746C0" w:rsidP="005E632F">
            <w:pPr>
              <w:spacing w:after="120" w:line="240" w:lineRule="auto"/>
              <w:jc w:val="both"/>
              <w:rPr>
                <w:rFonts w:eastAsia="Times New Roman" w:cs="Times New Roman"/>
                <w:b/>
                <w:lang w:eastAsia="en-US"/>
              </w:rPr>
            </w:pPr>
            <w:r w:rsidRPr="00796433">
              <w:rPr>
                <w:rFonts w:eastAsia="Times New Roman" w:cs="Times New Roman"/>
                <w:b/>
                <w:lang w:eastAsia="en-US"/>
              </w:rPr>
              <w:t>a) autorité compétente</w:t>
            </w:r>
          </w:p>
        </w:tc>
      </w:tr>
      <w:tr w:rsidR="00C746C0" w:rsidRPr="00796433" w:rsidTr="005E632F">
        <w:tc>
          <w:tcPr>
            <w:tcW w:w="9778" w:type="dxa"/>
            <w:gridSpan w:val="2"/>
            <w:shd w:val="clear" w:color="auto" w:fill="auto"/>
          </w:tcPr>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 xml:space="preserve">1 </w:t>
            </w:r>
            <w:r w:rsidRPr="00796433">
              <w:rPr>
                <w:rFonts w:eastAsia="Times New Roman" w:cs="Times New Roman"/>
                <w:lang w:eastAsia="en-US"/>
              </w:rPr>
              <w:t>L’autorité compétente pour délivrer le droit de cité communal aux personnes étrangères, confédérées ou fribourg</w:t>
            </w:r>
            <w:r w:rsidR="00CD365A">
              <w:rPr>
                <w:rFonts w:eastAsia="Times New Roman" w:cs="Times New Roman"/>
                <w:lang w:eastAsia="en-US"/>
              </w:rPr>
              <w:t>eoises est le Conseil communal.</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2</w:t>
            </w:r>
            <w:r w:rsidRPr="00796433">
              <w:rPr>
                <w:rFonts w:eastAsia="Times New Roman" w:cs="Times New Roman"/>
                <w:lang w:eastAsia="en-US"/>
              </w:rPr>
              <w:t xml:space="preserve"> Il est compétent pour procéder à toutes les mesures d’instruction nécessaires et utiles au sens du Code de procédure et de juridiction administrative pour rendre sa décision. A cet effet, la collaboration de la personne concer</w:t>
            </w:r>
            <w:r>
              <w:rPr>
                <w:rFonts w:eastAsia="Times New Roman" w:cs="Times New Roman"/>
                <w:lang w:eastAsia="en-US"/>
              </w:rPr>
              <w:t>née peut notamment être exigée.</w:t>
            </w:r>
          </w:p>
        </w:tc>
      </w:tr>
    </w:tbl>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tbl>
      <w:tblPr>
        <w:tblW w:w="0" w:type="auto"/>
        <w:tblLook w:val="01E0" w:firstRow="1" w:lastRow="1" w:firstColumn="1" w:lastColumn="1" w:noHBand="0" w:noVBand="0"/>
      </w:tblPr>
      <w:tblGrid>
        <w:gridCol w:w="2495"/>
        <w:gridCol w:w="6793"/>
      </w:tblGrid>
      <w:tr w:rsidR="00C746C0" w:rsidRPr="00796433" w:rsidTr="005E632F">
        <w:tc>
          <w:tcPr>
            <w:tcW w:w="2628"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Art. 6</w:t>
            </w:r>
          </w:p>
        </w:tc>
        <w:tc>
          <w:tcPr>
            <w:tcW w:w="7150" w:type="dxa"/>
            <w:shd w:val="clear" w:color="auto" w:fill="auto"/>
          </w:tcPr>
          <w:p w:rsidR="00C746C0" w:rsidRPr="00796433" w:rsidRDefault="00C746C0" w:rsidP="005E632F">
            <w:pPr>
              <w:spacing w:after="120" w:line="240" w:lineRule="auto"/>
              <w:jc w:val="both"/>
              <w:rPr>
                <w:rFonts w:eastAsia="Times New Roman" w:cs="Times New Roman"/>
                <w:b/>
                <w:lang w:eastAsia="en-US"/>
              </w:rPr>
            </w:pPr>
            <w:r w:rsidRPr="00796433">
              <w:rPr>
                <w:rFonts w:eastAsia="Times New Roman" w:cs="Times New Roman"/>
                <w:b/>
                <w:lang w:eastAsia="en-US"/>
              </w:rPr>
              <w:t>b) préavis de la Commission communale des naturalisations</w:t>
            </w:r>
          </w:p>
        </w:tc>
      </w:tr>
      <w:tr w:rsidR="00C746C0" w:rsidRPr="00796433" w:rsidTr="005E632F">
        <w:tc>
          <w:tcPr>
            <w:tcW w:w="9778" w:type="dxa"/>
            <w:gridSpan w:val="2"/>
            <w:shd w:val="clear" w:color="auto" w:fill="auto"/>
          </w:tcPr>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 xml:space="preserve">1 </w:t>
            </w:r>
            <w:r w:rsidRPr="00796433">
              <w:rPr>
                <w:rFonts w:eastAsia="Times New Roman" w:cs="Times New Roman"/>
                <w:lang w:eastAsia="en-US"/>
              </w:rPr>
              <w:t>Préalablement à la décision du Conseil communal, la Commission communale des naturalisations examine les dossiers et entend en principe les requérants. Elle peut renoncer à entendre toute personne requérante dont le dossier révèle une intégration parfaitement aboutie</w:t>
            </w:r>
            <w:r w:rsidRPr="00796433">
              <w:rPr>
                <w:rFonts w:eastAsia="Times New Roman" w:cs="Times New Roman"/>
                <w:vertAlign w:val="superscript"/>
                <w:lang w:eastAsia="en-US"/>
              </w:rPr>
              <w:footnoteReference w:id="3"/>
            </w:r>
            <w:r w:rsidRPr="00796433">
              <w:rPr>
                <w:rFonts w:eastAsia="Times New Roman" w:cs="Times New Roman"/>
                <w:lang w:eastAsia="en-US"/>
              </w:rPr>
              <w:t>.</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2</w:t>
            </w:r>
            <w:r w:rsidRPr="00796433">
              <w:rPr>
                <w:rFonts w:eastAsia="Times New Roman" w:cs="Times New Roman"/>
                <w:lang w:eastAsia="en-US"/>
              </w:rPr>
              <w:t xml:space="preserve"> La Commission a pour tâche de vérifier, en principe par l’audition, la réalisation de</w:t>
            </w:r>
            <w:r>
              <w:rPr>
                <w:rFonts w:eastAsia="Times New Roman" w:cs="Times New Roman"/>
                <w:lang w:eastAsia="en-US"/>
              </w:rPr>
              <w:t>s conditions de naturalisation.</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3</w:t>
            </w:r>
            <w:r w:rsidRPr="00796433">
              <w:rPr>
                <w:rFonts w:eastAsia="Times New Roman" w:cs="Times New Roman"/>
                <w:lang w:eastAsia="en-US"/>
              </w:rPr>
              <w:t xml:space="preserve"> Au terme de l’audition ou de l’examen du dossier, la Commission transmet son préavis au Conseil communal ainsi que le cas échéant le procès-verbal de l’audition, qui fon</w:t>
            </w:r>
            <w:r>
              <w:rPr>
                <w:rFonts w:eastAsia="Times New Roman" w:cs="Times New Roman"/>
                <w:lang w:eastAsia="en-US"/>
              </w:rPr>
              <w:t>t partie intégrante du dossier.</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4</w:t>
            </w:r>
            <w:r w:rsidRPr="00796433">
              <w:rPr>
                <w:rFonts w:eastAsia="Times New Roman" w:cs="Times New Roman"/>
                <w:lang w:eastAsia="en-US"/>
              </w:rPr>
              <w:t xml:space="preserve"> Le préavis doit exposer les raisons pour lesquelles la Commission communale des naturalisations a considéré que les conditions de naturalisation sont ou ne sont pas réalisées</w:t>
            </w:r>
            <w:r w:rsidRPr="00796433">
              <w:rPr>
                <w:rFonts w:eastAsia="Times New Roman" w:cs="Times New Roman"/>
                <w:vertAlign w:val="superscript"/>
                <w:lang w:eastAsia="en-US"/>
              </w:rPr>
              <w:footnoteReference w:id="4"/>
            </w:r>
            <w:r>
              <w:rPr>
                <w:rFonts w:eastAsia="Times New Roman" w:cs="Times New Roman"/>
                <w:lang w:eastAsia="en-US"/>
              </w:rPr>
              <w:t>.</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5</w:t>
            </w:r>
            <w:r w:rsidRPr="00796433">
              <w:rPr>
                <w:rFonts w:eastAsia="Times New Roman" w:cs="Times New Roman"/>
                <w:lang w:eastAsia="en-US"/>
              </w:rPr>
              <w:t xml:space="preserve"> L’audition et le préavis de la Commission communale des naturalisations des personnes Confédérées ou Fribourgeoise sont facultatifs, sauf décision</w:t>
            </w:r>
            <w:r>
              <w:rPr>
                <w:rFonts w:eastAsia="Times New Roman" w:cs="Times New Roman"/>
                <w:lang w:eastAsia="en-US"/>
              </w:rPr>
              <w:t xml:space="preserve"> contraire du Conseil communal.</w:t>
            </w:r>
          </w:p>
        </w:tc>
      </w:tr>
    </w:tbl>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tbl>
      <w:tblPr>
        <w:tblW w:w="0" w:type="auto"/>
        <w:tblLook w:val="01E0" w:firstRow="1" w:lastRow="1" w:firstColumn="1" w:lastColumn="1" w:noHBand="0" w:noVBand="0"/>
      </w:tblPr>
      <w:tblGrid>
        <w:gridCol w:w="2506"/>
        <w:gridCol w:w="6782"/>
      </w:tblGrid>
      <w:tr w:rsidR="00C746C0" w:rsidRPr="00796433" w:rsidTr="005E632F">
        <w:tc>
          <w:tcPr>
            <w:tcW w:w="2628"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 xml:space="preserve">Art. 7 </w:t>
            </w:r>
          </w:p>
        </w:tc>
        <w:tc>
          <w:tcPr>
            <w:tcW w:w="7150" w:type="dxa"/>
            <w:shd w:val="clear" w:color="auto" w:fill="auto"/>
          </w:tcPr>
          <w:p w:rsidR="00C746C0" w:rsidRPr="00796433" w:rsidRDefault="00C746C0" w:rsidP="005E632F">
            <w:pPr>
              <w:spacing w:after="120" w:line="240" w:lineRule="auto"/>
              <w:jc w:val="both"/>
              <w:rPr>
                <w:rFonts w:eastAsia="Times New Roman" w:cs="Times New Roman"/>
                <w:b/>
                <w:lang w:eastAsia="en-US"/>
              </w:rPr>
            </w:pPr>
            <w:r w:rsidRPr="00796433">
              <w:rPr>
                <w:rFonts w:eastAsia="Times New Roman" w:cs="Times New Roman"/>
                <w:b/>
                <w:lang w:eastAsia="en-US"/>
              </w:rPr>
              <w:t>c) décision</w:t>
            </w:r>
          </w:p>
        </w:tc>
      </w:tr>
      <w:tr w:rsidR="00C746C0" w:rsidRPr="00796433" w:rsidTr="005E632F">
        <w:tc>
          <w:tcPr>
            <w:tcW w:w="9778" w:type="dxa"/>
            <w:gridSpan w:val="2"/>
            <w:shd w:val="clear" w:color="auto" w:fill="auto"/>
          </w:tcPr>
          <w:p w:rsidR="00C746C0"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1</w:t>
            </w:r>
            <w:r w:rsidRPr="00796433">
              <w:rPr>
                <w:rFonts w:eastAsia="Times New Roman" w:cs="Times New Roman"/>
                <w:lang w:eastAsia="en-US"/>
              </w:rPr>
              <w:t xml:space="preserve"> Le Conseil communal statue après avoir reçu le préavis de la Commission communale des naturalisations. Dans le cas des personnes confédérées ou fribourgeoises, le Conseil communal statue directement, sauf s’il décide de les faire préalablement entendre par la Commission communale de</w:t>
            </w:r>
            <w:r>
              <w:rPr>
                <w:rFonts w:eastAsia="Times New Roman" w:cs="Times New Roman"/>
                <w:lang w:eastAsia="en-US"/>
              </w:rPr>
              <w:t>s naturalisations pour préavis.</w:t>
            </w:r>
          </w:p>
          <w:p w:rsidR="00CD365A" w:rsidRPr="00796433" w:rsidRDefault="00CD365A" w:rsidP="005E632F">
            <w:pPr>
              <w:spacing w:after="0" w:line="240" w:lineRule="auto"/>
              <w:jc w:val="both"/>
              <w:rPr>
                <w:rFonts w:eastAsia="Times New Roman" w:cs="Times New Roman"/>
                <w:lang w:eastAsia="en-US"/>
              </w:rPr>
            </w:pP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lastRenderedPageBreak/>
              <w:t>2</w:t>
            </w:r>
            <w:r w:rsidRPr="00796433">
              <w:rPr>
                <w:rFonts w:eastAsia="Times New Roman" w:cs="Times New Roman"/>
                <w:lang w:eastAsia="en-US"/>
              </w:rPr>
              <w:t xml:space="preserve"> Une décision de refus d’octroi du droit de cité communal doit être motivée et donner les raisons pour lesqu</w:t>
            </w:r>
            <w:r>
              <w:rPr>
                <w:rFonts w:eastAsia="Times New Roman" w:cs="Times New Roman"/>
                <w:lang w:eastAsia="en-US"/>
              </w:rPr>
              <w:t>elles la demande a été refusée.</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3</w:t>
            </w:r>
            <w:r w:rsidRPr="00796433">
              <w:rPr>
                <w:rFonts w:eastAsia="Times New Roman" w:cs="Times New Roman"/>
                <w:lang w:eastAsia="en-US"/>
              </w:rPr>
              <w:t xml:space="preserve"> Outre la motivation, la décision du Conseil communal doit contenir les indications suivantes :</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lang w:eastAsia="en-US"/>
              </w:rPr>
              <w:t>a) la composition du Conseil communal ;</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lang w:eastAsia="en-US"/>
              </w:rPr>
              <w:t>b) le nom de la personne ayant déposé la demande de naturalisation ou d’octroi du droit de cité communal ;</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lang w:eastAsia="en-US"/>
              </w:rPr>
              <w:t>c) le dispositif ;</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lang w:eastAsia="en-US"/>
              </w:rPr>
              <w:t>d) la date de la décision ;</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lang w:eastAsia="en-US"/>
              </w:rPr>
              <w:t>e) la signature du Syndic ou de la Syndique et du Secrétaire communal ou de la Secrétaire communale ;</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lang w:eastAsia="en-US"/>
              </w:rPr>
              <w:t xml:space="preserve">f) l’indication de la possibilité de recourir contre la décision auprès du Préfet, dans le délai légal de 30 jours dès </w:t>
            </w:r>
            <w:r>
              <w:rPr>
                <w:rFonts w:eastAsia="Times New Roman" w:cs="Times New Roman"/>
                <w:lang w:eastAsia="en-US"/>
              </w:rPr>
              <w:t>la notification de la décision.</w:t>
            </w:r>
          </w:p>
        </w:tc>
      </w:tr>
    </w:tbl>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tbl>
      <w:tblPr>
        <w:tblW w:w="0" w:type="auto"/>
        <w:tblLook w:val="01E0" w:firstRow="1" w:lastRow="1" w:firstColumn="1" w:lastColumn="1" w:noHBand="0" w:noVBand="0"/>
      </w:tblPr>
      <w:tblGrid>
        <w:gridCol w:w="2492"/>
        <w:gridCol w:w="6796"/>
      </w:tblGrid>
      <w:tr w:rsidR="00C746C0" w:rsidRPr="00796433" w:rsidTr="005E632F">
        <w:tc>
          <w:tcPr>
            <w:tcW w:w="2628"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Art. 8</w:t>
            </w:r>
          </w:p>
        </w:tc>
        <w:tc>
          <w:tcPr>
            <w:tcW w:w="7150" w:type="dxa"/>
            <w:shd w:val="clear" w:color="auto" w:fill="auto"/>
          </w:tcPr>
          <w:p w:rsidR="00C746C0" w:rsidRPr="00796433" w:rsidRDefault="00C746C0" w:rsidP="005E632F">
            <w:pPr>
              <w:spacing w:after="120" w:line="240" w:lineRule="auto"/>
              <w:jc w:val="both"/>
              <w:rPr>
                <w:rFonts w:eastAsia="Times New Roman" w:cs="Times New Roman"/>
                <w:b/>
                <w:lang w:eastAsia="en-US"/>
              </w:rPr>
            </w:pPr>
            <w:r w:rsidRPr="00796433">
              <w:rPr>
                <w:rFonts w:eastAsia="Times New Roman" w:cs="Times New Roman"/>
                <w:b/>
                <w:lang w:eastAsia="en-US"/>
              </w:rPr>
              <w:t>d) Retour du dossier au Service des affaires institutionnelles, des naturalisations et de l’état civil</w:t>
            </w:r>
          </w:p>
        </w:tc>
      </w:tr>
      <w:tr w:rsidR="00C746C0" w:rsidRPr="00796433" w:rsidTr="005E632F">
        <w:tc>
          <w:tcPr>
            <w:tcW w:w="9778" w:type="dxa"/>
            <w:gridSpan w:val="2"/>
            <w:shd w:val="clear" w:color="auto" w:fill="auto"/>
          </w:tcPr>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1</w:t>
            </w:r>
            <w:r w:rsidRPr="00796433">
              <w:rPr>
                <w:rFonts w:eastAsia="Times New Roman" w:cs="Times New Roman"/>
                <w:lang w:eastAsia="en-US"/>
              </w:rPr>
              <w:t xml:space="preserve"> Le dossier est retourné au Service des affaires institutionnelles, des naturalisations et de l’état civil au plus tard dès l’entrée en force de la décision communale.</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2</w:t>
            </w:r>
            <w:r w:rsidRPr="00796433">
              <w:rPr>
                <w:rFonts w:eastAsia="Times New Roman" w:cs="Times New Roman"/>
                <w:lang w:eastAsia="en-US"/>
              </w:rPr>
              <w:t xml:space="preserve"> La commune joint à son envoi la décision communale, le procès-verbal de l’audition et le préavis de la Commission </w:t>
            </w:r>
            <w:r w:rsidRPr="00796433">
              <w:rPr>
                <w:rFonts w:eastAsia="Times New Roman" w:cs="Times New Roman"/>
                <w:vertAlign w:val="superscript"/>
                <w:lang w:eastAsia="en-US"/>
              </w:rPr>
              <w:footnoteReference w:id="5"/>
            </w:r>
            <w:r w:rsidRPr="00796433">
              <w:rPr>
                <w:rFonts w:eastAsia="Times New Roman" w:cs="Times New Roman"/>
                <w:lang w:eastAsia="en-US"/>
              </w:rPr>
              <w:t>.</w:t>
            </w:r>
          </w:p>
        </w:tc>
      </w:tr>
    </w:tbl>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tbl>
      <w:tblPr>
        <w:tblW w:w="0" w:type="auto"/>
        <w:tblLook w:val="01E0" w:firstRow="1" w:lastRow="1" w:firstColumn="1" w:lastColumn="1" w:noHBand="0" w:noVBand="0"/>
      </w:tblPr>
      <w:tblGrid>
        <w:gridCol w:w="2502"/>
        <w:gridCol w:w="6786"/>
      </w:tblGrid>
      <w:tr w:rsidR="00C746C0" w:rsidRPr="00796433" w:rsidTr="005E632F">
        <w:tc>
          <w:tcPr>
            <w:tcW w:w="2628"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Art. 9</w:t>
            </w:r>
          </w:p>
        </w:tc>
        <w:tc>
          <w:tcPr>
            <w:tcW w:w="7150" w:type="dxa"/>
            <w:shd w:val="clear" w:color="auto" w:fill="auto"/>
          </w:tcPr>
          <w:p w:rsidR="00C746C0" w:rsidRPr="00796433" w:rsidRDefault="00C746C0" w:rsidP="005E632F">
            <w:pPr>
              <w:spacing w:after="120" w:line="240" w:lineRule="auto"/>
              <w:jc w:val="both"/>
              <w:rPr>
                <w:rFonts w:eastAsia="Times New Roman" w:cs="Times New Roman"/>
                <w:b/>
                <w:lang w:eastAsia="en-US"/>
              </w:rPr>
            </w:pPr>
            <w:r w:rsidRPr="00796433">
              <w:rPr>
                <w:rFonts w:eastAsia="Times New Roman" w:cs="Times New Roman"/>
                <w:b/>
                <w:lang w:eastAsia="en-US"/>
              </w:rPr>
              <w:t>Libération du droit de cité communal</w:t>
            </w:r>
          </w:p>
        </w:tc>
      </w:tr>
      <w:tr w:rsidR="00C746C0" w:rsidRPr="00796433" w:rsidTr="005E632F">
        <w:tc>
          <w:tcPr>
            <w:tcW w:w="9778" w:type="dxa"/>
            <w:gridSpan w:val="2"/>
            <w:shd w:val="clear" w:color="auto" w:fill="auto"/>
          </w:tcPr>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1</w:t>
            </w:r>
            <w:r w:rsidRPr="00796433">
              <w:rPr>
                <w:rFonts w:eastAsia="Times New Roman" w:cs="Times New Roman"/>
                <w:lang w:eastAsia="en-US"/>
              </w:rPr>
              <w:t xml:space="preserve"> La demande de libération du droit de cité communal se fait au moyen d’une demande écrite comportant une brève motivation et accompagnée des documents d’état civil permettant de prouver les divers droits de </w:t>
            </w:r>
            <w:r>
              <w:rPr>
                <w:rFonts w:eastAsia="Times New Roman" w:cs="Times New Roman"/>
                <w:lang w:eastAsia="en-US"/>
              </w:rPr>
              <w:t>cité de la personne requérante.</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2</w:t>
            </w:r>
            <w:r w:rsidRPr="00796433">
              <w:rPr>
                <w:rFonts w:eastAsia="Times New Roman" w:cs="Times New Roman"/>
                <w:lang w:eastAsia="en-US"/>
              </w:rPr>
              <w:t xml:space="preserve"> Toute demande de libération du droit de cité communal doit être examinée par le Service des affaires institutionnelles, des naturalisations et de l’état civil, pour vérification des droits de cité commu</w:t>
            </w:r>
            <w:r>
              <w:rPr>
                <w:rFonts w:eastAsia="Times New Roman" w:cs="Times New Roman"/>
                <w:lang w:eastAsia="en-US"/>
              </w:rPr>
              <w:t>naux de la personne requérante.</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3</w:t>
            </w:r>
            <w:r w:rsidRPr="00796433">
              <w:rPr>
                <w:rFonts w:eastAsia="Times New Roman" w:cs="Times New Roman"/>
                <w:lang w:eastAsia="en-US"/>
              </w:rPr>
              <w:t xml:space="preserve"> Le Conseil communal est compétent pour délivrer l’acte de libération du droit de cité communal. En cas de refus,</w:t>
            </w:r>
            <w:r>
              <w:rPr>
                <w:rFonts w:eastAsia="Times New Roman" w:cs="Times New Roman"/>
                <w:lang w:eastAsia="en-US"/>
              </w:rPr>
              <w:t xml:space="preserve"> la décision doit être motivée.</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4</w:t>
            </w:r>
            <w:r w:rsidRPr="00796433">
              <w:rPr>
                <w:rFonts w:eastAsia="Times New Roman" w:cs="Times New Roman"/>
                <w:lang w:eastAsia="en-US"/>
              </w:rPr>
              <w:t xml:space="preserve"> La décision de libération du droit de cité communal est communiquée en copie au Service des affaires institutionnelles, des naturalisations et de l’état civil, en vue de la mise à jour du registre informa</w:t>
            </w:r>
            <w:r>
              <w:rPr>
                <w:rFonts w:eastAsia="Times New Roman" w:cs="Times New Roman"/>
                <w:lang w:eastAsia="en-US"/>
              </w:rPr>
              <w:t>tisé de l’état civil.</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 xml:space="preserve">5 </w:t>
            </w:r>
            <w:r w:rsidRPr="00796433">
              <w:rPr>
                <w:rFonts w:eastAsia="Times New Roman" w:cs="Times New Roman"/>
                <w:lang w:eastAsia="en-US"/>
              </w:rPr>
              <w:t>La procédure de libération du droit de cité communal est gratuite, en application de l’article 48 LDCF.</w:t>
            </w:r>
          </w:p>
        </w:tc>
      </w:tr>
    </w:tbl>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240" w:line="240" w:lineRule="auto"/>
        <w:jc w:val="both"/>
        <w:rPr>
          <w:rFonts w:eastAsia="Times New Roman" w:cs="Times New Roman"/>
          <w:lang w:eastAsia="en-US"/>
        </w:rPr>
      </w:pPr>
      <w:r w:rsidRPr="00796433">
        <w:rPr>
          <w:rFonts w:eastAsia="Times New Roman" w:cs="Times New Roman"/>
          <w:lang w:eastAsia="en-US"/>
        </w:rPr>
        <w:t>D. COMMISSION COMMUNALE DES NATURALISATIONS</w:t>
      </w:r>
    </w:p>
    <w:tbl>
      <w:tblPr>
        <w:tblW w:w="0" w:type="auto"/>
        <w:tblLook w:val="01E0" w:firstRow="1" w:lastRow="1" w:firstColumn="1" w:lastColumn="1" w:noHBand="0" w:noVBand="0"/>
      </w:tblPr>
      <w:tblGrid>
        <w:gridCol w:w="2499"/>
        <w:gridCol w:w="6789"/>
      </w:tblGrid>
      <w:tr w:rsidR="00C746C0" w:rsidRPr="00796433" w:rsidTr="005E632F">
        <w:tc>
          <w:tcPr>
            <w:tcW w:w="2628"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Art. 10</w:t>
            </w:r>
          </w:p>
        </w:tc>
        <w:tc>
          <w:tcPr>
            <w:tcW w:w="7150" w:type="dxa"/>
            <w:shd w:val="clear" w:color="auto" w:fill="auto"/>
          </w:tcPr>
          <w:p w:rsidR="00C746C0" w:rsidRPr="00796433" w:rsidRDefault="00C746C0" w:rsidP="005E632F">
            <w:pPr>
              <w:spacing w:after="120" w:line="240" w:lineRule="auto"/>
              <w:jc w:val="both"/>
              <w:rPr>
                <w:rFonts w:eastAsia="Times New Roman" w:cs="Times New Roman"/>
                <w:b/>
                <w:lang w:eastAsia="en-US"/>
              </w:rPr>
            </w:pPr>
            <w:r w:rsidRPr="00796433">
              <w:rPr>
                <w:rFonts w:eastAsia="Times New Roman" w:cs="Times New Roman"/>
                <w:b/>
                <w:lang w:eastAsia="en-US"/>
              </w:rPr>
              <w:t>Désignation et composition</w:t>
            </w:r>
          </w:p>
        </w:tc>
      </w:tr>
      <w:tr w:rsidR="00C746C0" w:rsidRPr="00796433" w:rsidTr="005E632F">
        <w:tc>
          <w:tcPr>
            <w:tcW w:w="9778" w:type="dxa"/>
            <w:gridSpan w:val="2"/>
            <w:shd w:val="clear" w:color="auto" w:fill="auto"/>
          </w:tcPr>
          <w:p w:rsidR="00C746C0"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1</w:t>
            </w:r>
            <w:r w:rsidRPr="00796433">
              <w:rPr>
                <w:rFonts w:eastAsia="Times New Roman" w:cs="Times New Roman"/>
                <w:lang w:eastAsia="en-US"/>
              </w:rPr>
              <w:t xml:space="preserve"> La Commission communale des naturalisations comprend </w:t>
            </w:r>
            <w:r w:rsidRPr="00796433">
              <w:rPr>
                <w:rFonts w:eastAsia="Times New Roman" w:cs="Times New Roman"/>
                <w:highlight w:val="yellow"/>
                <w:u w:val="single"/>
                <w:lang w:eastAsia="en-US"/>
              </w:rPr>
              <w:t>xx</w:t>
            </w:r>
            <w:r w:rsidRPr="00796433">
              <w:rPr>
                <w:rFonts w:eastAsia="Times New Roman" w:cs="Times New Roman"/>
                <w:lang w:eastAsia="en-US"/>
              </w:rPr>
              <w:t xml:space="preserve"> membres</w:t>
            </w:r>
            <w:r w:rsidRPr="00796433">
              <w:rPr>
                <w:rFonts w:eastAsia="Times New Roman" w:cs="Times New Roman"/>
                <w:color w:val="0000FF"/>
                <w:lang w:eastAsia="en-US"/>
              </w:rPr>
              <w:t xml:space="preserve"> (entre 5 et 11 membres, selon l’article 43 LDCF)</w:t>
            </w:r>
            <w:r w:rsidRPr="00796433">
              <w:rPr>
                <w:rFonts w:eastAsia="Times New Roman" w:cs="Times New Roman"/>
                <w:lang w:eastAsia="en-US"/>
              </w:rPr>
              <w:t>, choisi-e-s parmi les citoyennes et citoyens actifs</w:t>
            </w:r>
            <w:r>
              <w:rPr>
                <w:rFonts w:eastAsia="Times New Roman" w:cs="Times New Roman"/>
                <w:lang w:eastAsia="en-US"/>
              </w:rPr>
              <w:t xml:space="preserve"> domicilié-e-s dans la commune.</w:t>
            </w:r>
          </w:p>
          <w:p w:rsidR="00CD365A" w:rsidRDefault="00CD365A" w:rsidP="005E632F">
            <w:pPr>
              <w:spacing w:after="0" w:line="240" w:lineRule="auto"/>
              <w:jc w:val="both"/>
              <w:rPr>
                <w:rFonts w:eastAsia="Times New Roman" w:cs="Times New Roman"/>
                <w:lang w:eastAsia="en-US"/>
              </w:rPr>
            </w:pPr>
          </w:p>
          <w:p w:rsidR="00CD365A" w:rsidRPr="00796433" w:rsidRDefault="00CD365A" w:rsidP="005E632F">
            <w:pPr>
              <w:spacing w:after="0" w:line="240" w:lineRule="auto"/>
              <w:jc w:val="both"/>
              <w:rPr>
                <w:rFonts w:eastAsia="Times New Roman" w:cs="Times New Roman"/>
                <w:lang w:eastAsia="en-US"/>
              </w:rPr>
            </w:pP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lastRenderedPageBreak/>
              <w:t>2</w:t>
            </w:r>
            <w:r w:rsidRPr="00796433">
              <w:rPr>
                <w:rFonts w:eastAsia="Times New Roman" w:cs="Times New Roman"/>
                <w:lang w:eastAsia="en-US"/>
              </w:rPr>
              <w:t xml:space="preserve"> Au début de chaque législature, l’assemblée communale </w:t>
            </w:r>
            <w:r w:rsidRPr="00796433">
              <w:rPr>
                <w:rFonts w:eastAsia="Times New Roman" w:cs="Times New Roman"/>
                <w:color w:val="0000FF"/>
                <w:lang w:eastAsia="en-US"/>
              </w:rPr>
              <w:t>(ou le conseil général)</w:t>
            </w:r>
            <w:r w:rsidRPr="00796433">
              <w:rPr>
                <w:rFonts w:eastAsia="Times New Roman" w:cs="Times New Roman"/>
                <w:lang w:eastAsia="en-US"/>
              </w:rPr>
              <w:t xml:space="preserve"> élit les membres de la Commission communale des naturalisations, p</w:t>
            </w:r>
            <w:r>
              <w:rPr>
                <w:rFonts w:eastAsia="Times New Roman" w:cs="Times New Roman"/>
                <w:lang w:eastAsia="en-US"/>
              </w:rPr>
              <w:t>our la durée de la législature.</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3</w:t>
            </w:r>
            <w:r w:rsidRPr="00796433">
              <w:rPr>
                <w:rFonts w:eastAsia="Times New Roman" w:cs="Times New Roman"/>
                <w:lang w:eastAsia="en-US"/>
              </w:rPr>
              <w:t xml:space="preserve"> Si aucune personne membre du Conseil communal n’est </w:t>
            </w:r>
            <w:proofErr w:type="spellStart"/>
            <w:r w:rsidRPr="00796433">
              <w:rPr>
                <w:rFonts w:eastAsia="Times New Roman" w:cs="Times New Roman"/>
                <w:lang w:eastAsia="en-US"/>
              </w:rPr>
              <w:t>élu-e</w:t>
            </w:r>
            <w:proofErr w:type="spellEnd"/>
            <w:r w:rsidRPr="00796433">
              <w:rPr>
                <w:rFonts w:eastAsia="Times New Roman" w:cs="Times New Roman"/>
                <w:lang w:eastAsia="en-US"/>
              </w:rPr>
              <w:t xml:space="preserve"> au sein de la Commission communale des naturalisations, un représentant ou une représentante du Conseil communal peut assister aux séances de la </w:t>
            </w:r>
            <w:r>
              <w:rPr>
                <w:rFonts w:eastAsia="Times New Roman" w:cs="Times New Roman"/>
                <w:lang w:eastAsia="en-US"/>
              </w:rPr>
              <w:t>Commission, sans droit de vote.</w:t>
            </w:r>
          </w:p>
        </w:tc>
      </w:tr>
    </w:tbl>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240" w:line="240" w:lineRule="auto"/>
        <w:jc w:val="both"/>
        <w:rPr>
          <w:rFonts w:eastAsia="Times New Roman" w:cs="Times New Roman"/>
          <w:lang w:eastAsia="en-US"/>
        </w:rPr>
      </w:pPr>
      <w:r w:rsidRPr="00796433">
        <w:rPr>
          <w:rFonts w:eastAsia="Times New Roman" w:cs="Times New Roman"/>
          <w:lang w:eastAsia="en-US"/>
        </w:rPr>
        <w:t>E. EMOLUMENTS ADMINISTRATIFS</w:t>
      </w:r>
      <w:r w:rsidRPr="00796433">
        <w:rPr>
          <w:rFonts w:eastAsia="Times New Roman" w:cs="Times New Roman"/>
          <w:vertAlign w:val="superscript"/>
          <w:lang w:eastAsia="en-US"/>
        </w:rPr>
        <w:footnoteReference w:id="6"/>
      </w:r>
    </w:p>
    <w:tbl>
      <w:tblPr>
        <w:tblW w:w="0" w:type="auto"/>
        <w:tblLook w:val="01E0" w:firstRow="1" w:lastRow="1" w:firstColumn="1" w:lastColumn="1" w:noHBand="0" w:noVBand="0"/>
      </w:tblPr>
      <w:tblGrid>
        <w:gridCol w:w="2572"/>
        <w:gridCol w:w="6716"/>
      </w:tblGrid>
      <w:tr w:rsidR="00C746C0" w:rsidRPr="00796433" w:rsidTr="005E632F">
        <w:tc>
          <w:tcPr>
            <w:tcW w:w="2628"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Art. 11</w:t>
            </w:r>
          </w:p>
        </w:tc>
        <w:tc>
          <w:tcPr>
            <w:tcW w:w="7150" w:type="dxa"/>
            <w:shd w:val="clear" w:color="auto" w:fill="auto"/>
          </w:tcPr>
          <w:p w:rsidR="00C746C0" w:rsidRPr="00796433" w:rsidRDefault="00C746C0" w:rsidP="005E632F">
            <w:pPr>
              <w:spacing w:after="120" w:line="240" w:lineRule="auto"/>
              <w:jc w:val="both"/>
              <w:rPr>
                <w:rFonts w:eastAsia="Times New Roman" w:cs="Times New Roman"/>
                <w:b/>
                <w:lang w:eastAsia="en-US"/>
              </w:rPr>
            </w:pPr>
            <w:r w:rsidRPr="00796433">
              <w:rPr>
                <w:rFonts w:eastAsia="Times New Roman" w:cs="Times New Roman"/>
                <w:b/>
                <w:lang w:eastAsia="en-US"/>
              </w:rPr>
              <w:t>Emoluments administratifs</w:t>
            </w:r>
          </w:p>
        </w:tc>
      </w:tr>
      <w:tr w:rsidR="00C746C0" w:rsidRPr="00796433" w:rsidTr="005E632F">
        <w:tc>
          <w:tcPr>
            <w:tcW w:w="9778" w:type="dxa"/>
            <w:gridSpan w:val="2"/>
            <w:shd w:val="clear" w:color="auto" w:fill="auto"/>
          </w:tcPr>
          <w:p w:rsidR="00C746C0" w:rsidRPr="00796433" w:rsidRDefault="00C746C0" w:rsidP="005E632F">
            <w:pPr>
              <w:spacing w:after="120" w:line="240" w:lineRule="auto"/>
              <w:jc w:val="both"/>
              <w:rPr>
                <w:rFonts w:eastAsia="Times New Roman" w:cs="Times New Roman"/>
                <w:lang w:eastAsia="en-US"/>
              </w:rPr>
            </w:pPr>
            <w:r w:rsidRPr="00796433">
              <w:rPr>
                <w:rFonts w:eastAsia="Times New Roman" w:cs="Times New Roman"/>
                <w:vertAlign w:val="superscript"/>
                <w:lang w:eastAsia="en-US"/>
              </w:rPr>
              <w:t>1</w:t>
            </w:r>
            <w:r w:rsidRPr="00796433">
              <w:rPr>
                <w:rFonts w:eastAsia="Times New Roman" w:cs="Times New Roman"/>
                <w:lang w:eastAsia="en-US"/>
              </w:rPr>
              <w:t xml:space="preserve"> Par dossier, les émoluments suivants peuvent être perçus</w:t>
            </w:r>
            <w:r w:rsidRPr="00796433">
              <w:rPr>
                <w:rFonts w:eastAsia="Times New Roman" w:cs="Times New Roman"/>
                <w:vertAlign w:val="superscript"/>
                <w:lang w:eastAsia="en-US"/>
              </w:rPr>
              <w:footnoteReference w:id="7"/>
            </w:r>
            <w:r w:rsidRPr="00796433">
              <w:rPr>
                <w:rFonts w:eastAsia="Times New Roman" w:cs="Times New Roman"/>
                <w:lang w:eastAsia="en-US"/>
              </w:rPr>
              <w:t> :</w:t>
            </w:r>
          </w:p>
          <w:p w:rsidR="00C746C0" w:rsidRPr="00484C3D" w:rsidRDefault="00C746C0" w:rsidP="005E632F">
            <w:pPr>
              <w:tabs>
                <w:tab w:val="left" w:pos="360"/>
                <w:tab w:val="left" w:pos="8100"/>
              </w:tabs>
              <w:spacing w:after="0" w:line="240" w:lineRule="auto"/>
              <w:ind w:left="284"/>
              <w:jc w:val="both"/>
              <w:rPr>
                <w:rFonts w:eastAsia="Times New Roman" w:cs="Times New Roman"/>
                <w:lang w:eastAsia="en-US"/>
              </w:rPr>
            </w:pPr>
            <w:r w:rsidRPr="00484C3D">
              <w:rPr>
                <w:rFonts w:eastAsia="Times New Roman" w:cs="Times New Roman"/>
                <w:u w:val="single"/>
                <w:lang w:eastAsia="en-US"/>
              </w:rPr>
              <w:t>Naturalisation ordinaire</w:t>
            </w:r>
            <w:r w:rsidRPr="00484C3D">
              <w:rPr>
                <w:rFonts w:eastAsia="Times New Roman" w:cs="Times New Roman"/>
                <w:lang w:eastAsia="en-US"/>
              </w:rPr>
              <w:tab/>
              <w:t xml:space="preserve">Fr. </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a) examen préalable du dossier</w:t>
            </w:r>
            <w:r w:rsidRPr="00796433">
              <w:rPr>
                <w:rFonts w:eastAsia="Times New Roman" w:cs="Times New Roman"/>
                <w:lang w:eastAsia="en-US"/>
              </w:rPr>
              <w:tab/>
              <w:t>100-200</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b) enquête complémentaire effectuée par la commune</w:t>
            </w:r>
            <w:r w:rsidRPr="00796433">
              <w:rPr>
                <w:rFonts w:eastAsia="Times New Roman" w:cs="Times New Roman"/>
                <w:lang w:eastAsia="en-US"/>
              </w:rPr>
              <w:tab/>
              <w:t>20-150</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c) cours d’instruction civique, documentation civique</w:t>
            </w:r>
            <w:r w:rsidRPr="00796433">
              <w:rPr>
                <w:rFonts w:eastAsia="Times New Roman" w:cs="Times New Roman"/>
                <w:lang w:eastAsia="en-US"/>
              </w:rPr>
              <w:tab/>
              <w:t>20-150</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d) audition et/ou préavis par la Commission communale des naturalisations</w:t>
            </w:r>
            <w:r w:rsidRPr="00796433">
              <w:rPr>
                <w:rFonts w:eastAsia="Times New Roman" w:cs="Times New Roman"/>
                <w:vertAlign w:val="superscript"/>
                <w:lang w:eastAsia="en-US"/>
              </w:rPr>
              <w:footnoteReference w:id="8"/>
            </w:r>
            <w:r w:rsidRPr="00796433">
              <w:rPr>
                <w:rFonts w:eastAsia="Times New Roman" w:cs="Times New Roman"/>
                <w:lang w:eastAsia="en-US"/>
              </w:rPr>
              <w:tab/>
              <w:t>50-300</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e) décision du Conseil communal</w:t>
            </w:r>
            <w:r w:rsidRPr="00796433">
              <w:rPr>
                <w:rFonts w:eastAsia="Times New Roman" w:cs="Times New Roman"/>
                <w:lang w:eastAsia="en-US"/>
              </w:rPr>
              <w:tab/>
              <w:t>50-200</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f) montant de base pour les débours (téléphone, frais postaux, etc.)</w:t>
            </w:r>
            <w:r w:rsidRPr="00796433">
              <w:rPr>
                <w:rFonts w:eastAsia="Times New Roman" w:cs="Times New Roman"/>
                <w:lang w:eastAsia="en-US"/>
              </w:rPr>
              <w:tab/>
              <w:t>20-30</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g) analyse juridique particulière</w:t>
            </w:r>
            <w:r w:rsidRPr="00796433">
              <w:rPr>
                <w:rFonts w:eastAsia="Times New Roman" w:cs="Times New Roman"/>
                <w:lang w:eastAsia="en-US"/>
              </w:rPr>
              <w:tab/>
              <w:t>150/heure</w:t>
            </w:r>
          </w:p>
          <w:p w:rsidR="00C746C0" w:rsidRPr="00796433" w:rsidRDefault="00C746C0" w:rsidP="005E632F">
            <w:pPr>
              <w:tabs>
                <w:tab w:val="left" w:pos="360"/>
                <w:tab w:val="left" w:pos="7560"/>
              </w:tabs>
              <w:spacing w:after="0" w:line="240" w:lineRule="auto"/>
              <w:jc w:val="both"/>
              <w:rPr>
                <w:rFonts w:eastAsia="Times New Roman" w:cs="Times New Roman"/>
                <w:lang w:eastAsia="en-US"/>
              </w:rPr>
            </w:pPr>
          </w:p>
          <w:p w:rsidR="00C746C0" w:rsidRPr="00484C3D" w:rsidRDefault="00C746C0" w:rsidP="005E632F">
            <w:pPr>
              <w:tabs>
                <w:tab w:val="left" w:pos="360"/>
                <w:tab w:val="left" w:pos="8100"/>
              </w:tabs>
              <w:spacing w:after="0" w:line="240" w:lineRule="auto"/>
              <w:ind w:left="284"/>
              <w:jc w:val="both"/>
              <w:rPr>
                <w:rFonts w:eastAsia="Times New Roman" w:cs="Times New Roman"/>
                <w:lang w:eastAsia="en-US"/>
              </w:rPr>
            </w:pPr>
            <w:r w:rsidRPr="00484C3D">
              <w:rPr>
                <w:rFonts w:eastAsia="Times New Roman" w:cs="Times New Roman"/>
                <w:u w:val="single"/>
                <w:lang w:eastAsia="en-US"/>
              </w:rPr>
              <w:t>Naturalisation ordinaire pour les personnes de la deuxième génération</w:t>
            </w:r>
            <w:r w:rsidRPr="00484C3D">
              <w:rPr>
                <w:rFonts w:eastAsia="Times New Roman" w:cs="Times New Roman"/>
                <w:lang w:eastAsia="en-US"/>
              </w:rPr>
              <w:tab/>
              <w:t xml:space="preserve">Fr. </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a) examen préalable du dossier</w:t>
            </w:r>
            <w:r w:rsidRPr="00796433">
              <w:rPr>
                <w:rFonts w:eastAsia="Times New Roman" w:cs="Times New Roman"/>
                <w:lang w:eastAsia="en-US"/>
              </w:rPr>
              <w:tab/>
              <w:t>50-100</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b) enquête complémentaire effectuée par la commune</w:t>
            </w:r>
            <w:r w:rsidRPr="00796433">
              <w:rPr>
                <w:rFonts w:eastAsia="Times New Roman" w:cs="Times New Roman"/>
                <w:lang w:eastAsia="en-US"/>
              </w:rPr>
              <w:tab/>
              <w:t>20-100</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c) cours d’instruction civique, documentation civique</w:t>
            </w:r>
            <w:r w:rsidRPr="00796433">
              <w:rPr>
                <w:rFonts w:eastAsia="Times New Roman" w:cs="Times New Roman"/>
                <w:lang w:eastAsia="en-US"/>
              </w:rPr>
              <w:tab/>
              <w:t>20-50</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d) audition et/ou préavis par la Commission communale des naturalisations</w:t>
            </w:r>
            <w:r w:rsidRPr="00796433">
              <w:rPr>
                <w:rFonts w:eastAsia="Times New Roman" w:cs="Times New Roman"/>
                <w:lang w:eastAsia="en-US"/>
              </w:rPr>
              <w:tab/>
              <w:t>50-200</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e) décision du Conseil communal</w:t>
            </w:r>
            <w:r w:rsidRPr="00796433">
              <w:rPr>
                <w:rFonts w:eastAsia="Times New Roman" w:cs="Times New Roman"/>
                <w:lang w:eastAsia="en-US"/>
              </w:rPr>
              <w:tab/>
              <w:t>50-150</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f) montant de base pour les débours (téléphone, frais postaux, etc.)</w:t>
            </w:r>
            <w:r w:rsidRPr="00796433">
              <w:rPr>
                <w:rFonts w:eastAsia="Times New Roman" w:cs="Times New Roman"/>
                <w:lang w:eastAsia="en-US"/>
              </w:rPr>
              <w:tab/>
              <w:t>20-30</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g) analyse juridique particulière</w:t>
            </w:r>
            <w:r w:rsidRPr="00796433">
              <w:rPr>
                <w:rFonts w:eastAsia="Times New Roman" w:cs="Times New Roman"/>
                <w:lang w:eastAsia="en-US"/>
              </w:rPr>
              <w:tab/>
              <w:t>150/heure</w:t>
            </w:r>
          </w:p>
          <w:p w:rsidR="00C746C0" w:rsidRPr="00796433" w:rsidRDefault="00C746C0" w:rsidP="005E632F">
            <w:pPr>
              <w:tabs>
                <w:tab w:val="left" w:pos="360"/>
                <w:tab w:val="left" w:pos="7560"/>
              </w:tabs>
              <w:spacing w:after="0" w:line="240" w:lineRule="auto"/>
              <w:jc w:val="both"/>
              <w:rPr>
                <w:rFonts w:eastAsia="Times New Roman" w:cs="Times New Roman"/>
                <w:lang w:eastAsia="en-US"/>
              </w:rPr>
            </w:pPr>
          </w:p>
          <w:p w:rsidR="00C746C0" w:rsidRPr="00484C3D" w:rsidRDefault="00C746C0" w:rsidP="005E632F">
            <w:pPr>
              <w:tabs>
                <w:tab w:val="left" w:pos="360"/>
                <w:tab w:val="left" w:pos="8100"/>
              </w:tabs>
              <w:spacing w:after="0" w:line="240" w:lineRule="auto"/>
              <w:ind w:left="284"/>
              <w:jc w:val="both"/>
              <w:rPr>
                <w:rFonts w:eastAsia="Times New Roman" w:cs="Times New Roman"/>
                <w:lang w:eastAsia="en-US"/>
              </w:rPr>
            </w:pPr>
            <w:r w:rsidRPr="00484C3D">
              <w:rPr>
                <w:rFonts w:eastAsia="Times New Roman" w:cs="Times New Roman"/>
                <w:u w:val="single"/>
                <w:lang w:eastAsia="en-US"/>
              </w:rPr>
              <w:t>Octroi du droit de cité pour les personnes confédérées ou fribourgeoises</w:t>
            </w:r>
            <w:r w:rsidRPr="00484C3D">
              <w:rPr>
                <w:rFonts w:eastAsia="Times New Roman" w:cs="Times New Roman"/>
                <w:lang w:eastAsia="en-US"/>
              </w:rPr>
              <w:tab/>
              <w:t>Fr.</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a) examen préalable du dossier</w:t>
            </w:r>
            <w:r w:rsidRPr="00796433">
              <w:rPr>
                <w:rFonts w:eastAsia="Times New Roman" w:cs="Times New Roman"/>
                <w:lang w:eastAsia="en-US"/>
              </w:rPr>
              <w:tab/>
              <w:t>50-100</w:t>
            </w:r>
          </w:p>
          <w:p w:rsidR="00C746C0" w:rsidRPr="00796433" w:rsidRDefault="00C746C0" w:rsidP="005E632F">
            <w:pPr>
              <w:tabs>
                <w:tab w:val="left" w:pos="284"/>
                <w:tab w:val="left" w:pos="8100"/>
              </w:tabs>
              <w:spacing w:after="0" w:line="240" w:lineRule="auto"/>
              <w:jc w:val="both"/>
              <w:rPr>
                <w:rFonts w:eastAsia="Times New Roman" w:cs="Times New Roman"/>
                <w:lang w:eastAsia="en-US"/>
              </w:rPr>
            </w:pPr>
            <w:r w:rsidRPr="00796433">
              <w:rPr>
                <w:rFonts w:eastAsia="Times New Roman" w:cs="Times New Roman"/>
                <w:lang w:eastAsia="en-US"/>
              </w:rPr>
              <w:tab/>
              <w:t>b) décision du Conseil communal</w:t>
            </w:r>
            <w:r w:rsidRPr="00796433">
              <w:rPr>
                <w:rFonts w:eastAsia="Times New Roman" w:cs="Times New Roman"/>
                <w:lang w:eastAsia="en-US"/>
              </w:rPr>
              <w:tab/>
              <w:t>50-200</w:t>
            </w:r>
          </w:p>
          <w:p w:rsidR="00C746C0" w:rsidRPr="00796433" w:rsidRDefault="00C746C0" w:rsidP="005E632F">
            <w:pPr>
              <w:widowControl w:val="0"/>
              <w:tabs>
                <w:tab w:val="left" w:pos="1134"/>
              </w:tabs>
              <w:spacing w:after="0" w:line="240" w:lineRule="auto"/>
              <w:jc w:val="both"/>
              <w:rPr>
                <w:rFonts w:eastAsia="Times New Roman" w:cs="Times New Roman"/>
                <w:lang w:val="fr-FR" w:eastAsia="en-US"/>
              </w:rPr>
            </w:pPr>
          </w:p>
          <w:p w:rsidR="00C746C0" w:rsidRPr="00796433" w:rsidRDefault="00C746C0" w:rsidP="005E632F">
            <w:pPr>
              <w:widowControl w:val="0"/>
              <w:tabs>
                <w:tab w:val="left" w:pos="1134"/>
              </w:tabs>
              <w:spacing w:after="0" w:line="240" w:lineRule="auto"/>
              <w:jc w:val="both"/>
              <w:rPr>
                <w:rFonts w:eastAsia="Times New Roman" w:cs="Times New Roman"/>
                <w:lang w:val="fr-FR" w:eastAsia="en-US"/>
              </w:rPr>
            </w:pPr>
            <w:r w:rsidRPr="00796433">
              <w:rPr>
                <w:rFonts w:eastAsia="Times New Roman" w:cs="Times New Roman"/>
                <w:vertAlign w:val="superscript"/>
                <w:lang w:val="fr-FR" w:eastAsia="en-US"/>
              </w:rPr>
              <w:t>2</w:t>
            </w:r>
            <w:r w:rsidRPr="00796433">
              <w:rPr>
                <w:rFonts w:eastAsia="Times New Roman" w:cs="Times New Roman"/>
                <w:lang w:val="fr-FR" w:eastAsia="en-US"/>
              </w:rPr>
              <w:t xml:space="preserve"> En cas de retrait, de renvoi ou de rejet de la demande, l'émolument reste dû pour les étapes de la procédure effectuées.</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3</w:t>
            </w:r>
            <w:r w:rsidRPr="00796433">
              <w:rPr>
                <w:rFonts w:eastAsia="Times New Roman" w:cs="Times New Roman"/>
                <w:lang w:eastAsia="en-US"/>
              </w:rPr>
              <w:t xml:space="preserve"> La personne requérante dont la situation financière est difficile peut demander une réduction des émoluments. Le Conseil communal statue s</w:t>
            </w:r>
            <w:r>
              <w:rPr>
                <w:rFonts w:eastAsia="Times New Roman" w:cs="Times New Roman"/>
                <w:lang w:eastAsia="en-US"/>
              </w:rPr>
              <w:t>ur la réduction des émoluments.</w:t>
            </w:r>
          </w:p>
          <w:p w:rsidR="00C746C0" w:rsidRDefault="00C746C0" w:rsidP="005E632F">
            <w:pPr>
              <w:tabs>
                <w:tab w:val="left" w:pos="360"/>
                <w:tab w:val="left" w:pos="7560"/>
              </w:tabs>
              <w:spacing w:after="0" w:line="240" w:lineRule="auto"/>
              <w:jc w:val="both"/>
              <w:rPr>
                <w:rFonts w:eastAsia="Times New Roman" w:cs="Times New Roman"/>
                <w:lang w:eastAsia="en-US"/>
              </w:rPr>
            </w:pPr>
            <w:r w:rsidRPr="00796433">
              <w:rPr>
                <w:rFonts w:eastAsia="Times New Roman" w:cs="Times New Roman"/>
                <w:vertAlign w:val="superscript"/>
                <w:lang w:eastAsia="en-US"/>
              </w:rPr>
              <w:t>4</w:t>
            </w:r>
            <w:r w:rsidRPr="00796433">
              <w:rPr>
                <w:rFonts w:eastAsia="Times New Roman" w:cs="Times New Roman"/>
                <w:lang w:eastAsia="en-US"/>
              </w:rPr>
              <w:t xml:space="preserve"> Les émoluments sont exigibles sitôt la décision</w:t>
            </w:r>
            <w:r>
              <w:rPr>
                <w:rFonts w:eastAsia="Times New Roman" w:cs="Times New Roman"/>
                <w:lang w:eastAsia="en-US"/>
              </w:rPr>
              <w:t xml:space="preserve"> prise par le Conseil communal.</w:t>
            </w:r>
          </w:p>
          <w:p w:rsidR="00CD365A" w:rsidRDefault="00CD365A" w:rsidP="005E632F">
            <w:pPr>
              <w:tabs>
                <w:tab w:val="left" w:pos="360"/>
                <w:tab w:val="left" w:pos="7560"/>
              </w:tabs>
              <w:spacing w:after="0" w:line="240" w:lineRule="auto"/>
              <w:jc w:val="both"/>
              <w:rPr>
                <w:rFonts w:eastAsia="Times New Roman" w:cs="Times New Roman"/>
                <w:lang w:eastAsia="en-US"/>
              </w:rPr>
            </w:pPr>
          </w:p>
          <w:p w:rsidR="00CD365A" w:rsidRPr="00796433" w:rsidRDefault="00CD365A" w:rsidP="005E632F">
            <w:pPr>
              <w:tabs>
                <w:tab w:val="left" w:pos="360"/>
                <w:tab w:val="left" w:pos="7560"/>
              </w:tabs>
              <w:spacing w:after="0" w:line="240" w:lineRule="auto"/>
              <w:jc w:val="both"/>
              <w:rPr>
                <w:rFonts w:eastAsia="Times New Roman" w:cs="Times New Roman"/>
                <w:lang w:eastAsia="en-US"/>
              </w:rPr>
            </w:pPr>
          </w:p>
          <w:p w:rsidR="00C746C0" w:rsidRPr="00796433" w:rsidRDefault="00C746C0" w:rsidP="005E632F">
            <w:pPr>
              <w:spacing w:before="120" w:after="0" w:line="240" w:lineRule="auto"/>
              <w:jc w:val="both"/>
              <w:rPr>
                <w:rFonts w:eastAsia="Times New Roman" w:cs="Times New Roman"/>
                <w:color w:val="0000FF"/>
                <w:lang w:eastAsia="en-US"/>
              </w:rPr>
            </w:pPr>
            <w:r w:rsidRPr="00796433">
              <w:rPr>
                <w:rFonts w:eastAsia="Times New Roman" w:cs="Times New Roman"/>
                <w:color w:val="0000FF"/>
                <w:u w:val="single"/>
                <w:lang w:eastAsia="en-US"/>
              </w:rPr>
              <w:lastRenderedPageBreak/>
              <w:t>Variante pour l’alinéa 1</w:t>
            </w:r>
            <w:r w:rsidRPr="00796433">
              <w:rPr>
                <w:rFonts w:eastAsia="Times New Roman" w:cs="Times New Roman"/>
                <w:color w:val="0000FF"/>
                <w:lang w:eastAsia="en-US"/>
              </w:rPr>
              <w:t> :</w:t>
            </w:r>
          </w:p>
          <w:p w:rsidR="00C746C0" w:rsidRPr="00796433" w:rsidRDefault="00C746C0" w:rsidP="005E632F">
            <w:pPr>
              <w:spacing w:after="0" w:line="240" w:lineRule="auto"/>
              <w:jc w:val="both"/>
              <w:rPr>
                <w:rFonts w:eastAsia="Times New Roman" w:cs="Times New Roman"/>
                <w:color w:val="0000FF"/>
                <w:lang w:eastAsia="en-US"/>
              </w:rPr>
            </w:pPr>
            <w:r w:rsidRPr="00796433">
              <w:rPr>
                <w:rFonts w:eastAsia="Times New Roman" w:cs="Times New Roman"/>
                <w:color w:val="0000FF"/>
                <w:vertAlign w:val="superscript"/>
                <w:lang w:eastAsia="en-US"/>
              </w:rPr>
              <w:t>1</w:t>
            </w:r>
            <w:r w:rsidRPr="00796433">
              <w:rPr>
                <w:rFonts w:eastAsia="Times New Roman" w:cs="Times New Roman"/>
                <w:color w:val="0000FF"/>
                <w:lang w:eastAsia="en-US"/>
              </w:rPr>
              <w:t xml:space="preserve"> Les émoluments à percevoir, par dossier, peuvent être calculés sur la base du Tarif annexé au présent règlement et qui en fait partie intégrante.</w:t>
            </w:r>
          </w:p>
          <w:p w:rsidR="00C746C0" w:rsidRPr="00796433" w:rsidRDefault="00C746C0" w:rsidP="005E632F">
            <w:pPr>
              <w:widowControl w:val="0"/>
              <w:tabs>
                <w:tab w:val="left" w:pos="1134"/>
              </w:tabs>
              <w:spacing w:after="0" w:line="240" w:lineRule="auto"/>
              <w:jc w:val="both"/>
              <w:rPr>
                <w:rFonts w:eastAsia="Times New Roman" w:cs="Times New Roman"/>
                <w:lang w:eastAsia="en-US"/>
              </w:rPr>
            </w:pPr>
          </w:p>
        </w:tc>
      </w:tr>
    </w:tbl>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240" w:line="240" w:lineRule="auto"/>
        <w:jc w:val="both"/>
        <w:rPr>
          <w:rFonts w:eastAsia="Times New Roman" w:cs="Times New Roman"/>
          <w:lang w:eastAsia="en-US"/>
        </w:rPr>
      </w:pPr>
      <w:r w:rsidRPr="00796433">
        <w:rPr>
          <w:rFonts w:eastAsia="Times New Roman" w:cs="Times New Roman"/>
          <w:lang w:eastAsia="en-US"/>
        </w:rPr>
        <w:t>F. VOIE DE DROIT ET DISPOSITIONS FINALES</w:t>
      </w:r>
    </w:p>
    <w:tbl>
      <w:tblPr>
        <w:tblW w:w="0" w:type="auto"/>
        <w:tblLook w:val="01E0" w:firstRow="1" w:lastRow="1" w:firstColumn="1" w:lastColumn="1" w:noHBand="0" w:noVBand="0"/>
      </w:tblPr>
      <w:tblGrid>
        <w:gridCol w:w="2506"/>
        <w:gridCol w:w="6782"/>
      </w:tblGrid>
      <w:tr w:rsidR="00C746C0" w:rsidRPr="00796433" w:rsidTr="005E632F">
        <w:tc>
          <w:tcPr>
            <w:tcW w:w="2628"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Art. 12</w:t>
            </w:r>
          </w:p>
        </w:tc>
        <w:tc>
          <w:tcPr>
            <w:tcW w:w="7150" w:type="dxa"/>
            <w:shd w:val="clear" w:color="auto" w:fill="auto"/>
          </w:tcPr>
          <w:p w:rsidR="00C746C0" w:rsidRPr="00796433" w:rsidRDefault="00C746C0" w:rsidP="005E632F">
            <w:pPr>
              <w:spacing w:after="120" w:line="240" w:lineRule="auto"/>
              <w:jc w:val="both"/>
              <w:rPr>
                <w:rFonts w:eastAsia="Times New Roman" w:cs="Times New Roman"/>
                <w:b/>
                <w:lang w:eastAsia="en-US"/>
              </w:rPr>
            </w:pPr>
            <w:r w:rsidRPr="00796433">
              <w:rPr>
                <w:rFonts w:eastAsia="Times New Roman" w:cs="Times New Roman"/>
                <w:b/>
                <w:lang w:eastAsia="en-US"/>
              </w:rPr>
              <w:t>Voie de recours</w:t>
            </w:r>
          </w:p>
        </w:tc>
      </w:tr>
      <w:tr w:rsidR="00C746C0" w:rsidRPr="00796433" w:rsidTr="005E632F">
        <w:tc>
          <w:tcPr>
            <w:tcW w:w="9778" w:type="dxa"/>
            <w:gridSpan w:val="2"/>
            <w:shd w:val="clear" w:color="auto" w:fill="auto"/>
          </w:tcPr>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lang w:eastAsia="en-US"/>
              </w:rPr>
              <w:t xml:space="preserve">Les décisions prises par le Conseil communal en matière d’octroi ou de libération du droit de cité sont sujettes à recours auprès du Préfet dans les </w:t>
            </w:r>
            <w:r>
              <w:rPr>
                <w:rFonts w:eastAsia="Times New Roman" w:cs="Times New Roman"/>
                <w:lang w:eastAsia="en-US"/>
              </w:rPr>
              <w:t>30 jours dès leur notification.</w:t>
            </w:r>
          </w:p>
        </w:tc>
      </w:tr>
    </w:tbl>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tbl>
      <w:tblPr>
        <w:tblW w:w="0" w:type="auto"/>
        <w:tblLook w:val="01E0" w:firstRow="1" w:lastRow="1" w:firstColumn="1" w:lastColumn="1" w:noHBand="0" w:noVBand="0"/>
      </w:tblPr>
      <w:tblGrid>
        <w:gridCol w:w="2502"/>
        <w:gridCol w:w="6786"/>
      </w:tblGrid>
      <w:tr w:rsidR="00C746C0" w:rsidRPr="00796433" w:rsidTr="005E632F">
        <w:tc>
          <w:tcPr>
            <w:tcW w:w="2628"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Art. 13</w:t>
            </w:r>
          </w:p>
        </w:tc>
        <w:tc>
          <w:tcPr>
            <w:tcW w:w="7150" w:type="dxa"/>
            <w:shd w:val="clear" w:color="auto" w:fill="auto"/>
          </w:tcPr>
          <w:p w:rsidR="00C746C0" w:rsidRPr="00796433" w:rsidRDefault="00C746C0" w:rsidP="005E632F">
            <w:pPr>
              <w:spacing w:after="120" w:line="240" w:lineRule="auto"/>
              <w:jc w:val="both"/>
              <w:rPr>
                <w:rFonts w:eastAsia="Times New Roman" w:cs="Times New Roman"/>
                <w:b/>
                <w:lang w:eastAsia="en-US"/>
              </w:rPr>
            </w:pPr>
            <w:r w:rsidRPr="00796433">
              <w:rPr>
                <w:rFonts w:eastAsia="Times New Roman" w:cs="Times New Roman"/>
                <w:b/>
                <w:lang w:eastAsia="en-US"/>
              </w:rPr>
              <w:t>Droit transitoire</w:t>
            </w:r>
          </w:p>
        </w:tc>
      </w:tr>
      <w:tr w:rsidR="00C746C0" w:rsidRPr="00796433" w:rsidTr="005E632F">
        <w:tc>
          <w:tcPr>
            <w:tcW w:w="9778" w:type="dxa"/>
            <w:gridSpan w:val="2"/>
            <w:shd w:val="clear" w:color="auto" w:fill="auto"/>
          </w:tcPr>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1</w:t>
            </w:r>
            <w:r w:rsidRPr="00796433">
              <w:rPr>
                <w:rFonts w:eastAsia="Times New Roman" w:cs="Times New Roman"/>
                <w:lang w:eastAsia="en-US"/>
              </w:rPr>
              <w:t xml:space="preserve"> L’ancien règlement communal est applicable à toutes les demandes déposées avant le 1</w:t>
            </w:r>
            <w:r w:rsidRPr="00796433">
              <w:rPr>
                <w:rFonts w:eastAsia="Times New Roman" w:cs="Times New Roman"/>
                <w:vertAlign w:val="superscript"/>
                <w:lang w:eastAsia="en-US"/>
              </w:rPr>
              <w:t>er</w:t>
            </w:r>
            <w:r w:rsidRPr="00796433">
              <w:rPr>
                <w:rFonts w:eastAsia="Times New Roman" w:cs="Times New Roman"/>
                <w:lang w:eastAsia="en-US"/>
              </w:rPr>
              <w:t xml:space="preserve"> janvier 2018</w:t>
            </w:r>
            <w:r w:rsidRPr="00796433">
              <w:rPr>
                <w:rFonts w:eastAsia="Times New Roman" w:cs="Times New Roman"/>
                <w:vertAlign w:val="superscript"/>
                <w:lang w:eastAsia="en-US"/>
              </w:rPr>
              <w:footnoteReference w:id="9"/>
            </w:r>
            <w:r w:rsidRPr="00796433">
              <w:rPr>
                <w:rFonts w:eastAsia="Times New Roman" w:cs="Times New Roman"/>
                <w:lang w:eastAsia="en-US"/>
              </w:rPr>
              <w:t>.</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2</w:t>
            </w:r>
            <w:r w:rsidRPr="00796433">
              <w:rPr>
                <w:rFonts w:eastAsia="Times New Roman" w:cs="Times New Roman"/>
                <w:lang w:eastAsia="en-US"/>
              </w:rPr>
              <w:t xml:space="preserve"> Le présent règlement est applicable à toutes les demandes déposées dès le 1</w:t>
            </w:r>
            <w:r w:rsidRPr="00796433">
              <w:rPr>
                <w:rFonts w:eastAsia="Times New Roman" w:cs="Times New Roman"/>
                <w:vertAlign w:val="superscript"/>
                <w:lang w:eastAsia="en-US"/>
              </w:rPr>
              <w:t>er</w:t>
            </w:r>
            <w:r w:rsidRPr="00796433">
              <w:rPr>
                <w:rFonts w:eastAsia="Times New Roman" w:cs="Times New Roman"/>
                <w:lang w:eastAsia="en-US"/>
              </w:rPr>
              <w:t xml:space="preserve"> janvier 2018.</w:t>
            </w:r>
          </w:p>
        </w:tc>
      </w:tr>
    </w:tbl>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tbl>
      <w:tblPr>
        <w:tblW w:w="0" w:type="auto"/>
        <w:tblLook w:val="01E0" w:firstRow="1" w:lastRow="1" w:firstColumn="1" w:lastColumn="1" w:noHBand="0" w:noVBand="0"/>
      </w:tblPr>
      <w:tblGrid>
        <w:gridCol w:w="2501"/>
        <w:gridCol w:w="6787"/>
      </w:tblGrid>
      <w:tr w:rsidR="00C746C0" w:rsidRPr="00796433" w:rsidTr="005E632F">
        <w:tc>
          <w:tcPr>
            <w:tcW w:w="2628" w:type="dxa"/>
            <w:shd w:val="clear" w:color="auto" w:fill="auto"/>
          </w:tcPr>
          <w:p w:rsidR="00C746C0" w:rsidRPr="00796433" w:rsidRDefault="00C746C0" w:rsidP="005E632F">
            <w:pPr>
              <w:spacing w:after="0" w:line="240" w:lineRule="auto"/>
              <w:jc w:val="both"/>
              <w:rPr>
                <w:rFonts w:eastAsia="Times New Roman" w:cs="Times New Roman"/>
                <w:b/>
                <w:lang w:eastAsia="en-US"/>
              </w:rPr>
            </w:pPr>
            <w:r w:rsidRPr="00796433">
              <w:rPr>
                <w:rFonts w:eastAsia="Times New Roman" w:cs="Times New Roman"/>
                <w:b/>
                <w:lang w:eastAsia="en-US"/>
              </w:rPr>
              <w:t>Art. 14</w:t>
            </w:r>
          </w:p>
        </w:tc>
        <w:tc>
          <w:tcPr>
            <w:tcW w:w="7150" w:type="dxa"/>
            <w:shd w:val="clear" w:color="auto" w:fill="auto"/>
          </w:tcPr>
          <w:p w:rsidR="00C746C0" w:rsidRPr="00796433" w:rsidRDefault="00C746C0" w:rsidP="005E632F">
            <w:pPr>
              <w:spacing w:after="120" w:line="240" w:lineRule="auto"/>
              <w:jc w:val="both"/>
              <w:rPr>
                <w:rFonts w:eastAsia="Times New Roman" w:cs="Times New Roman"/>
                <w:b/>
                <w:lang w:eastAsia="en-US"/>
              </w:rPr>
            </w:pPr>
            <w:r w:rsidRPr="00796433">
              <w:rPr>
                <w:rFonts w:eastAsia="Times New Roman" w:cs="Times New Roman"/>
                <w:b/>
                <w:lang w:eastAsia="en-US"/>
              </w:rPr>
              <w:t>Entrée en vigueur et abrogation de l’ancien règlement</w:t>
            </w:r>
          </w:p>
        </w:tc>
      </w:tr>
      <w:tr w:rsidR="00C746C0" w:rsidRPr="00796433" w:rsidTr="005E632F">
        <w:tc>
          <w:tcPr>
            <w:tcW w:w="9778" w:type="dxa"/>
            <w:gridSpan w:val="2"/>
            <w:shd w:val="clear" w:color="auto" w:fill="auto"/>
          </w:tcPr>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1</w:t>
            </w:r>
            <w:r w:rsidRPr="00796433">
              <w:rPr>
                <w:rFonts w:eastAsia="Times New Roman" w:cs="Times New Roman"/>
                <w:lang w:eastAsia="en-US"/>
              </w:rPr>
              <w:t xml:space="preserve"> Le présent règlement entre en vigueur au jour de son approbation par la Direction des institutions, de l’agriculture et des forêts.</w:t>
            </w:r>
          </w:p>
          <w:p w:rsidR="00C746C0" w:rsidRPr="00796433" w:rsidRDefault="00C746C0" w:rsidP="005E632F">
            <w:pPr>
              <w:spacing w:after="0" w:line="240" w:lineRule="auto"/>
              <w:jc w:val="both"/>
              <w:rPr>
                <w:rFonts w:eastAsia="Times New Roman" w:cs="Times New Roman"/>
                <w:lang w:eastAsia="en-US"/>
              </w:rPr>
            </w:pPr>
            <w:r w:rsidRPr="00796433">
              <w:rPr>
                <w:rFonts w:eastAsia="Times New Roman" w:cs="Times New Roman"/>
                <w:vertAlign w:val="superscript"/>
                <w:lang w:eastAsia="en-US"/>
              </w:rPr>
              <w:t xml:space="preserve">2 </w:t>
            </w:r>
            <w:r w:rsidRPr="00796433">
              <w:rPr>
                <w:rFonts w:eastAsia="Times New Roman" w:cs="Times New Roman"/>
                <w:lang w:eastAsia="en-US"/>
              </w:rPr>
              <w:t>Le règlement sur le droit de cité communal du XXX est abrogé à cette même date.</w:t>
            </w:r>
          </w:p>
        </w:tc>
      </w:tr>
    </w:tbl>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r w:rsidRPr="00796433">
        <w:rPr>
          <w:rFonts w:eastAsia="Times New Roman" w:cs="Times New Roman"/>
          <w:lang w:eastAsia="en-US"/>
        </w:rPr>
        <w:t xml:space="preserve">Ainsi adopté en Assemblée communale </w:t>
      </w:r>
      <w:r w:rsidRPr="00796433">
        <w:rPr>
          <w:rFonts w:eastAsia="Times New Roman" w:cs="Times New Roman"/>
          <w:color w:val="0000FF"/>
          <w:lang w:eastAsia="en-US"/>
        </w:rPr>
        <w:t>(en Conseil général)</w:t>
      </w:r>
      <w:r w:rsidRPr="00796433">
        <w:rPr>
          <w:rFonts w:eastAsia="Times New Roman" w:cs="Times New Roman"/>
          <w:lang w:eastAsia="en-US"/>
        </w:rPr>
        <w:t>, le …</w:t>
      </w:r>
    </w:p>
    <w:p w:rsidR="00C746C0" w:rsidRPr="00796433" w:rsidRDefault="00C746C0" w:rsidP="00C746C0">
      <w:pPr>
        <w:spacing w:after="0" w:line="240" w:lineRule="auto"/>
        <w:jc w:val="both"/>
        <w:rPr>
          <w:rFonts w:eastAsia="Times New Roman" w:cs="Times New Roman"/>
          <w:lang w:eastAsia="en-US"/>
        </w:rPr>
      </w:pPr>
    </w:p>
    <w:p w:rsidR="00C746C0"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center"/>
        <w:rPr>
          <w:rFonts w:eastAsia="Times New Roman" w:cs="Times New Roman"/>
          <w:caps/>
          <w:lang w:eastAsia="en-US"/>
        </w:rPr>
      </w:pPr>
      <w:r w:rsidRPr="00796433">
        <w:rPr>
          <w:rFonts w:eastAsia="Times New Roman" w:cs="Times New Roman"/>
          <w:lang w:eastAsia="en-US"/>
        </w:rPr>
        <w:t>AU NOM DE L’ASSEMBLÉE COMMUNALE</w:t>
      </w:r>
    </w:p>
    <w:p w:rsidR="00C746C0" w:rsidRPr="00796433" w:rsidRDefault="00C746C0" w:rsidP="00C746C0">
      <w:pPr>
        <w:spacing w:after="120" w:line="240" w:lineRule="auto"/>
        <w:jc w:val="center"/>
        <w:rPr>
          <w:rFonts w:eastAsia="Times New Roman" w:cs="Times New Roman"/>
          <w:color w:val="0000FF"/>
          <w:lang w:eastAsia="en-US"/>
        </w:rPr>
      </w:pPr>
      <w:r w:rsidRPr="00796433">
        <w:rPr>
          <w:rFonts w:eastAsia="Times New Roman" w:cs="Times New Roman"/>
          <w:caps/>
          <w:color w:val="0000FF"/>
          <w:lang w:eastAsia="en-US"/>
        </w:rPr>
        <w:t>(Au nom DU CONSEIL GÉNÉRAL)</w:t>
      </w: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center"/>
        <w:rPr>
          <w:rFonts w:eastAsia="Times New Roman" w:cs="Times New Roman"/>
          <w:lang w:eastAsia="en-US"/>
        </w:rPr>
      </w:pPr>
      <w:r w:rsidRPr="00796433">
        <w:rPr>
          <w:rFonts w:eastAsia="Times New Roman" w:cs="Times New Roman"/>
          <w:lang w:eastAsia="en-US"/>
        </w:rPr>
        <w:t>Le</w:t>
      </w:r>
      <w:r>
        <w:rPr>
          <w:rFonts w:eastAsia="Times New Roman" w:cs="Times New Roman"/>
          <w:lang w:eastAsia="en-US"/>
        </w:rPr>
        <w:t xml:space="preserve">/La </w:t>
      </w:r>
      <w:r w:rsidRPr="00796433">
        <w:rPr>
          <w:rFonts w:eastAsia="Times New Roman" w:cs="Times New Roman"/>
          <w:lang w:eastAsia="en-US"/>
        </w:rPr>
        <w:t>Secrétaire</w:t>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t>Le Syndic/La Syndique</w:t>
      </w:r>
    </w:p>
    <w:p w:rsidR="00C746C0" w:rsidRPr="00796433" w:rsidRDefault="00C746C0" w:rsidP="00C746C0">
      <w:pPr>
        <w:spacing w:after="0" w:line="240" w:lineRule="auto"/>
        <w:jc w:val="center"/>
        <w:rPr>
          <w:rFonts w:eastAsia="Times New Roman" w:cs="Times New Roman"/>
          <w:color w:val="0000FF"/>
          <w:lang w:eastAsia="en-US"/>
        </w:rPr>
      </w:pP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color w:val="0000FF"/>
          <w:lang w:eastAsia="en-US"/>
        </w:rPr>
        <w:t>(Le Président/La Présidente)</w:t>
      </w: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both"/>
        <w:rPr>
          <w:rFonts w:eastAsia="Times New Roman" w:cs="Times New Roman"/>
          <w:lang w:eastAsia="en-US"/>
        </w:rPr>
      </w:pPr>
    </w:p>
    <w:p w:rsidR="00C746C0" w:rsidRPr="00796433" w:rsidRDefault="00C746C0" w:rsidP="00C746C0">
      <w:pPr>
        <w:spacing w:after="0" w:line="240" w:lineRule="auto"/>
        <w:jc w:val="center"/>
        <w:rPr>
          <w:rFonts w:eastAsia="Times New Roman" w:cs="Times New Roman"/>
          <w:lang w:eastAsia="en-US"/>
        </w:rPr>
      </w:pPr>
      <w:r w:rsidRPr="00796433">
        <w:rPr>
          <w:rFonts w:eastAsia="Times New Roman" w:cs="Times New Roman"/>
          <w:lang w:eastAsia="en-US"/>
        </w:rPr>
        <w:t>Ainsi approuvé par</w:t>
      </w:r>
    </w:p>
    <w:p w:rsidR="00C746C0" w:rsidRPr="00796433" w:rsidRDefault="00C746C0" w:rsidP="00C746C0">
      <w:pPr>
        <w:spacing w:after="0" w:line="240" w:lineRule="auto"/>
        <w:jc w:val="center"/>
        <w:rPr>
          <w:rFonts w:eastAsia="Times New Roman" w:cs="Times New Roman"/>
          <w:lang w:eastAsia="en-US"/>
        </w:rPr>
      </w:pPr>
      <w:r w:rsidRPr="00796433">
        <w:rPr>
          <w:rFonts w:eastAsia="Times New Roman" w:cs="Times New Roman"/>
          <w:lang w:eastAsia="en-US"/>
        </w:rPr>
        <w:t>la Direction des institutions, de l’agriculture et des forêts</w:t>
      </w:r>
    </w:p>
    <w:p w:rsidR="00C746C0" w:rsidRPr="00796433" w:rsidRDefault="00C746C0" w:rsidP="00C746C0">
      <w:pPr>
        <w:spacing w:after="0" w:line="240" w:lineRule="auto"/>
        <w:jc w:val="center"/>
        <w:rPr>
          <w:rFonts w:eastAsia="Times New Roman" w:cs="Times New Roman"/>
          <w:lang w:eastAsia="en-US"/>
        </w:rPr>
      </w:pPr>
    </w:p>
    <w:p w:rsidR="00C746C0" w:rsidRPr="00796433" w:rsidRDefault="00C746C0" w:rsidP="00C746C0">
      <w:pPr>
        <w:spacing w:after="0" w:line="240" w:lineRule="auto"/>
        <w:jc w:val="center"/>
        <w:rPr>
          <w:rFonts w:eastAsia="Times New Roman" w:cs="Times New Roman"/>
          <w:lang w:eastAsia="en-US"/>
        </w:rPr>
      </w:pPr>
      <w:r w:rsidRPr="00796433">
        <w:rPr>
          <w:rFonts w:eastAsia="Times New Roman" w:cs="Times New Roman"/>
          <w:lang w:eastAsia="en-US"/>
        </w:rPr>
        <w:t>Fribourg, le …</w:t>
      </w:r>
    </w:p>
    <w:p w:rsidR="00C746C0" w:rsidRPr="00796433" w:rsidRDefault="00C746C0" w:rsidP="00C746C0">
      <w:pPr>
        <w:spacing w:after="0" w:line="240" w:lineRule="auto"/>
        <w:jc w:val="center"/>
        <w:rPr>
          <w:rFonts w:eastAsia="Times New Roman" w:cs="Times New Roman"/>
          <w:lang w:eastAsia="en-US"/>
        </w:rPr>
      </w:pPr>
    </w:p>
    <w:p w:rsidR="00C746C0" w:rsidRPr="00796433" w:rsidRDefault="00C746C0" w:rsidP="00C746C0">
      <w:pPr>
        <w:spacing w:after="0" w:line="240" w:lineRule="auto"/>
        <w:jc w:val="center"/>
        <w:rPr>
          <w:rFonts w:eastAsia="Times New Roman" w:cs="Times New Roman"/>
          <w:lang w:eastAsia="en-US"/>
        </w:rPr>
      </w:pPr>
    </w:p>
    <w:p w:rsidR="00C746C0" w:rsidRPr="00796433" w:rsidRDefault="00C746C0" w:rsidP="00C746C0">
      <w:pPr>
        <w:spacing w:after="0" w:line="240" w:lineRule="auto"/>
        <w:jc w:val="center"/>
        <w:rPr>
          <w:rFonts w:eastAsia="Times New Roman" w:cs="Times New Roman"/>
          <w:lang w:eastAsia="en-US"/>
        </w:rPr>
      </w:pP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t>Le Conseiller d’Etat-Directeur</w:t>
      </w:r>
    </w:p>
    <w:p w:rsidR="00C746C0" w:rsidRPr="00796433" w:rsidRDefault="00C746C0" w:rsidP="00C746C0">
      <w:pPr>
        <w:spacing w:after="0" w:line="240" w:lineRule="auto"/>
        <w:jc w:val="center"/>
        <w:rPr>
          <w:rFonts w:eastAsia="Times New Roman" w:cs="Times New Roman"/>
          <w:lang w:eastAsia="en-US"/>
        </w:rPr>
      </w:pP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r>
      <w:r w:rsidRPr="00796433">
        <w:rPr>
          <w:rFonts w:eastAsia="Times New Roman" w:cs="Times New Roman"/>
          <w:lang w:eastAsia="en-US"/>
        </w:rPr>
        <w:tab/>
        <w:t>La Conseillère d’Etat-Directrice</w:t>
      </w:r>
    </w:p>
    <w:p w:rsidR="00990D9E" w:rsidRDefault="00990D9E" w:rsidP="002D2C50">
      <w:pPr>
        <w:spacing w:after="0" w:line="240" w:lineRule="auto"/>
        <w:jc w:val="both"/>
      </w:pPr>
    </w:p>
    <w:sectPr w:rsidR="00990D9E" w:rsidSect="00C746C0">
      <w:headerReference w:type="default" r:id="rId8"/>
      <w:footerReference w:type="default" r:id="rId9"/>
      <w:pgSz w:w="11906" w:h="16838"/>
      <w:pgMar w:top="1417" w:right="1417" w:bottom="1417" w:left="1417" w:header="708" w:footer="708" w:gutter="0"/>
      <w:pgNumType w:start="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0F" w:rsidRDefault="0041600F" w:rsidP="00C746C0">
      <w:pPr>
        <w:spacing w:after="0" w:line="240" w:lineRule="auto"/>
      </w:pPr>
      <w:r>
        <w:separator/>
      </w:r>
    </w:p>
  </w:endnote>
  <w:endnote w:type="continuationSeparator" w:id="0">
    <w:p w:rsidR="0041600F" w:rsidRDefault="0041600F" w:rsidP="00C74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6C0" w:rsidRPr="003E0C17" w:rsidRDefault="00C746C0" w:rsidP="00C746C0">
    <w:pPr>
      <w:pStyle w:val="01entteetbasdepage"/>
      <w:rPr>
        <w:lang w:val="fr-FR"/>
      </w:rPr>
    </w:pPr>
    <w:r>
      <w:rPr>
        <w:lang w:val="fr-FR"/>
      </w:rPr>
      <w:t>___</w:t>
    </w:r>
  </w:p>
  <w:p w:rsidR="00C746C0" w:rsidRPr="003E0C17" w:rsidRDefault="00C746C0" w:rsidP="00C746C0">
    <w:pPr>
      <w:pStyle w:val="01entteetbasdepage"/>
      <w:rPr>
        <w:b/>
        <w:lang w:val="fr-FR"/>
      </w:rPr>
    </w:pPr>
    <w:r>
      <w:rPr>
        <w:lang w:val="fr-FR"/>
      </w:rPr>
      <w:t xml:space="preserve">Direction des institutions, de l’agriculture et des forêts </w:t>
    </w:r>
    <w:r w:rsidRPr="003E0C17">
      <w:rPr>
        <w:b/>
        <w:lang w:val="fr-FR"/>
      </w:rPr>
      <w:t>D</w:t>
    </w:r>
    <w:r>
      <w:rPr>
        <w:b/>
        <w:lang w:val="fr-FR"/>
      </w:rPr>
      <w:t>IAF</w:t>
    </w:r>
  </w:p>
  <w:p w:rsidR="00C746C0" w:rsidRPr="00C746C0" w:rsidRDefault="00C746C0" w:rsidP="00C746C0">
    <w:pPr>
      <w:pStyle w:val="01entteetbasdepage"/>
      <w:rPr>
        <w:lang w:val="de-CH"/>
      </w:rPr>
    </w:pPr>
    <w:r>
      <w:rPr>
        <w:lang w:val="de-CH"/>
      </w:rPr>
      <w:t xml:space="preserve">Direktion der Institutionen und der Land- und Forstwirtschaft </w:t>
    </w:r>
    <w:r>
      <w:rPr>
        <w:b/>
        <w:lang w:val="de-CH"/>
      </w:rPr>
      <w:t>ILFD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0F" w:rsidRDefault="0041600F" w:rsidP="00C746C0">
      <w:pPr>
        <w:spacing w:after="0" w:line="240" w:lineRule="auto"/>
      </w:pPr>
      <w:r>
        <w:separator/>
      </w:r>
    </w:p>
  </w:footnote>
  <w:footnote w:type="continuationSeparator" w:id="0">
    <w:p w:rsidR="0041600F" w:rsidRDefault="0041600F" w:rsidP="00C746C0">
      <w:pPr>
        <w:spacing w:after="0" w:line="240" w:lineRule="auto"/>
      </w:pPr>
      <w:r>
        <w:continuationSeparator/>
      </w:r>
    </w:p>
  </w:footnote>
  <w:footnote w:id="1">
    <w:p w:rsidR="00C746C0" w:rsidRPr="00796433" w:rsidRDefault="00C746C0" w:rsidP="00C746C0">
      <w:pPr>
        <w:pStyle w:val="Notedebasdepage"/>
        <w:jc w:val="both"/>
        <w:rPr>
          <w:rFonts w:asciiTheme="minorHAnsi" w:hAnsiTheme="minorHAnsi"/>
        </w:rPr>
      </w:pPr>
      <w:r w:rsidRPr="00796433">
        <w:rPr>
          <w:rStyle w:val="Appelnotedebasdep"/>
          <w:rFonts w:asciiTheme="minorHAnsi" w:hAnsiTheme="minorHAnsi" w:cs="Arial"/>
        </w:rPr>
        <w:footnoteRef/>
      </w:r>
      <w:r w:rsidRPr="00796433">
        <w:rPr>
          <w:rFonts w:asciiTheme="minorHAnsi" w:hAnsiTheme="minorHAnsi" w:cs="Arial"/>
        </w:rPr>
        <w:t xml:space="preserve"> </w:t>
      </w:r>
      <w:r w:rsidRPr="00796433">
        <w:rPr>
          <w:rFonts w:asciiTheme="minorHAnsi" w:hAnsiTheme="minorHAnsi"/>
        </w:rPr>
        <w:t>Le règlement type proposé est un modèle du SAINEC. Il se veut un instrument au service des communes et n’a en soi pas de caractère contraignant. Les communes restent libres, si elles le souhaitent, d’adopter une autre formulation ou un autre pla</w:t>
      </w:r>
      <w:r>
        <w:rPr>
          <w:rFonts w:asciiTheme="minorHAnsi" w:hAnsiTheme="minorHAnsi"/>
        </w:rPr>
        <w:t>n.</w:t>
      </w:r>
    </w:p>
  </w:footnote>
  <w:footnote w:id="2">
    <w:p w:rsidR="00C746C0" w:rsidRPr="00796433" w:rsidRDefault="00C746C0" w:rsidP="00C746C0">
      <w:pPr>
        <w:pStyle w:val="Notedebasdepage"/>
        <w:jc w:val="both"/>
        <w:rPr>
          <w:rFonts w:asciiTheme="minorHAnsi" w:hAnsiTheme="minorHAnsi"/>
        </w:rPr>
      </w:pPr>
      <w:r w:rsidRPr="00796433">
        <w:rPr>
          <w:rStyle w:val="Appelnotedebasdep"/>
          <w:rFonts w:asciiTheme="minorHAnsi" w:hAnsiTheme="minorHAnsi" w:cs="Arial"/>
        </w:rPr>
        <w:footnoteRef/>
      </w:r>
      <w:r w:rsidRPr="00796433">
        <w:rPr>
          <w:rFonts w:asciiTheme="minorHAnsi" w:hAnsiTheme="minorHAnsi" w:cs="Arial"/>
        </w:rPr>
        <w:t xml:space="preserve"> </w:t>
      </w:r>
      <w:r w:rsidRPr="00796433">
        <w:rPr>
          <w:rFonts w:asciiTheme="minorHAnsi" w:hAnsiTheme="minorHAnsi"/>
        </w:rPr>
        <w:t>L’article 9 al. 4 LDCF prévoit que les communes ne peuvent fixer des conditions de résidence sur le territoire communal supérieures à trois années. Cette restriction concerne aussi bien les personnes de nationalité étrangère que les personnes confédé</w:t>
      </w:r>
      <w:r>
        <w:rPr>
          <w:rFonts w:asciiTheme="minorHAnsi" w:hAnsiTheme="minorHAnsi"/>
        </w:rPr>
        <w:t>rées ou fribourgeoises.</w:t>
      </w:r>
    </w:p>
  </w:footnote>
  <w:footnote w:id="3">
    <w:p w:rsidR="00C746C0" w:rsidRPr="00796433" w:rsidRDefault="00C746C0" w:rsidP="00C746C0">
      <w:pPr>
        <w:pStyle w:val="Notedebasdepage"/>
        <w:rPr>
          <w:rFonts w:asciiTheme="minorHAnsi" w:hAnsiTheme="minorHAnsi"/>
        </w:rPr>
      </w:pPr>
      <w:r w:rsidRPr="00796433">
        <w:rPr>
          <w:rStyle w:val="Appelnotedebasdep"/>
          <w:rFonts w:asciiTheme="minorHAnsi" w:hAnsiTheme="minorHAnsi"/>
        </w:rPr>
        <w:footnoteRef/>
      </w:r>
      <w:r w:rsidRPr="00796433">
        <w:rPr>
          <w:rFonts w:asciiTheme="minorHAnsi" w:hAnsiTheme="minorHAnsi"/>
        </w:rPr>
        <w:t xml:space="preserve"> Art. 43 al. 3 LDCF</w:t>
      </w:r>
    </w:p>
  </w:footnote>
  <w:footnote w:id="4">
    <w:p w:rsidR="00C746C0" w:rsidRPr="00796433" w:rsidRDefault="00C746C0" w:rsidP="00C746C0">
      <w:pPr>
        <w:pStyle w:val="Notedebasdepage"/>
        <w:rPr>
          <w:rFonts w:asciiTheme="minorHAnsi" w:hAnsiTheme="minorHAnsi"/>
        </w:rPr>
      </w:pPr>
      <w:r w:rsidRPr="00796433">
        <w:rPr>
          <w:rStyle w:val="Appelnotedebasdep"/>
          <w:rFonts w:asciiTheme="minorHAnsi" w:hAnsiTheme="minorHAnsi"/>
        </w:rPr>
        <w:footnoteRef/>
      </w:r>
      <w:r w:rsidRPr="00796433">
        <w:rPr>
          <w:rFonts w:asciiTheme="minorHAnsi" w:hAnsiTheme="minorHAnsi"/>
        </w:rPr>
        <w:t xml:space="preserve"> Art. 43 al. 4 LDCF</w:t>
      </w:r>
    </w:p>
  </w:footnote>
  <w:footnote w:id="5">
    <w:p w:rsidR="00C746C0" w:rsidRPr="00796433" w:rsidRDefault="00C746C0" w:rsidP="00C746C0">
      <w:pPr>
        <w:pStyle w:val="Notedebasdepage"/>
        <w:rPr>
          <w:rFonts w:asciiTheme="minorHAnsi" w:hAnsiTheme="minorHAnsi"/>
        </w:rPr>
      </w:pPr>
      <w:r w:rsidRPr="00796433">
        <w:rPr>
          <w:rStyle w:val="Appelnotedebasdep"/>
          <w:rFonts w:asciiTheme="minorHAnsi" w:hAnsiTheme="minorHAnsi" w:cs="Arial"/>
        </w:rPr>
        <w:footnoteRef/>
      </w:r>
      <w:r w:rsidRPr="00796433">
        <w:rPr>
          <w:rFonts w:asciiTheme="minorHAnsi" w:hAnsiTheme="minorHAnsi" w:cs="Arial"/>
        </w:rPr>
        <w:t xml:space="preserve"> </w:t>
      </w:r>
      <w:r w:rsidRPr="00796433">
        <w:rPr>
          <w:rFonts w:asciiTheme="minorHAnsi" w:hAnsiTheme="minorHAnsi"/>
        </w:rPr>
        <w:t>Le but de cette transmission du procès-verbal de l’audition effectuée par la Commission communale des naturalisations est de permettre à la Commission des naturalisations du Grand Conseil de renoncer à auditionner une deuxième fois la personne requérante, dans les cas où l’audition, en plus du dossier initial, révèle une parfaite intégr</w:t>
      </w:r>
      <w:r>
        <w:rPr>
          <w:rFonts w:asciiTheme="minorHAnsi" w:hAnsiTheme="minorHAnsi"/>
        </w:rPr>
        <w:t>ation de la personne concernée.</w:t>
      </w:r>
    </w:p>
  </w:footnote>
  <w:footnote w:id="6">
    <w:p w:rsidR="00C746C0" w:rsidRPr="00796433" w:rsidRDefault="00C746C0" w:rsidP="00C746C0">
      <w:pPr>
        <w:pStyle w:val="Notedebasdepage"/>
        <w:jc w:val="both"/>
        <w:rPr>
          <w:rFonts w:asciiTheme="minorHAnsi" w:hAnsiTheme="minorHAnsi"/>
        </w:rPr>
      </w:pPr>
      <w:r w:rsidRPr="00796433">
        <w:rPr>
          <w:rStyle w:val="Appelnotedebasdep"/>
          <w:rFonts w:asciiTheme="minorHAnsi" w:hAnsiTheme="minorHAnsi" w:cs="Arial"/>
        </w:rPr>
        <w:footnoteRef/>
      </w:r>
      <w:r w:rsidRPr="00796433">
        <w:rPr>
          <w:rFonts w:asciiTheme="minorHAnsi" w:hAnsiTheme="minorHAnsi" w:cs="Arial"/>
        </w:rPr>
        <w:t xml:space="preserve"> </w:t>
      </w:r>
      <w:r w:rsidRPr="00796433">
        <w:rPr>
          <w:rFonts w:asciiTheme="minorHAnsi" w:hAnsiTheme="minorHAnsi"/>
        </w:rPr>
        <w:t>La perception d’un émolument par les communes n’est possible que sur la base d’un règlement communal de portée générale. Dès lors, les montants à percevoir doivent être adoptés par l’assemblée communale ou le conseil général. Il convient toutefois de rappeler l’article 10 al. 3 de la loi sur les communes qui prévoit la possibilité pour le législatif communal de déléguer la compétence d’arrêter le tarif des contributions publiques autres que les impôts, à condition de préciser le cercle des assujettis, l’objet, le mode de calcul et le mont</w:t>
      </w:r>
      <w:r>
        <w:rPr>
          <w:rFonts w:asciiTheme="minorHAnsi" w:hAnsiTheme="minorHAnsi"/>
        </w:rPr>
        <w:t>ant maximal de la contribution.</w:t>
      </w:r>
    </w:p>
  </w:footnote>
  <w:footnote w:id="7">
    <w:p w:rsidR="00C746C0" w:rsidRPr="00796433" w:rsidRDefault="00C746C0" w:rsidP="00C746C0">
      <w:pPr>
        <w:pStyle w:val="Notedebasdepage"/>
        <w:jc w:val="both"/>
        <w:rPr>
          <w:rFonts w:asciiTheme="minorHAnsi" w:hAnsiTheme="minorHAnsi"/>
        </w:rPr>
      </w:pPr>
      <w:r w:rsidRPr="00796433">
        <w:rPr>
          <w:rStyle w:val="Appelnotedebasdep"/>
          <w:rFonts w:asciiTheme="minorHAnsi" w:hAnsiTheme="minorHAnsi" w:cs="Arial"/>
        </w:rPr>
        <w:footnoteRef/>
      </w:r>
      <w:r w:rsidRPr="00796433">
        <w:rPr>
          <w:rFonts w:asciiTheme="minorHAnsi" w:hAnsiTheme="minorHAnsi" w:cs="Arial"/>
        </w:rPr>
        <w:t xml:space="preserve"> </w:t>
      </w:r>
      <w:r w:rsidRPr="00796433">
        <w:rPr>
          <w:rFonts w:asciiTheme="minorHAnsi" w:hAnsiTheme="minorHAnsi"/>
        </w:rPr>
        <w:t>Les montants indiqués le sont à titre purement indicatif, les communes étant libres de les adapter selon leurs besoins, dans le respect des principes de l’équivalence</w:t>
      </w:r>
      <w:r>
        <w:rPr>
          <w:rFonts w:asciiTheme="minorHAnsi" w:hAnsiTheme="minorHAnsi"/>
        </w:rPr>
        <w:t xml:space="preserve"> et de la couverture des frais.</w:t>
      </w:r>
    </w:p>
  </w:footnote>
  <w:footnote w:id="8">
    <w:p w:rsidR="00C746C0" w:rsidRPr="00796433" w:rsidRDefault="00C746C0" w:rsidP="00C746C0">
      <w:pPr>
        <w:pStyle w:val="Notedebasdepage"/>
        <w:jc w:val="both"/>
        <w:rPr>
          <w:rFonts w:asciiTheme="minorHAnsi" w:hAnsiTheme="minorHAnsi"/>
        </w:rPr>
      </w:pPr>
      <w:r w:rsidRPr="00796433">
        <w:rPr>
          <w:rStyle w:val="Appelnotedebasdep"/>
          <w:rFonts w:asciiTheme="minorHAnsi" w:hAnsiTheme="minorHAnsi" w:cs="Arial"/>
        </w:rPr>
        <w:footnoteRef/>
      </w:r>
      <w:r w:rsidRPr="00796433">
        <w:rPr>
          <w:rFonts w:asciiTheme="minorHAnsi" w:hAnsiTheme="minorHAnsi" w:cs="Arial"/>
        </w:rPr>
        <w:t xml:space="preserve"> </w:t>
      </w:r>
      <w:r w:rsidRPr="00796433">
        <w:rPr>
          <w:rFonts w:asciiTheme="minorHAnsi" w:hAnsiTheme="minorHAnsi"/>
        </w:rPr>
        <w:t>Dans le calcul des frais générés par l’audition de la Commission communale des naturalisations, il faut tenir compte des jetons de présence</w:t>
      </w:r>
      <w:r>
        <w:rPr>
          <w:rFonts w:asciiTheme="minorHAnsi" w:hAnsiTheme="minorHAnsi"/>
        </w:rPr>
        <w:t xml:space="preserve"> qui seront versés aux membres.</w:t>
      </w:r>
    </w:p>
  </w:footnote>
  <w:footnote w:id="9">
    <w:p w:rsidR="00C746C0" w:rsidRPr="00796433" w:rsidRDefault="00C746C0" w:rsidP="00C746C0">
      <w:pPr>
        <w:pStyle w:val="Notedebasdepage"/>
        <w:rPr>
          <w:rFonts w:asciiTheme="minorHAnsi" w:hAnsiTheme="minorHAnsi"/>
        </w:rPr>
      </w:pPr>
      <w:r w:rsidRPr="00796433">
        <w:rPr>
          <w:rStyle w:val="Appelnotedebasdep"/>
          <w:rFonts w:asciiTheme="minorHAnsi" w:hAnsiTheme="minorHAnsi"/>
        </w:rPr>
        <w:footnoteRef/>
      </w:r>
      <w:r w:rsidRPr="00796433">
        <w:rPr>
          <w:rFonts w:asciiTheme="minorHAnsi" w:hAnsiTheme="minorHAnsi"/>
        </w:rPr>
        <w:t xml:space="preserve"> Cf. art. 50 al. 2 LN et art. 55 LDCF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6C0" w:rsidRPr="00F81AEF" w:rsidRDefault="00C746C0" w:rsidP="00C746C0">
    <w:pPr>
      <w:pStyle w:val="09enttepage2"/>
      <w:rPr>
        <w:b w:val="0"/>
      </w:rPr>
    </w:pPr>
    <w:r w:rsidRPr="00936683">
      <w:rPr>
        <w:noProof/>
        <w:lang w:eastAsia="fr-CH"/>
      </w:rPr>
      <w:drawing>
        <wp:anchor distT="0" distB="0" distL="114300" distR="114300" simplePos="0" relativeHeight="251659264" behindDoc="0" locked="1" layoutInCell="1" allowOverlap="1" wp14:anchorId="1B266745" wp14:editId="2B549098">
          <wp:simplePos x="0" y="0"/>
          <wp:positionH relativeFrom="page">
            <wp:posOffset>904875</wp:posOffset>
          </wp:positionH>
          <wp:positionV relativeFrom="page">
            <wp:posOffset>438150</wp:posOffset>
          </wp:positionV>
          <wp:extent cx="114300" cy="219075"/>
          <wp:effectExtent l="19050" t="0" r="0" b="0"/>
          <wp:wrapNone/>
          <wp:docPr id="20"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r>
      <w:tab/>
    </w:r>
    <w:r w:rsidRPr="00891EB3">
      <w:t xml:space="preserve">Service </w:t>
    </w:r>
    <w:r>
      <w:t xml:space="preserve">des affaires institutionnelles, des naturalisations et de l’état civil </w:t>
    </w:r>
    <w:r w:rsidRPr="00F81AEF">
      <w:rPr>
        <w:b w:val="0"/>
      </w:rPr>
      <w:t>SAINEC</w:t>
    </w:r>
  </w:p>
  <w:p w:rsidR="00C746C0" w:rsidRPr="006F0026" w:rsidRDefault="00C746C0" w:rsidP="00C746C0">
    <w:pPr>
      <w:pStyle w:val="09enttepage2"/>
      <w:rPr>
        <w:b w:val="0"/>
      </w:rPr>
    </w:pPr>
    <w:r w:rsidRPr="005E3A9C">
      <w:t xml:space="preserve"> </w:t>
    </w:r>
    <w:r w:rsidRPr="005E3A9C">
      <w:tab/>
    </w:r>
  </w:p>
  <w:p w:rsidR="00C746C0" w:rsidRDefault="00C746C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2AAFFC0"/>
    <w:lvl w:ilvl="0">
      <w:numFmt w:val="bullet"/>
      <w:lvlText w:val="*"/>
      <w:lvlJc w:val="left"/>
      <w:pPr>
        <w:ind w:left="-360" w:firstLine="0"/>
      </w:pPr>
    </w:lvl>
  </w:abstractNum>
  <w:abstractNum w:abstractNumId="1">
    <w:nsid w:val="0DEE1767"/>
    <w:multiLevelType w:val="hybridMultilevel"/>
    <w:tmpl w:val="4D067712"/>
    <w:lvl w:ilvl="0" w:tplc="F668B268">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2">
    <w:nsid w:val="0FC944E9"/>
    <w:multiLevelType w:val="multilevel"/>
    <w:tmpl w:val="3AE604E0"/>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B8F3F52"/>
    <w:multiLevelType w:val="hybridMultilevel"/>
    <w:tmpl w:val="006EB99A"/>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37E74580"/>
    <w:multiLevelType w:val="hybridMultilevel"/>
    <w:tmpl w:val="35FC8526"/>
    <w:lvl w:ilvl="0" w:tplc="A1A237AC">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5">
    <w:nsid w:val="507851BC"/>
    <w:multiLevelType w:val="hybridMultilevel"/>
    <w:tmpl w:val="DBBAE9D4"/>
    <w:lvl w:ilvl="0" w:tplc="A58204F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58ED32E9"/>
    <w:multiLevelType w:val="hybridMultilevel"/>
    <w:tmpl w:val="D374941A"/>
    <w:lvl w:ilvl="0" w:tplc="FF5032A2">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5E4132F4"/>
    <w:multiLevelType w:val="hybridMultilevel"/>
    <w:tmpl w:val="B9EC1540"/>
    <w:lvl w:ilvl="0" w:tplc="F230E42A">
      <w:start w:val="1"/>
      <w:numFmt w:val="lowerLetter"/>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0"/>
    <w:lvlOverride w:ilvl="0">
      <w:lvl w:ilvl="0">
        <w:numFmt w:val="bullet"/>
        <w:lvlText w:val=""/>
        <w:legacy w:legacy="1" w:legacySpace="0" w:legacyIndent="283"/>
        <w:lvlJc w:val="left"/>
        <w:pPr>
          <w:ind w:left="567" w:hanging="283"/>
        </w:pPr>
        <w:rPr>
          <w:rFonts w:ascii="Symbol" w:hAnsi="Symbol" w:hint="default"/>
          <w:b w:val="0"/>
          <w:i w:val="0"/>
          <w:strike w:val="0"/>
          <w:dstrike w:val="0"/>
          <w:u w:val="none"/>
          <w:effect w:val="none"/>
        </w:rPr>
      </w:lvl>
    </w:lvlOverride>
  </w:num>
  <w:num w:numId="3">
    <w:abstractNumId w:val="6"/>
  </w:num>
  <w:num w:numId="4">
    <w:abstractNumId w:val="7"/>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6C0"/>
    <w:rsid w:val="002155E0"/>
    <w:rsid w:val="002D2C50"/>
    <w:rsid w:val="00314AA6"/>
    <w:rsid w:val="0041600F"/>
    <w:rsid w:val="006F0026"/>
    <w:rsid w:val="008B0E96"/>
    <w:rsid w:val="00990D9E"/>
    <w:rsid w:val="00BE5C6E"/>
    <w:rsid w:val="00C746C0"/>
    <w:rsid w:val="00CD365A"/>
    <w:rsid w:val="00DA1DD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6C0"/>
    <w:rPr>
      <w:rFonts w:eastAsiaTheme="minorEastAsia"/>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46C0"/>
    <w:pPr>
      <w:ind w:left="720"/>
      <w:contextualSpacing/>
    </w:pPr>
  </w:style>
  <w:style w:type="paragraph" w:styleId="Notedebasdepage">
    <w:name w:val="footnote text"/>
    <w:basedOn w:val="Normal"/>
    <w:link w:val="NotedebasdepageCar"/>
    <w:rsid w:val="00C746C0"/>
    <w:pPr>
      <w:spacing w:after="0" w:line="240" w:lineRule="auto"/>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C746C0"/>
    <w:rPr>
      <w:rFonts w:ascii="Times New Roman" w:eastAsia="Times New Roman" w:hAnsi="Times New Roman" w:cs="Times New Roman"/>
      <w:sz w:val="20"/>
      <w:szCs w:val="20"/>
    </w:rPr>
  </w:style>
  <w:style w:type="character" w:styleId="Appelnotedebasdep">
    <w:name w:val="footnote reference"/>
    <w:rsid w:val="00C746C0"/>
    <w:rPr>
      <w:vertAlign w:val="superscript"/>
    </w:rPr>
  </w:style>
  <w:style w:type="paragraph" w:styleId="En-tte">
    <w:name w:val="header"/>
    <w:basedOn w:val="Normal"/>
    <w:link w:val="En-tteCar"/>
    <w:uiPriority w:val="99"/>
    <w:unhideWhenUsed/>
    <w:rsid w:val="00C746C0"/>
    <w:pPr>
      <w:tabs>
        <w:tab w:val="center" w:pos="4536"/>
        <w:tab w:val="right" w:pos="9072"/>
      </w:tabs>
      <w:spacing w:after="0" w:line="240" w:lineRule="auto"/>
    </w:pPr>
  </w:style>
  <w:style w:type="character" w:customStyle="1" w:styleId="En-tteCar">
    <w:name w:val="En-tête Car"/>
    <w:basedOn w:val="Policepardfaut"/>
    <w:link w:val="En-tte"/>
    <w:uiPriority w:val="99"/>
    <w:rsid w:val="00C746C0"/>
    <w:rPr>
      <w:rFonts w:eastAsiaTheme="minorEastAsia"/>
      <w:lang w:eastAsia="fr-CH"/>
    </w:rPr>
  </w:style>
  <w:style w:type="paragraph" w:styleId="Pieddepage">
    <w:name w:val="footer"/>
    <w:basedOn w:val="Normal"/>
    <w:link w:val="PieddepageCar"/>
    <w:uiPriority w:val="99"/>
    <w:unhideWhenUsed/>
    <w:rsid w:val="00C746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46C0"/>
    <w:rPr>
      <w:rFonts w:eastAsiaTheme="minorEastAsia"/>
      <w:lang w:eastAsia="fr-CH"/>
    </w:rPr>
  </w:style>
  <w:style w:type="paragraph" w:customStyle="1" w:styleId="09enttepage2">
    <w:name w:val="09_en_tête_page_2"/>
    <w:basedOn w:val="Normal"/>
    <w:qFormat/>
    <w:rsid w:val="00C746C0"/>
    <w:pPr>
      <w:spacing w:after="0" w:line="200" w:lineRule="exact"/>
    </w:pPr>
    <w:rPr>
      <w:rFonts w:ascii="Arial" w:eastAsia="Times New Roman" w:hAnsi="Arial" w:cs="Times New Roman"/>
      <w:b/>
      <w:sz w:val="16"/>
      <w:szCs w:val="24"/>
      <w:lang w:eastAsia="fr-FR"/>
    </w:rPr>
  </w:style>
  <w:style w:type="paragraph" w:customStyle="1" w:styleId="01entteetbasdepage">
    <w:name w:val="01_en_tête_et_bas_de_page"/>
    <w:qFormat/>
    <w:rsid w:val="00C746C0"/>
    <w:pPr>
      <w:spacing w:after="0" w:line="220" w:lineRule="exact"/>
    </w:pPr>
    <w:rPr>
      <w:rFonts w:ascii="Arial" w:eastAsia="Times New Roman" w:hAnsi="Arial" w:cs="Times New Roman"/>
      <w:sz w:val="16"/>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6C0"/>
    <w:rPr>
      <w:rFonts w:eastAsiaTheme="minorEastAsia"/>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46C0"/>
    <w:pPr>
      <w:ind w:left="720"/>
      <w:contextualSpacing/>
    </w:pPr>
  </w:style>
  <w:style w:type="paragraph" w:styleId="Notedebasdepage">
    <w:name w:val="footnote text"/>
    <w:basedOn w:val="Normal"/>
    <w:link w:val="NotedebasdepageCar"/>
    <w:rsid w:val="00C746C0"/>
    <w:pPr>
      <w:spacing w:after="0" w:line="240" w:lineRule="auto"/>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C746C0"/>
    <w:rPr>
      <w:rFonts w:ascii="Times New Roman" w:eastAsia="Times New Roman" w:hAnsi="Times New Roman" w:cs="Times New Roman"/>
      <w:sz w:val="20"/>
      <w:szCs w:val="20"/>
    </w:rPr>
  </w:style>
  <w:style w:type="character" w:styleId="Appelnotedebasdep">
    <w:name w:val="footnote reference"/>
    <w:rsid w:val="00C746C0"/>
    <w:rPr>
      <w:vertAlign w:val="superscript"/>
    </w:rPr>
  </w:style>
  <w:style w:type="paragraph" w:styleId="En-tte">
    <w:name w:val="header"/>
    <w:basedOn w:val="Normal"/>
    <w:link w:val="En-tteCar"/>
    <w:uiPriority w:val="99"/>
    <w:unhideWhenUsed/>
    <w:rsid w:val="00C746C0"/>
    <w:pPr>
      <w:tabs>
        <w:tab w:val="center" w:pos="4536"/>
        <w:tab w:val="right" w:pos="9072"/>
      </w:tabs>
      <w:spacing w:after="0" w:line="240" w:lineRule="auto"/>
    </w:pPr>
  </w:style>
  <w:style w:type="character" w:customStyle="1" w:styleId="En-tteCar">
    <w:name w:val="En-tête Car"/>
    <w:basedOn w:val="Policepardfaut"/>
    <w:link w:val="En-tte"/>
    <w:uiPriority w:val="99"/>
    <w:rsid w:val="00C746C0"/>
    <w:rPr>
      <w:rFonts w:eastAsiaTheme="minorEastAsia"/>
      <w:lang w:eastAsia="fr-CH"/>
    </w:rPr>
  </w:style>
  <w:style w:type="paragraph" w:styleId="Pieddepage">
    <w:name w:val="footer"/>
    <w:basedOn w:val="Normal"/>
    <w:link w:val="PieddepageCar"/>
    <w:uiPriority w:val="99"/>
    <w:unhideWhenUsed/>
    <w:rsid w:val="00C746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46C0"/>
    <w:rPr>
      <w:rFonts w:eastAsiaTheme="minorEastAsia"/>
      <w:lang w:eastAsia="fr-CH"/>
    </w:rPr>
  </w:style>
  <w:style w:type="paragraph" w:customStyle="1" w:styleId="09enttepage2">
    <w:name w:val="09_en_tête_page_2"/>
    <w:basedOn w:val="Normal"/>
    <w:qFormat/>
    <w:rsid w:val="00C746C0"/>
    <w:pPr>
      <w:spacing w:after="0" w:line="200" w:lineRule="exact"/>
    </w:pPr>
    <w:rPr>
      <w:rFonts w:ascii="Arial" w:eastAsia="Times New Roman" w:hAnsi="Arial" w:cs="Times New Roman"/>
      <w:b/>
      <w:sz w:val="16"/>
      <w:szCs w:val="24"/>
      <w:lang w:eastAsia="fr-FR"/>
    </w:rPr>
  </w:style>
  <w:style w:type="paragraph" w:customStyle="1" w:styleId="01entteetbasdepage">
    <w:name w:val="01_en_tête_et_bas_de_page"/>
    <w:qFormat/>
    <w:rsid w:val="00C746C0"/>
    <w:pPr>
      <w:spacing w:after="0" w:line="220" w:lineRule="exact"/>
    </w:pPr>
    <w:rPr>
      <w:rFonts w:ascii="Arial" w:eastAsia="Times New Roman" w:hAnsi="Arial" w:cs="Times New Roman"/>
      <w:sz w:val="16"/>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1539</Words>
  <Characters>8468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 Johann</dc:creator>
  <cp:lastModifiedBy>Biolley Isabelle</cp:lastModifiedBy>
  <cp:revision>2</cp:revision>
  <dcterms:created xsi:type="dcterms:W3CDTF">2018-11-15T13:19:00Z</dcterms:created>
  <dcterms:modified xsi:type="dcterms:W3CDTF">2018-11-15T13:19:00Z</dcterms:modified>
</cp:coreProperties>
</file>