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6F" w:rsidRPr="003B25AC" w:rsidRDefault="009B116F" w:rsidP="009B116F">
      <w:pPr>
        <w:jc w:val="center"/>
        <w:rPr>
          <w:rFonts w:ascii="Arial Narrow" w:hAnsi="Arial Narrow"/>
          <w:spacing w:val="-2"/>
          <w:sz w:val="24"/>
          <w:lang w:val="de-CH"/>
        </w:rPr>
      </w:pPr>
      <w:bookmarkStart w:id="0" w:name="_GoBack"/>
      <w:bookmarkEnd w:id="0"/>
      <w:r w:rsidRPr="003B25AC">
        <w:rPr>
          <w:rFonts w:ascii="Arial Narrow" w:hAnsi="Arial Narrow"/>
          <w:b/>
          <w:spacing w:val="-2"/>
          <w:sz w:val="24"/>
          <w:lang w:val="de-CH"/>
        </w:rPr>
        <w:t>GEMEINDEÜBEREINKUNFT</w:t>
      </w:r>
    </w:p>
    <w:p w:rsidR="009B116F" w:rsidRPr="003B25AC" w:rsidRDefault="009B116F" w:rsidP="003B25AC">
      <w:pPr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3B25AC" w:rsidRDefault="009B116F" w:rsidP="003B25AC">
      <w:pPr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3B25AC" w:rsidRDefault="009B116F" w:rsidP="009B116F">
      <w:pPr>
        <w:jc w:val="center"/>
        <w:rPr>
          <w:rFonts w:ascii="Arial Narrow" w:hAnsi="Arial Narrow"/>
          <w:spacing w:val="-2"/>
          <w:sz w:val="22"/>
          <w:szCs w:val="22"/>
          <w:lang w:val="de-CH"/>
        </w:rPr>
      </w:pPr>
      <w:r w:rsidRPr="003B25AC">
        <w:rPr>
          <w:rFonts w:ascii="Arial Narrow" w:hAnsi="Arial Narrow"/>
          <w:spacing w:val="-2"/>
          <w:sz w:val="22"/>
          <w:szCs w:val="22"/>
          <w:lang w:val="de-CH"/>
        </w:rPr>
        <w:t>zwischen</w:t>
      </w:r>
    </w:p>
    <w:p w:rsidR="009B116F" w:rsidRPr="003B25AC" w:rsidRDefault="009B116F" w:rsidP="003B25AC">
      <w:pPr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3B25AC" w:rsidRDefault="009B116F" w:rsidP="003B25AC">
      <w:pPr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3B25AC" w:rsidRDefault="009B116F" w:rsidP="009B116F">
      <w:pPr>
        <w:jc w:val="center"/>
        <w:rPr>
          <w:rFonts w:ascii="Arial Narrow" w:hAnsi="Arial Narrow"/>
          <w:spacing w:val="-2"/>
          <w:sz w:val="22"/>
          <w:szCs w:val="22"/>
          <w:lang w:val="de-CH"/>
        </w:rPr>
      </w:pPr>
      <w:r w:rsidRPr="003B25AC">
        <w:rPr>
          <w:rFonts w:ascii="Arial Narrow" w:hAnsi="Arial Narrow"/>
          <w:spacing w:val="-2"/>
          <w:sz w:val="22"/>
          <w:szCs w:val="22"/>
          <w:lang w:val="de-CH"/>
        </w:rPr>
        <w:t>den Gemeinden</w:t>
      </w:r>
      <w:r w:rsidR="003B25AC">
        <w:rPr>
          <w:rFonts w:ascii="Arial Narrow" w:hAnsi="Arial Narrow"/>
          <w:spacing w:val="-2"/>
          <w:sz w:val="22"/>
          <w:szCs w:val="22"/>
          <w:lang w:val="de-CH"/>
        </w:rPr>
        <w:t xml:space="preserve"> …………….</w:t>
      </w:r>
    </w:p>
    <w:p w:rsidR="009B116F" w:rsidRDefault="009B116F" w:rsidP="009B116F">
      <w:pPr>
        <w:jc w:val="both"/>
        <w:rPr>
          <w:rFonts w:ascii="Arial" w:hAnsi="Arial"/>
          <w:spacing w:val="-2"/>
          <w:sz w:val="22"/>
          <w:lang w:val="de-CH"/>
        </w:rPr>
      </w:pPr>
    </w:p>
    <w:p w:rsidR="009B116F" w:rsidRDefault="009B116F" w:rsidP="009B116F">
      <w:pPr>
        <w:jc w:val="both"/>
        <w:rPr>
          <w:rFonts w:ascii="Arial" w:hAnsi="Arial"/>
          <w:spacing w:val="-2"/>
          <w:sz w:val="22"/>
          <w:lang w:val="de-CH"/>
        </w:rPr>
      </w:pPr>
    </w:p>
    <w:p w:rsidR="009B116F" w:rsidRPr="003B25AC" w:rsidRDefault="009B116F" w:rsidP="003B25AC">
      <w:pPr>
        <w:jc w:val="both"/>
        <w:rPr>
          <w:rFonts w:ascii="Arial Narrow" w:hAnsi="Arial Narrow"/>
          <w:spacing w:val="-2"/>
          <w:sz w:val="22"/>
          <w:lang w:val="de-CH"/>
        </w:rPr>
      </w:pPr>
      <w:r w:rsidRPr="003B25AC">
        <w:rPr>
          <w:rFonts w:ascii="Arial Narrow" w:hAnsi="Arial Narrow"/>
          <w:spacing w:val="-2"/>
          <w:sz w:val="22"/>
          <w:lang w:val="de-CH"/>
        </w:rPr>
        <w:t>gestützt auf das Gesundheitsgesetz vom 16. November 1999 (das Gesundheitsgesetz; SGF 821.0.1);</w:t>
      </w:r>
    </w:p>
    <w:p w:rsidR="009B116F" w:rsidRPr="003B25AC" w:rsidRDefault="009B116F" w:rsidP="003B25AC">
      <w:pPr>
        <w:jc w:val="both"/>
        <w:rPr>
          <w:rFonts w:ascii="Arial Narrow" w:hAnsi="Arial Narrow"/>
          <w:spacing w:val="-2"/>
          <w:sz w:val="22"/>
          <w:lang w:val="de-CH"/>
        </w:rPr>
      </w:pPr>
      <w:r w:rsidRPr="003B25AC">
        <w:rPr>
          <w:rFonts w:ascii="Arial Narrow" w:hAnsi="Arial Narrow"/>
          <w:spacing w:val="-2"/>
          <w:sz w:val="22"/>
          <w:lang w:val="de-CH"/>
        </w:rPr>
        <w:t>gestützt auf den Beschluss vom 5. Dezember 2000 über die Bestattungen (der Beschluss; SGF 821.5.11);</w:t>
      </w:r>
    </w:p>
    <w:p w:rsidR="009B116F" w:rsidRPr="003B25AC" w:rsidRDefault="009B116F" w:rsidP="003B25AC">
      <w:pPr>
        <w:jc w:val="both"/>
        <w:rPr>
          <w:rFonts w:ascii="Arial Narrow" w:hAnsi="Arial Narrow"/>
          <w:spacing w:val="-2"/>
          <w:sz w:val="22"/>
          <w:lang w:val="de-CH"/>
        </w:rPr>
      </w:pPr>
      <w:r w:rsidRPr="003B25AC">
        <w:rPr>
          <w:rFonts w:ascii="Arial Narrow" w:hAnsi="Arial Narrow"/>
          <w:spacing w:val="-2"/>
          <w:sz w:val="22"/>
          <w:lang w:val="de-CH"/>
        </w:rPr>
        <w:t>gestützt auf das Gesetz vom 25. September 1980 über die Gemeinden (GG; SGF 140.1);</w:t>
      </w:r>
    </w:p>
    <w:p w:rsidR="009B116F" w:rsidRPr="003B25AC" w:rsidRDefault="009B116F" w:rsidP="003B25AC">
      <w:pPr>
        <w:jc w:val="both"/>
        <w:rPr>
          <w:rFonts w:ascii="Arial Narrow" w:hAnsi="Arial Narrow"/>
          <w:spacing w:val="-2"/>
          <w:sz w:val="22"/>
          <w:lang w:val="de-CH"/>
        </w:rPr>
      </w:pPr>
      <w:r w:rsidRPr="003B25AC">
        <w:rPr>
          <w:rFonts w:ascii="Arial Narrow" w:hAnsi="Arial Narrow"/>
          <w:spacing w:val="-2"/>
          <w:sz w:val="22"/>
          <w:lang w:val="de-CH"/>
        </w:rPr>
        <w:t>gestützt auf das Ausführungsreglement vom 28. Dezember 1981 zum Gesetz über die Gemeinden (ARGG; SGF 140.11),</w:t>
      </w:r>
    </w:p>
    <w:p w:rsidR="009B116F" w:rsidRPr="003B25AC" w:rsidRDefault="009B116F" w:rsidP="009B116F">
      <w:pPr>
        <w:jc w:val="both"/>
        <w:rPr>
          <w:rFonts w:ascii="Arial Narrow" w:hAnsi="Arial Narrow"/>
          <w:spacing w:val="-2"/>
          <w:sz w:val="22"/>
          <w:lang w:val="de-CH"/>
        </w:rPr>
      </w:pPr>
    </w:p>
    <w:p w:rsidR="003B25AC" w:rsidRPr="003B25AC" w:rsidRDefault="003B25AC" w:rsidP="009B116F">
      <w:pPr>
        <w:jc w:val="both"/>
        <w:rPr>
          <w:rFonts w:ascii="Arial Narrow" w:hAnsi="Arial Narrow"/>
          <w:spacing w:val="-2"/>
          <w:sz w:val="22"/>
          <w:lang w:val="de-CH"/>
        </w:rPr>
      </w:pPr>
    </w:p>
    <w:p w:rsidR="009B116F" w:rsidRPr="003B25AC" w:rsidRDefault="009B116F" w:rsidP="009B116F">
      <w:pPr>
        <w:jc w:val="both"/>
        <w:rPr>
          <w:rFonts w:ascii="Arial Narrow" w:hAnsi="Arial Narrow"/>
          <w:spacing w:val="-2"/>
          <w:sz w:val="22"/>
          <w:lang w:val="de-CH"/>
        </w:rPr>
      </w:pPr>
    </w:p>
    <w:p w:rsidR="009B116F" w:rsidRPr="005E634E" w:rsidRDefault="009B116F" w:rsidP="005F3618">
      <w:pPr>
        <w:rPr>
          <w:rFonts w:ascii="Arial Narrow" w:hAnsi="Arial Narrow"/>
          <w:i/>
          <w:spacing w:val="-2"/>
          <w:sz w:val="22"/>
          <w:lang w:val="de-CH"/>
        </w:rPr>
      </w:pPr>
      <w:r w:rsidRPr="005E634E">
        <w:rPr>
          <w:rFonts w:ascii="Arial Narrow" w:hAnsi="Arial Narrow"/>
          <w:i/>
          <w:spacing w:val="-2"/>
          <w:sz w:val="22"/>
          <w:lang w:val="de-CH"/>
        </w:rPr>
        <w:t>beschliessen: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ZWECK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130F5" w:rsidRDefault="009B116F" w:rsidP="00E32600">
      <w:pPr>
        <w:tabs>
          <w:tab w:val="left" w:pos="993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Artikel 1</w:t>
      </w:r>
    </w:p>
    <w:p w:rsidR="009B116F" w:rsidRPr="005E634E" w:rsidRDefault="009B116F" w:rsidP="00E32600">
      <w:pPr>
        <w:tabs>
          <w:tab w:val="left" w:pos="993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Der Zweck dieser Übereinkunft besteht in der Regelung der Fragen, die den Bestattungsort (öffentlichen Friedhof), der Gemeinden von                                  betreffen.</w:t>
      </w:r>
      <w:r w:rsidR="00A04E54">
        <w:rPr>
          <w:rFonts w:ascii="Arial Narrow" w:hAnsi="Arial Narrow"/>
          <w:spacing w:val="-2"/>
          <w:sz w:val="22"/>
          <w:szCs w:val="22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Festzulegen sind namentlich die Organisation, der Rechtsstand der Güter und deren Benützung, die Verteilung der Kosten sowie die Auflösungsbedingungen.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89165E" w:rsidRPr="005E634E" w:rsidRDefault="0089165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ORGANISATION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130F5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2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89165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Aufgaben der Organisation, der Aufsicht und der Friedhofpolizei, wie sie im Friedhofreglement der Gemeinde festgelegt sind, stehen dem Gemeinderat von      </w:t>
      </w:r>
      <w:r w:rsidRPr="0089165E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zu.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89165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Dieser Gemeinderat kann eine Friedhofkommission im Sinne von Artikel 67 GG einsetzen. In diesem Fall kommen die folgenden Artikel 3 und 4 zur Anwendung.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130F5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3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DD6D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Friedhofkommission besteht aus </w:t>
      </w:r>
      <w:r w:rsidRPr="00DD6D04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Mitgliedern. Sie werden vom Gemeinderat derjenigen Gemeinde, wo der Friedhof liegt, ernannt (Sitzgemeinde).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DD6D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 Friedhofkommission wird vom Gemeinderat der Sitzgemeinde präsidiert.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DD6D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Das Sekretariat wird von der Gemeindeschreiberei der Sitzgemeinde besorgt.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130F5" w:rsidRDefault="009B116F" w:rsidP="00C87709">
      <w:pPr>
        <w:tabs>
          <w:tab w:val="left" w:pos="567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4</w:t>
      </w:r>
    </w:p>
    <w:p w:rsidR="009B116F" w:rsidRDefault="009B116F" w:rsidP="00C87709">
      <w:pPr>
        <w:tabs>
          <w:tab w:val="left" w:pos="567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 Aufgaben der Friedhofkommission sind die folgenden:</w:t>
      </w:r>
    </w:p>
    <w:p w:rsidR="002130F5" w:rsidRPr="005E634E" w:rsidRDefault="002130F5" w:rsidP="00C87709">
      <w:pPr>
        <w:tabs>
          <w:tab w:val="left" w:pos="567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7467D3">
      <w:pPr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Verwaltung und Aufsicht des Friedhofwesens gemäss Gemeindereglement;</w:t>
      </w:r>
    </w:p>
    <w:p w:rsidR="009B116F" w:rsidRPr="005E634E" w:rsidRDefault="009B116F" w:rsidP="007467D3">
      <w:pPr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Erstellen von Unterhalts- und Ausbesserungsvorschlägen sowie des entsprechenden Voranschlages, welche sie jeder Gemeinde, gegebenenfalls der Pfarrei, vor dem Monat November übermittelt;</w:t>
      </w:r>
    </w:p>
    <w:p w:rsidR="009B116F" w:rsidRPr="005E634E" w:rsidRDefault="009B116F" w:rsidP="007467D3">
      <w:pPr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Vorbereitung der Ausgabenabrechnung, welche zwecks jährlicher Kostenverteilung jeder Gemeinde zuzustellen ist.</w:t>
      </w: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7467D3" w:rsidRDefault="007467D3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7467D3" w:rsidRDefault="007467D3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A45AC" w:rsidRPr="005E634E" w:rsidRDefault="006A45AC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KOSTENVERTEILUNG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Default="009B116F" w:rsidP="006D67B0">
      <w:pPr>
        <w:tabs>
          <w:tab w:val="left" w:pos="567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5</w:t>
      </w:r>
    </w:p>
    <w:p w:rsidR="009B116F" w:rsidRPr="005E634E" w:rsidRDefault="009B116F" w:rsidP="006D67B0">
      <w:pPr>
        <w:tabs>
          <w:tab w:val="left" w:pos="567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Kosten für den Erwerb eines neuen Grundstücks oder Teilgrundstücks sowie für die Vergrösserung des Friedhofes gehen zu Lasten von </w:t>
      </w:r>
      <w:r w:rsidRPr="006D67B0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6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 Unterhaltskosten für die Grabsteine der Verstorbenen, die zuletzt bei einer unterzeichnenden Gemeinde wohnhaft waren, aber keine Rechtsnachfolger haben, sind durch die Wohnsitzgemeinde zu tragen.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Alle andern Kosten, wie laufende Kosten, Kosten für den Unterhalt der Mauer und für die Aufhebung von Gräbern werden jährlich zwischen den Gemeinden </w:t>
      </w:r>
      <w:r w:rsidRPr="00AD7EC8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im Verhältnis ihrer zivilrechtlichen Bevölkerung aufgrund der letzten zur Verfügung stehenden Zählung verteilt.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von der Gemeinde </w:t>
      </w:r>
      <w:r w:rsidRPr="00AD7EC8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erhobenen Gebühren von den Ausgaben vor der Kostenverteilung in Abzug gebracht.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4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Wenn in einem Rechnungsjahr der Ertrag der Gebühren die laufenden Kosten übersteigt findet keine interkommunale Verteilung statt. Der Saldo der Einnahmen wird als Rückstellung in die Bilanz der Gemeinde </w:t>
      </w:r>
      <w:r w:rsidRPr="00AD7EC8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übertragen.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5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Ausgaben und Einnahmen figurieren in der Jahresrechnung der Gemeinde </w:t>
      </w:r>
      <w:r w:rsidRPr="00AD7EC8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6</w:t>
      </w:r>
      <w:r w:rsidR="00AD7EC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Gemeinde(n) </w:t>
      </w:r>
      <w:r w:rsidRPr="00AD7EC8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 begleicht(en), ihren Anteil innert 30 Tagen nach Erhalt der Jahresabrechnung. Sie ist (sind) berechtigt, in die Belege, welche den Einnahmen und Ausgaben zugrundeliegen, Einsicht zu nehmen.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1A2E37" w:rsidRPr="005E634E" w:rsidRDefault="001A2E37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RECHTSSTAND DER GUETER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</w:p>
    <w:p w:rsidR="00AE51A1" w:rsidRDefault="009B116F" w:rsidP="001A2E37">
      <w:pPr>
        <w:tabs>
          <w:tab w:val="left" w:pos="567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7</w:t>
      </w:r>
    </w:p>
    <w:p w:rsidR="009B116F" w:rsidRPr="005E634E" w:rsidRDefault="009B116F" w:rsidP="001A2E37">
      <w:pPr>
        <w:tabs>
          <w:tab w:val="left" w:pos="567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Grundstücke, auf welchen der Friedhof gelegen ist, gehören </w:t>
      </w:r>
      <w:r w:rsidRPr="001A2E37">
        <w:rPr>
          <w:rFonts w:ascii="Arial Narrow" w:hAnsi="Arial Narrow"/>
          <w:spacing w:val="-2"/>
          <w:sz w:val="22"/>
          <w:szCs w:val="22"/>
          <w:lang w:val="de-CH"/>
        </w:rPr>
        <w:t xml:space="preserve">       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881004" w:rsidRPr="005E634E" w:rsidRDefault="00881004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DAUER DER UEBEREINKUNFT UND KUENDIGUNGSBEDINGUNGEN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8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8810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Vorliegende Übereinkunft wird für eine Dauer von 10 Jahren abgeschlossen. Wird sie vor Ablauf dieser Dauer von keiner Seite gekündigt, gilt sie für jeweils 2 weitere J</w:t>
      </w:r>
      <w:r w:rsidR="00881004">
        <w:rPr>
          <w:rFonts w:ascii="Arial Narrow" w:hAnsi="Arial Narrow"/>
          <w:spacing w:val="-2"/>
          <w:sz w:val="22"/>
          <w:szCs w:val="22"/>
          <w:lang w:val="de-CH"/>
        </w:rPr>
        <w:t>ahre als stillschweigend fortge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setzt.</w:t>
      </w:r>
    </w:p>
    <w:p w:rsidR="009B116F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8810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Die Übereinkunft kann mit schriftlicher Kündigung </w:t>
      </w:r>
      <w:r w:rsidRPr="00881004">
        <w:rPr>
          <w:rFonts w:ascii="Arial Narrow" w:hAnsi="Arial Narrow"/>
          <w:spacing w:val="-2"/>
          <w:sz w:val="22"/>
          <w:szCs w:val="22"/>
          <w:lang w:val="de-CH"/>
        </w:rPr>
        <w:t xml:space="preserve">*             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 (*Kündigungsfrist angeben) vor dem Ende einer Periode auf das Ende der nächstfo</w:t>
      </w:r>
      <w:r w:rsidR="00881004">
        <w:rPr>
          <w:rFonts w:ascii="Arial Narrow" w:hAnsi="Arial Narrow"/>
          <w:spacing w:val="-2"/>
          <w:sz w:val="22"/>
          <w:szCs w:val="22"/>
          <w:lang w:val="de-CH"/>
        </w:rPr>
        <w:t>lgenden gekündigt werden, falls</w:t>
      </w:r>
    </w:p>
    <w:p w:rsidR="00AE51A1" w:rsidRPr="005E634E" w:rsidRDefault="00AE51A1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AE51A1">
      <w:pPr>
        <w:numPr>
          <w:ilvl w:val="0"/>
          <w:numId w:val="3"/>
        </w:num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der Zweck der Ü</w:t>
      </w:r>
      <w:r w:rsidR="00AE51A1">
        <w:rPr>
          <w:rFonts w:ascii="Arial Narrow" w:hAnsi="Arial Narrow"/>
          <w:spacing w:val="-2"/>
          <w:sz w:val="22"/>
          <w:szCs w:val="22"/>
          <w:lang w:val="de-CH"/>
        </w:rPr>
        <w:t>bereinkunft nicht erreicht wird</w:t>
      </w:r>
    </w:p>
    <w:p w:rsidR="009B116F" w:rsidRPr="005E634E" w:rsidRDefault="009B116F" w:rsidP="00AE51A1">
      <w:pPr>
        <w:numPr>
          <w:ilvl w:val="0"/>
          <w:numId w:val="3"/>
        </w:num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 xml:space="preserve">oder eine Gemeinde, unbeschadet einer andern Vertragsgemeinde, ihren </w:t>
      </w:r>
      <w:r w:rsidR="00AE51A1">
        <w:rPr>
          <w:rFonts w:ascii="Arial Narrow" w:hAnsi="Arial Narrow"/>
          <w:spacing w:val="-2"/>
          <w:sz w:val="22"/>
          <w:szCs w:val="22"/>
          <w:lang w:val="de-CH"/>
        </w:rPr>
        <w:t>eigenen Friedhof errichten will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8810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Diesfalls müssen die Wiederherstellungsarbeiten ohne Verzug an die Hand genommen und die Kosten nach Art. 6 verteilt werden.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4</w:t>
      </w:r>
      <w:r w:rsidR="00881004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Die Bestimmungen des Sanitätsgesetzes bleiben vorbehalten.</w:t>
      </w: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77D3E" w:rsidRDefault="00677D3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77D3E" w:rsidRDefault="00677D3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77D3E" w:rsidRDefault="00677D3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77D3E" w:rsidRDefault="00677D3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77D3E" w:rsidRDefault="00677D3E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Default="00AE51A1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Pr="005E634E" w:rsidRDefault="00AE51A1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SCHLUSSBESTIMMUNGEN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Default="009B116F" w:rsidP="009B116F">
      <w:pPr>
        <w:tabs>
          <w:tab w:val="left" w:pos="1276"/>
        </w:tabs>
        <w:jc w:val="both"/>
        <w:rPr>
          <w:rFonts w:ascii="Arial Narrow" w:hAnsi="Arial Narrow"/>
          <w:b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b/>
          <w:spacing w:val="-2"/>
          <w:sz w:val="22"/>
          <w:szCs w:val="22"/>
          <w:lang w:val="de-CH"/>
        </w:rPr>
        <w:t>Art. 9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6A45AC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Vorliegende Übereinkunft tritt mit der Genehmigung durch die Gemeinderäte in Kraft.</w:t>
      </w:r>
    </w:p>
    <w:p w:rsidR="009B116F" w:rsidRPr="005E634E" w:rsidRDefault="009B116F" w:rsidP="009B116F">
      <w:pPr>
        <w:tabs>
          <w:tab w:val="left" w:pos="1276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6A45AC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Pr="005E634E">
        <w:rPr>
          <w:rFonts w:ascii="Arial Narrow" w:hAnsi="Arial Narrow"/>
          <w:spacing w:val="-2"/>
          <w:sz w:val="22"/>
          <w:szCs w:val="22"/>
          <w:lang w:val="de-CH"/>
        </w:rPr>
        <w:t>Vorbehalten bleibt die Genehmigung des Friedhofreglements durch die Aufsichtsbehörde.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Pr="005E634E" w:rsidRDefault="00AE51A1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……………………………….., den</w:t>
      </w:r>
    </w:p>
    <w:p w:rsidR="009B116F" w:rsidRPr="005E634E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B116F" w:rsidRDefault="009B116F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AE51A1" w:rsidRPr="005E634E" w:rsidRDefault="00AE51A1" w:rsidP="009B116F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A45AC" w:rsidRDefault="009B116F" w:rsidP="009B116F">
      <w:pPr>
        <w:tabs>
          <w:tab w:val="left" w:pos="5954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Der</w:t>
      </w:r>
      <w:r w:rsidR="006A45AC">
        <w:rPr>
          <w:rFonts w:ascii="Arial Narrow" w:hAnsi="Arial Narrow"/>
          <w:spacing w:val="-2"/>
          <w:sz w:val="22"/>
          <w:szCs w:val="22"/>
          <w:lang w:val="de-CH"/>
        </w:rPr>
        <w:t>(die) Gemeindeschreiber(in):</w:t>
      </w:r>
      <w:r w:rsidR="006A45AC">
        <w:rPr>
          <w:rFonts w:ascii="Arial Narrow" w:hAnsi="Arial Narrow"/>
          <w:spacing w:val="-2"/>
          <w:sz w:val="22"/>
          <w:szCs w:val="22"/>
          <w:lang w:val="de-CH"/>
        </w:rPr>
        <w:tab/>
        <w:t>Der Ammann/Die Gemeindepräsidentin:</w:t>
      </w:r>
    </w:p>
    <w:p w:rsidR="00357C17" w:rsidRDefault="00357C17">
      <w:pPr>
        <w:rPr>
          <w:rFonts w:ascii="Arial Narrow" w:hAnsi="Arial Narrow"/>
          <w:sz w:val="22"/>
          <w:szCs w:val="22"/>
        </w:rPr>
      </w:pPr>
    </w:p>
    <w:p w:rsidR="006A45AC" w:rsidRDefault="006A45AC">
      <w:pPr>
        <w:rPr>
          <w:rFonts w:ascii="Arial Narrow" w:hAnsi="Arial Narrow"/>
          <w:sz w:val="22"/>
          <w:szCs w:val="22"/>
        </w:rPr>
      </w:pPr>
    </w:p>
    <w:p w:rsidR="006A45AC" w:rsidRDefault="006A45AC">
      <w:pPr>
        <w:rPr>
          <w:rFonts w:ascii="Arial Narrow" w:hAnsi="Arial Narrow"/>
          <w:sz w:val="22"/>
          <w:szCs w:val="22"/>
        </w:rPr>
      </w:pPr>
    </w:p>
    <w:p w:rsidR="006A45AC" w:rsidRDefault="006A45AC">
      <w:pPr>
        <w:rPr>
          <w:rFonts w:ascii="Arial Narrow" w:hAnsi="Arial Narrow"/>
          <w:sz w:val="22"/>
          <w:szCs w:val="22"/>
        </w:rPr>
      </w:pPr>
    </w:p>
    <w:p w:rsidR="00AE51A1" w:rsidRDefault="00AE51A1" w:rsidP="006A45AC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A45AC" w:rsidRPr="005E634E" w:rsidRDefault="006A45AC" w:rsidP="006A45AC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……………………………….., den</w:t>
      </w:r>
    </w:p>
    <w:p w:rsidR="006A45AC" w:rsidRPr="005E634E" w:rsidRDefault="006A45AC" w:rsidP="006A45AC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A45AC" w:rsidRPr="005E634E" w:rsidRDefault="006A45AC" w:rsidP="006A45AC">
      <w:pPr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A45AC" w:rsidRPr="006A45AC" w:rsidRDefault="006A45AC" w:rsidP="006A45AC">
      <w:pPr>
        <w:tabs>
          <w:tab w:val="left" w:pos="5954"/>
        </w:tabs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5E634E">
        <w:rPr>
          <w:rFonts w:ascii="Arial Narrow" w:hAnsi="Arial Narrow"/>
          <w:spacing w:val="-2"/>
          <w:sz w:val="22"/>
          <w:szCs w:val="22"/>
          <w:lang w:val="de-CH"/>
        </w:rPr>
        <w:t>Der</w:t>
      </w:r>
      <w:r>
        <w:rPr>
          <w:rFonts w:ascii="Arial Narrow" w:hAnsi="Arial Narrow"/>
          <w:spacing w:val="-2"/>
          <w:sz w:val="22"/>
          <w:szCs w:val="22"/>
          <w:lang w:val="de-CH"/>
        </w:rPr>
        <w:t>(die) Gemeindeschreiber(in):</w:t>
      </w:r>
      <w:r>
        <w:rPr>
          <w:rFonts w:ascii="Arial Narrow" w:hAnsi="Arial Narrow"/>
          <w:spacing w:val="-2"/>
          <w:sz w:val="22"/>
          <w:szCs w:val="22"/>
          <w:lang w:val="de-CH"/>
        </w:rPr>
        <w:tab/>
        <w:t>Der Ammann/Die Gemeindepräsidentin:</w:t>
      </w:r>
    </w:p>
    <w:sectPr w:rsidR="006A45AC" w:rsidRPr="006A45AC" w:rsidSect="002E3A31">
      <w:headerReference w:type="even" r:id="rId9"/>
      <w:headerReference w:type="default" r:id="rId10"/>
      <w:footerReference w:type="default" r:id="rId11"/>
      <w:footerReference w:type="first" r:id="rId12"/>
      <w:footnotePr>
        <w:numFmt w:val="chicago"/>
      </w:footnotePr>
      <w:endnotePr>
        <w:numFmt w:val="decimal"/>
      </w:endnotePr>
      <w:pgSz w:w="11906" w:h="16838" w:code="9"/>
      <w:pgMar w:top="1134" w:right="567" w:bottom="567" w:left="1418" w:header="851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2447F5">
      <w:r>
        <w:separator/>
      </w:r>
    </w:p>
  </w:endnote>
  <w:endnote w:type="continuationSeparator" w:id="0">
    <w:p w:rsidR="00D04600" w:rsidRDefault="00D04600" w:rsidP="002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3E" w:rsidRPr="00AE51A1" w:rsidRDefault="00AE51A1" w:rsidP="00677D3E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923"/>
      </w:tabs>
      <w:rPr>
        <w:rFonts w:ascii="Cambria" w:hAnsi="Cambria"/>
        <w:lang w:val="de-CH"/>
      </w:rPr>
    </w:pPr>
    <w:r w:rsidRPr="00AE51A1">
      <w:rPr>
        <w:rFonts w:ascii="Cambria" w:hAnsi="Cambria"/>
        <w:lang w:val="de-CH"/>
      </w:rPr>
      <w:t xml:space="preserve">Nachführung vom 14. </w:t>
    </w:r>
    <w:r>
      <w:rPr>
        <w:rFonts w:ascii="Cambria" w:hAnsi="Cambria"/>
        <w:lang w:val="de-CH"/>
      </w:rPr>
      <w:t>Oktober 2013</w:t>
    </w:r>
    <w:r w:rsidR="00677D3E" w:rsidRPr="00AE51A1">
      <w:rPr>
        <w:rFonts w:ascii="Cambria" w:hAnsi="Cambria"/>
        <w:lang w:val="de-CH"/>
      </w:rPr>
      <w:tab/>
      <w:t xml:space="preserve">Seite </w:t>
    </w:r>
    <w:r w:rsidR="00677D3E" w:rsidRPr="009D441A">
      <w:rPr>
        <w:rFonts w:ascii="Cambria" w:hAnsi="Cambria"/>
      </w:rPr>
      <w:fldChar w:fldCharType="begin"/>
    </w:r>
    <w:r w:rsidR="00677D3E" w:rsidRPr="00AE51A1">
      <w:rPr>
        <w:rFonts w:ascii="Cambria" w:hAnsi="Cambria"/>
        <w:lang w:val="de-CH"/>
      </w:rPr>
      <w:instrText xml:space="preserve"> PAGE   \* MERGEFORMAT </w:instrText>
    </w:r>
    <w:r w:rsidR="00677D3E" w:rsidRPr="009D441A">
      <w:rPr>
        <w:rFonts w:ascii="Cambria" w:hAnsi="Cambria"/>
      </w:rPr>
      <w:fldChar w:fldCharType="separate"/>
    </w:r>
    <w:r w:rsidR="00870EC9">
      <w:rPr>
        <w:rFonts w:ascii="Cambria" w:hAnsi="Cambria"/>
        <w:noProof/>
        <w:lang w:val="de-CH"/>
      </w:rPr>
      <w:t>3</w:t>
    </w:r>
    <w:r w:rsidR="00677D3E" w:rsidRPr="009D441A">
      <w:rPr>
        <w:rFonts w:ascii="Cambria" w:hAnsi="Cambria"/>
      </w:rPr>
      <w:fldChar w:fldCharType="end"/>
    </w:r>
  </w:p>
  <w:p w:rsidR="00677D3E" w:rsidRPr="00AE51A1" w:rsidRDefault="00677D3E">
    <w:pPr>
      <w:pStyle w:val="Pieddepage"/>
      <w:rPr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1A" w:rsidRPr="00083E25" w:rsidRDefault="002130F5" w:rsidP="00083E2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923"/>
      </w:tabs>
      <w:rPr>
        <w:rFonts w:ascii="Cambria" w:hAnsi="Cambria"/>
      </w:rPr>
    </w:pPr>
    <w:r>
      <w:rPr>
        <w:rFonts w:ascii="Cambria" w:hAnsi="Cambria"/>
      </w:rPr>
      <w:t>Nachführung vom 14. Oktober 2013</w:t>
    </w:r>
    <w:r w:rsidR="009D441A">
      <w:rPr>
        <w:rFonts w:ascii="Cambria" w:hAnsi="Cambria"/>
      </w:rPr>
      <w:tab/>
    </w:r>
    <w:r w:rsidR="009D441A" w:rsidRPr="009D441A">
      <w:rPr>
        <w:rFonts w:ascii="Cambria" w:hAnsi="Cambria"/>
      </w:rPr>
      <w:t xml:space="preserve">Seite </w:t>
    </w:r>
    <w:r w:rsidR="009D441A" w:rsidRPr="009D441A">
      <w:rPr>
        <w:rFonts w:ascii="Cambria" w:hAnsi="Cambria"/>
      </w:rPr>
      <w:fldChar w:fldCharType="begin"/>
    </w:r>
    <w:r w:rsidR="009D441A" w:rsidRPr="009D441A">
      <w:rPr>
        <w:rFonts w:ascii="Cambria" w:hAnsi="Cambria"/>
      </w:rPr>
      <w:instrText xml:space="preserve"> PAGE   \* MERGEFORMAT </w:instrText>
    </w:r>
    <w:r w:rsidR="009D441A" w:rsidRPr="009D441A">
      <w:rPr>
        <w:rFonts w:ascii="Cambria" w:hAnsi="Cambria"/>
      </w:rPr>
      <w:fldChar w:fldCharType="separate"/>
    </w:r>
    <w:r w:rsidR="00870EC9">
      <w:rPr>
        <w:rFonts w:ascii="Cambria" w:hAnsi="Cambria"/>
        <w:noProof/>
      </w:rPr>
      <w:t>1</w:t>
    </w:r>
    <w:r w:rsidR="009D441A" w:rsidRPr="009D441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2447F5">
      <w:r>
        <w:separator/>
      </w:r>
    </w:p>
  </w:footnote>
  <w:footnote w:type="continuationSeparator" w:id="0">
    <w:p w:rsidR="00D04600" w:rsidRDefault="00D04600" w:rsidP="0024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31" w:rsidRDefault="002E3A31" w:rsidP="002E3A3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E3A31" w:rsidRDefault="002E3A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31" w:rsidRDefault="002E3A31" w:rsidP="00083E25">
    <w:pPr>
      <w:tabs>
        <w:tab w:val="center" w:pos="4536"/>
      </w:tabs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601D40"/>
    <w:lvl w:ilvl="0">
      <w:numFmt w:val="bullet"/>
      <w:lvlText w:val="*"/>
      <w:lvlJc w:val="left"/>
    </w:lvl>
  </w:abstractNum>
  <w:abstractNum w:abstractNumId="1">
    <w:nsid w:val="1E112165"/>
    <w:multiLevelType w:val="hybridMultilevel"/>
    <w:tmpl w:val="AAB805CE"/>
    <w:lvl w:ilvl="0" w:tplc="E69A5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066A0B"/>
    <w:multiLevelType w:val="singleLevel"/>
    <w:tmpl w:val="162A9F86"/>
    <w:lvl w:ilvl="0">
      <w:start w:val="1"/>
      <w:numFmt w:val="lowerLetter"/>
      <w:lvlText w:val="%1)"/>
      <w:legacy w:legacy="1" w:legacySpace="120" w:legacyIndent="284"/>
      <w:lvlJc w:val="left"/>
      <w:pPr>
        <w:ind w:left="284" w:hanging="284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6F"/>
    <w:rsid w:val="00024ADB"/>
    <w:rsid w:val="0003350B"/>
    <w:rsid w:val="00083E25"/>
    <w:rsid w:val="000D33DA"/>
    <w:rsid w:val="001508B5"/>
    <w:rsid w:val="001A2E37"/>
    <w:rsid w:val="002130F5"/>
    <w:rsid w:val="002447F5"/>
    <w:rsid w:val="002937B4"/>
    <w:rsid w:val="002E3A31"/>
    <w:rsid w:val="002E52B1"/>
    <w:rsid w:val="00357C17"/>
    <w:rsid w:val="003A5F6A"/>
    <w:rsid w:val="003B25AC"/>
    <w:rsid w:val="0047240D"/>
    <w:rsid w:val="0052049F"/>
    <w:rsid w:val="005E634E"/>
    <w:rsid w:val="005F3618"/>
    <w:rsid w:val="00656F49"/>
    <w:rsid w:val="00677D3E"/>
    <w:rsid w:val="006A45AC"/>
    <w:rsid w:val="006D565B"/>
    <w:rsid w:val="006D67B0"/>
    <w:rsid w:val="006F2664"/>
    <w:rsid w:val="007032F0"/>
    <w:rsid w:val="007467D3"/>
    <w:rsid w:val="00870EC9"/>
    <w:rsid w:val="00881004"/>
    <w:rsid w:val="0089165E"/>
    <w:rsid w:val="009B116F"/>
    <w:rsid w:val="009D441A"/>
    <w:rsid w:val="00A04E54"/>
    <w:rsid w:val="00AD7EC8"/>
    <w:rsid w:val="00AE51A1"/>
    <w:rsid w:val="00C87709"/>
    <w:rsid w:val="00D04600"/>
    <w:rsid w:val="00DD6D04"/>
    <w:rsid w:val="00DE38FF"/>
    <w:rsid w:val="00E32600"/>
    <w:rsid w:val="00E43F85"/>
    <w:rsid w:val="00F4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6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B1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B116F"/>
    <w:rPr>
      <w:rFonts w:ascii="Courier New" w:eastAsia="Times New Roman" w:hAnsi="Courier New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rsid w:val="009B116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B116F"/>
    <w:rPr>
      <w:rFonts w:ascii="Courier New" w:eastAsia="Times New Roman" w:hAnsi="Courier New" w:cs="Times New Roman"/>
      <w:sz w:val="20"/>
      <w:szCs w:val="20"/>
      <w:lang w:val="fr-FR"/>
    </w:rPr>
  </w:style>
  <w:style w:type="character" w:styleId="Numrodepage">
    <w:name w:val="page number"/>
    <w:basedOn w:val="Policepardfaut"/>
    <w:rsid w:val="009B1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6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B1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B116F"/>
    <w:rPr>
      <w:rFonts w:ascii="Courier New" w:eastAsia="Times New Roman" w:hAnsi="Courier New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rsid w:val="009B116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B116F"/>
    <w:rPr>
      <w:rFonts w:ascii="Courier New" w:eastAsia="Times New Roman" w:hAnsi="Courier New" w:cs="Times New Roman"/>
      <w:sz w:val="20"/>
      <w:szCs w:val="20"/>
      <w:lang w:val="fr-FR"/>
    </w:rPr>
  </w:style>
  <w:style w:type="character" w:styleId="Numrodepage">
    <w:name w:val="page number"/>
    <w:basedOn w:val="Policepardfaut"/>
    <w:rsid w:val="009B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61E1-C607-4658-8D01-04E694C6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Privet Patricia</cp:lastModifiedBy>
  <cp:revision>2</cp:revision>
  <dcterms:created xsi:type="dcterms:W3CDTF">2015-11-17T12:46:00Z</dcterms:created>
  <dcterms:modified xsi:type="dcterms:W3CDTF">2015-11-17T12:46:00Z</dcterms:modified>
</cp:coreProperties>
</file>