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96E7B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  <w:bookmarkStart w:id="0" w:name="_GoBack"/>
            <w:bookmarkEnd w:id="0"/>
          </w:p>
        </w:tc>
        <w:tc>
          <w:tcPr>
            <w:tcW w:w="7370" w:type="dxa"/>
          </w:tcPr>
          <w:p w:rsidR="00796E7B" w:rsidRPr="00B71AE6" w:rsidRDefault="00B71AE6">
            <w:pPr>
              <w:jc w:val="both"/>
              <w:rPr>
                <w:rFonts w:ascii="Arial" w:hAnsi="Arial"/>
                <w:b/>
                <w:spacing w:val="-2"/>
                <w:sz w:val="24"/>
                <w:lang w:val="de-CH"/>
              </w:rPr>
            </w:pPr>
            <w:r w:rsidRPr="00B71AE6">
              <w:rPr>
                <w:rFonts w:ascii="Arial" w:hAnsi="Arial"/>
                <w:b/>
                <w:spacing w:val="-2"/>
                <w:sz w:val="24"/>
                <w:lang w:val="de-CH"/>
              </w:rPr>
              <w:t>GEMEINDE</w:t>
            </w:r>
          </w:p>
          <w:p w:rsidR="00796E7B" w:rsidRPr="00B71AE6" w:rsidRDefault="00796E7B">
            <w:pPr>
              <w:jc w:val="both"/>
              <w:rPr>
                <w:rFonts w:ascii="Arial" w:hAnsi="Arial"/>
                <w:b/>
                <w:spacing w:val="-2"/>
                <w:sz w:val="24"/>
                <w:lang w:val="de-CH"/>
              </w:rPr>
            </w:pPr>
          </w:p>
          <w:p w:rsidR="00796E7B" w:rsidRPr="00B71AE6" w:rsidRDefault="00B71AE6" w:rsidP="00E34912">
            <w:pPr>
              <w:rPr>
                <w:rFonts w:ascii="Arial" w:hAnsi="Arial"/>
                <w:b/>
                <w:spacing w:val="-2"/>
                <w:sz w:val="24"/>
                <w:lang w:val="de-CH"/>
              </w:rPr>
            </w:pPr>
            <w:r w:rsidRPr="00B71AE6">
              <w:rPr>
                <w:rFonts w:ascii="Arial" w:hAnsi="Arial"/>
                <w:b/>
                <w:spacing w:val="-2"/>
                <w:sz w:val="24"/>
                <w:lang w:val="de-CH"/>
              </w:rPr>
              <w:t>REGLEMENT</w:t>
            </w:r>
            <w:r w:rsidR="00CF1E35">
              <w:rPr>
                <w:rFonts w:ascii="Arial" w:hAnsi="Arial"/>
                <w:b/>
                <w:spacing w:val="-2"/>
                <w:sz w:val="24"/>
                <w:lang w:val="de-CH"/>
              </w:rPr>
              <w:t xml:space="preserve"> ÜBER DIE</w:t>
            </w:r>
            <w:r>
              <w:rPr>
                <w:rFonts w:ascii="Arial" w:hAnsi="Arial"/>
                <w:b/>
                <w:spacing w:val="-2"/>
                <w:sz w:val="24"/>
                <w:lang w:val="de-CH"/>
              </w:rPr>
              <w:t xml:space="preserve"> UNVEREINBARKEIT</w:t>
            </w:r>
            <w:r w:rsidRPr="00B71AE6">
              <w:rPr>
                <w:rFonts w:ascii="Arial" w:hAnsi="Arial"/>
                <w:b/>
                <w:spacing w:val="-2"/>
                <w:sz w:val="24"/>
                <w:lang w:val="de-CH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  <w:lang w:val="de-CH"/>
              </w:rPr>
              <w:t>ZWISCHEN EINER ANSTELLUNG BEI DER GEMEINDE UND DEM EINSITZ IN EINE GEMEINDEBEHÖRDE</w:t>
            </w:r>
          </w:p>
          <w:p w:rsidR="00796E7B" w:rsidRPr="00B71AE6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B71AE6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B71AE6" w:rsidRDefault="00B71AE6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  <w:r w:rsidRPr="00B71AE6">
              <w:rPr>
                <w:rFonts w:ascii="Arial" w:hAnsi="Arial"/>
                <w:spacing w:val="-2"/>
                <w:sz w:val="22"/>
                <w:lang w:val="de-CH"/>
              </w:rPr>
              <w:t>Die Gemeindeversammlung,</w:t>
            </w:r>
          </w:p>
          <w:p w:rsidR="00796E7B" w:rsidRPr="00B71AE6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B71AE6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B71AE6" w:rsidRDefault="00B71AE6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  <w:r w:rsidRPr="00B71AE6">
              <w:rPr>
                <w:rFonts w:ascii="Arial" w:hAnsi="Arial"/>
                <w:spacing w:val="-2"/>
                <w:sz w:val="22"/>
                <w:lang w:val="de-CH"/>
              </w:rPr>
              <w:t>Gestützt auf das Gesetz vom 25. September 1980 über die Gemeinden</w:t>
            </w:r>
            <w:r>
              <w:rPr>
                <w:rFonts w:ascii="Arial" w:hAnsi="Arial"/>
                <w:spacing w:val="-2"/>
                <w:sz w:val="22"/>
                <w:lang w:val="de-CH"/>
              </w:rPr>
              <w:t xml:space="preserve"> (GG)</w:t>
            </w:r>
            <w:r w:rsidRPr="00B71AE6">
              <w:rPr>
                <w:rFonts w:ascii="Arial" w:hAnsi="Arial"/>
                <w:spacing w:val="-2"/>
                <w:sz w:val="22"/>
                <w:lang w:val="de-CH"/>
              </w:rPr>
              <w:t xml:space="preserve"> (SGF 140.1)</w:t>
            </w:r>
            <w:r>
              <w:rPr>
                <w:rFonts w:ascii="Arial" w:hAnsi="Arial"/>
                <w:spacing w:val="-2"/>
                <w:sz w:val="22"/>
                <w:lang w:val="de-CH"/>
              </w:rPr>
              <w:t xml:space="preserve">, insbesondere dessen Artikel 28 Abs. 2 2. </w:t>
            </w:r>
            <w:r w:rsidRPr="00875F2E">
              <w:rPr>
                <w:rFonts w:ascii="Arial" w:hAnsi="Arial"/>
                <w:spacing w:val="-2"/>
                <w:sz w:val="22"/>
                <w:lang w:val="de-CH"/>
              </w:rPr>
              <w:t xml:space="preserve">Satz und 55 Abs. 2 2. </w:t>
            </w:r>
            <w:r w:rsidRPr="00B71AE6">
              <w:rPr>
                <w:rFonts w:ascii="Arial" w:hAnsi="Arial"/>
                <w:spacing w:val="-2"/>
                <w:sz w:val="22"/>
                <w:lang w:val="de-CH"/>
              </w:rPr>
              <w:t>Satz gemäss dem vom Grossen Rat am 12.</w:t>
            </w:r>
            <w:r>
              <w:rPr>
                <w:rFonts w:ascii="Arial" w:hAnsi="Arial"/>
                <w:spacing w:val="-2"/>
                <w:sz w:val="22"/>
                <w:lang w:val="de-CH"/>
              </w:rPr>
              <w:t> </w:t>
            </w:r>
            <w:r w:rsidRPr="00B71AE6">
              <w:rPr>
                <w:rFonts w:ascii="Arial" w:hAnsi="Arial"/>
                <w:spacing w:val="-2"/>
                <w:sz w:val="22"/>
                <w:lang w:val="de-CH"/>
              </w:rPr>
              <w:t>November 2010 angenommenen Wortlaut</w:t>
            </w:r>
          </w:p>
          <w:p w:rsidR="00B71AE6" w:rsidRPr="00B71AE6" w:rsidRDefault="00B71AE6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B71AE6" w:rsidRDefault="00796E7B">
            <w:pPr>
              <w:tabs>
                <w:tab w:val="left" w:pos="2835"/>
              </w:tabs>
              <w:jc w:val="right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Default="00796E7B">
            <w:pPr>
              <w:tabs>
                <w:tab w:val="left" w:pos="2835"/>
              </w:tabs>
              <w:rPr>
                <w:rFonts w:ascii="Arial" w:hAnsi="Arial"/>
                <w:spacing w:val="-2"/>
                <w:sz w:val="22"/>
              </w:rPr>
            </w:pPr>
            <w:r w:rsidRPr="00B71AE6">
              <w:rPr>
                <w:rFonts w:ascii="Arial" w:hAnsi="Arial"/>
                <w:i/>
                <w:spacing w:val="-2"/>
                <w:sz w:val="22"/>
                <w:lang w:val="de-CH"/>
              </w:rPr>
              <w:tab/>
            </w:r>
            <w:r w:rsidR="00B71AE6">
              <w:rPr>
                <w:rFonts w:ascii="Arial" w:hAnsi="Arial"/>
                <w:i/>
                <w:spacing w:val="-2"/>
                <w:sz w:val="22"/>
              </w:rPr>
              <w:t>erlässt</w:t>
            </w:r>
            <w:r>
              <w:rPr>
                <w:rFonts w:ascii="Arial" w:hAnsi="Arial"/>
                <w:i/>
                <w:spacing w:val="-2"/>
                <w:sz w:val="22"/>
              </w:rPr>
              <w:t>: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</w:tc>
      </w:tr>
      <w:tr w:rsidR="00796E7B" w:rsidRPr="00875F2E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B71AE6">
            <w:pPr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Anwendungs-bereich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7370" w:type="dxa"/>
          </w:tcPr>
          <w:p w:rsidR="00796E7B" w:rsidRPr="00875F2E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CF1E35" w:rsidRDefault="00B71AE6" w:rsidP="006754C3">
            <w:pPr>
              <w:tabs>
                <w:tab w:val="left" w:pos="993"/>
              </w:tabs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  <w:r w:rsidRPr="00875F2E">
              <w:rPr>
                <w:rFonts w:ascii="Arial" w:hAnsi="Arial"/>
                <w:b/>
                <w:spacing w:val="-2"/>
                <w:sz w:val="22"/>
                <w:lang w:val="de-CH"/>
              </w:rPr>
              <w:t>Artikel 1</w:t>
            </w:r>
            <w:r w:rsidR="00796E7B" w:rsidRPr="00875F2E">
              <w:rPr>
                <w:rFonts w:ascii="Arial" w:hAnsi="Arial"/>
                <w:b/>
                <w:spacing w:val="-2"/>
                <w:sz w:val="22"/>
                <w:lang w:val="de-CH"/>
              </w:rPr>
              <w:t>.-</w:t>
            </w:r>
            <w:r w:rsidR="006754C3" w:rsidRPr="00875F2E">
              <w:rPr>
                <w:rFonts w:ascii="Arial" w:hAnsi="Arial"/>
                <w:b/>
                <w:spacing w:val="-2"/>
                <w:sz w:val="22"/>
                <w:lang w:val="de-CH"/>
              </w:rPr>
              <w:t xml:space="preserve"> </w:t>
            </w:r>
            <w:r w:rsidR="00CF1E35" w:rsidRPr="00875F2E">
              <w:rPr>
                <w:rFonts w:ascii="Arial" w:hAnsi="Arial"/>
                <w:spacing w:val="-2"/>
                <w:sz w:val="22"/>
                <w:lang w:val="de-CH"/>
              </w:rPr>
              <w:tab/>
            </w:r>
            <w:r w:rsidR="006754C3" w:rsidRPr="00CF1E35">
              <w:rPr>
                <w:rFonts w:ascii="Arial" w:hAnsi="Arial"/>
                <w:spacing w:val="-2"/>
                <w:sz w:val="22"/>
                <w:lang w:val="de-CH"/>
              </w:rPr>
              <w:t xml:space="preserve">Das vorliegende Reglement legt das maximale Anstellungspensum fest, bis zu dem ein Gemeindeangestellter </w:t>
            </w:r>
            <w:r w:rsidR="00D62401">
              <w:rPr>
                <w:rFonts w:ascii="Arial" w:hAnsi="Arial"/>
                <w:spacing w:val="-2"/>
                <w:sz w:val="22"/>
                <w:lang w:val="de-CH"/>
              </w:rPr>
              <w:t>oder eine Gemeindeangestellte in den</w:t>
            </w:r>
            <w:r w:rsidR="006754C3" w:rsidRPr="00CF1E35">
              <w:rPr>
                <w:rFonts w:ascii="Arial" w:hAnsi="Arial"/>
                <w:spacing w:val="-2"/>
                <w:sz w:val="22"/>
                <w:lang w:val="de-CH"/>
              </w:rPr>
              <w:t xml:space="preserve"> Generalrat oder i</w:t>
            </w:r>
            <w:r w:rsidR="00D62401">
              <w:rPr>
                <w:rFonts w:ascii="Arial" w:hAnsi="Arial"/>
                <w:spacing w:val="-2"/>
                <w:sz w:val="22"/>
                <w:lang w:val="de-CH"/>
              </w:rPr>
              <w:t>n den</w:t>
            </w:r>
            <w:r w:rsidR="006754C3" w:rsidRPr="00CF1E35">
              <w:rPr>
                <w:rFonts w:ascii="Arial" w:hAnsi="Arial"/>
                <w:spacing w:val="-2"/>
                <w:sz w:val="22"/>
                <w:lang w:val="de-CH"/>
              </w:rPr>
              <w:t xml:space="preserve"> Gemeinderat Einsitz nehmen dürfen. </w:t>
            </w:r>
            <w:r w:rsidR="00CF1E35">
              <w:rPr>
                <w:rFonts w:ascii="Arial" w:hAnsi="Arial"/>
                <w:spacing w:val="-2"/>
                <w:sz w:val="22"/>
                <w:lang w:val="de-CH"/>
              </w:rPr>
              <w:t>Die Funktionen des Gemeindeschreibers oder der Gemeindeschreiberin und des Gemeindekassiers oder der Gemeindekassierin sind in jedem Fall mit dem Einsitz in einer Gemeindebehörde unvereinbar.</w:t>
            </w:r>
          </w:p>
          <w:p w:rsidR="00796E7B" w:rsidRPr="00CF1E35" w:rsidRDefault="00796E7B">
            <w:pPr>
              <w:tabs>
                <w:tab w:val="left" w:pos="1843"/>
              </w:tabs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</w:tc>
      </w:tr>
    </w:tbl>
    <w:p w:rsidR="00796E7B" w:rsidRPr="00CF1E35" w:rsidRDefault="00796E7B">
      <w:pPr>
        <w:jc w:val="both"/>
        <w:rPr>
          <w:rFonts w:ascii="Arial" w:hAnsi="Arial"/>
          <w:spacing w:val="-2"/>
          <w:sz w:val="22"/>
          <w:lang w:val="de-CH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96E7B">
        <w:tc>
          <w:tcPr>
            <w:tcW w:w="2268" w:type="dxa"/>
          </w:tcPr>
          <w:p w:rsidR="00796E7B" w:rsidRPr="00CF1E35" w:rsidRDefault="00796E7B">
            <w:pPr>
              <w:jc w:val="both"/>
              <w:rPr>
                <w:rFonts w:ascii="Arial" w:hAnsi="Arial"/>
                <w:spacing w:val="-2"/>
                <w:lang w:val="de-CH"/>
              </w:rPr>
            </w:pPr>
          </w:p>
          <w:p w:rsidR="00796E7B" w:rsidRDefault="006754C3" w:rsidP="00E34912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Maximales</w:t>
            </w:r>
            <w:r w:rsidR="00B71AE6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Anstellungs-pensum</w:t>
            </w:r>
          </w:p>
        </w:tc>
        <w:tc>
          <w:tcPr>
            <w:tcW w:w="7370" w:type="dxa"/>
          </w:tcPr>
          <w:p w:rsidR="00796E7B" w:rsidRPr="00875F2E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Pr="00CF1E35" w:rsidRDefault="00796E7B" w:rsidP="00D62401">
            <w:pPr>
              <w:tabs>
                <w:tab w:val="left" w:pos="993"/>
              </w:tabs>
              <w:jc w:val="both"/>
              <w:rPr>
                <w:rFonts w:ascii="Arial" w:hAnsi="Arial"/>
                <w:i/>
                <w:spacing w:val="-2"/>
                <w:sz w:val="16"/>
                <w:lang w:val="fr-CH"/>
              </w:rPr>
            </w:pPr>
            <w:r w:rsidRPr="00875F2E">
              <w:rPr>
                <w:rFonts w:ascii="Arial" w:hAnsi="Arial"/>
                <w:b/>
                <w:spacing w:val="-2"/>
                <w:sz w:val="22"/>
                <w:lang w:val="de-CH"/>
              </w:rPr>
              <w:t>Art. 2.-</w:t>
            </w:r>
            <w:r w:rsidRPr="00875F2E">
              <w:rPr>
                <w:rFonts w:ascii="Arial" w:hAnsi="Arial"/>
                <w:b/>
                <w:spacing w:val="-2"/>
                <w:sz w:val="22"/>
                <w:lang w:val="de-CH"/>
              </w:rPr>
              <w:tab/>
            </w:r>
            <w:r w:rsidR="006754C3" w:rsidRPr="006754C3">
              <w:rPr>
                <w:rFonts w:ascii="Arial" w:hAnsi="Arial"/>
                <w:spacing w:val="-2"/>
                <w:sz w:val="22"/>
                <w:lang w:val="de-CH"/>
              </w:rPr>
              <w:t xml:space="preserve">Das maximal zulässige Anstellungspensum im Sinne von </w:t>
            </w:r>
            <w:r w:rsidR="00B71AE6" w:rsidRPr="006754C3">
              <w:rPr>
                <w:rFonts w:ascii="Arial" w:hAnsi="Arial"/>
                <w:spacing w:val="-2"/>
                <w:sz w:val="22"/>
                <w:lang w:val="de-CH"/>
              </w:rPr>
              <w:t>Artikel</w:t>
            </w:r>
            <w:r w:rsidR="006754C3">
              <w:rPr>
                <w:rFonts w:ascii="Arial" w:hAnsi="Arial"/>
                <w:spacing w:val="-2"/>
                <w:sz w:val="22"/>
                <w:lang w:val="de-CH"/>
              </w:rPr>
              <w:t xml:space="preserve"> 1 des vorliegenden Reglements beträgt </w:t>
            </w:r>
            <w:r w:rsidR="00E34912" w:rsidRPr="006754C3">
              <w:rPr>
                <w:rFonts w:ascii="Arial" w:hAnsi="Arial"/>
                <w:spacing w:val="-2"/>
                <w:sz w:val="22"/>
                <w:lang w:val="de-CH"/>
              </w:rPr>
              <w:t xml:space="preserve">….. </w:t>
            </w:r>
            <w:r w:rsidR="00E34912" w:rsidRPr="00875F2E">
              <w:rPr>
                <w:rFonts w:ascii="Arial" w:hAnsi="Arial"/>
                <w:spacing w:val="-2"/>
                <w:sz w:val="22"/>
                <w:lang w:val="de-CH"/>
              </w:rPr>
              <w:t>%</w:t>
            </w:r>
            <w:r w:rsidR="008F232D" w:rsidRPr="00875F2E">
              <w:rPr>
                <w:rFonts w:ascii="Arial" w:hAnsi="Arial"/>
                <w:spacing w:val="-2"/>
                <w:sz w:val="22"/>
                <w:lang w:val="de-CH"/>
              </w:rPr>
              <w:t xml:space="preserve">. </w:t>
            </w:r>
            <w:r w:rsidR="00696FD5" w:rsidRPr="00875F2E">
              <w:rPr>
                <w:rFonts w:ascii="Arial" w:hAnsi="Arial"/>
                <w:spacing w:val="-2"/>
                <w:sz w:val="22"/>
                <w:lang w:val="de-CH"/>
              </w:rPr>
              <w:br/>
            </w:r>
            <w:r w:rsidR="00E34912" w:rsidRPr="00CF1E35">
              <w:rPr>
                <w:rFonts w:ascii="Arial" w:hAnsi="Arial"/>
                <w:i/>
                <w:spacing w:val="-2"/>
                <w:sz w:val="16"/>
                <w:lang w:val="de-CH"/>
              </w:rPr>
              <w:t>[</w:t>
            </w:r>
            <w:r w:rsidR="006754C3" w:rsidRPr="00CF1E35">
              <w:rPr>
                <w:rFonts w:ascii="Arial" w:hAnsi="Arial"/>
                <w:i/>
                <w:spacing w:val="-2"/>
                <w:sz w:val="16"/>
                <w:lang w:val="de-CH"/>
              </w:rPr>
              <w:t>Kommentar: wenn für dieses Anstellungspensum vom Gesetz abgewichen werden soll, muss der maximal zulässige Beschäftigungsgrad unter 50% liegen. Er könnte für den Generalrat und den Gemeinderat unterschiedlich festgelegt werden, vorausgesetzt, dass er in beiden Fällen unter 50% liegt; der Staatsrat ist jedoch der Auffassung, dass unterschiedlich</w:t>
            </w:r>
            <w:r w:rsidR="00D62401">
              <w:rPr>
                <w:rFonts w:ascii="Arial" w:hAnsi="Arial"/>
                <w:i/>
                <w:spacing w:val="-2"/>
                <w:sz w:val="16"/>
                <w:lang w:val="de-CH"/>
              </w:rPr>
              <w:t>e</w:t>
            </w:r>
            <w:r w:rsidR="006754C3" w:rsidRPr="00CF1E35">
              <w:rPr>
                <w:rFonts w:ascii="Arial" w:hAnsi="Arial"/>
                <w:i/>
                <w:spacing w:val="-2"/>
                <w:sz w:val="16"/>
                <w:lang w:val="de-CH"/>
              </w:rPr>
              <w:t xml:space="preserve"> Höchstpensen nicht wünschbar sind (vgl. </w:t>
            </w:r>
            <w:hyperlink r:id="rId7" w:history="1">
              <w:r w:rsidR="006754C3" w:rsidRPr="00941A27">
                <w:rPr>
                  <w:rStyle w:val="Lienhypertexte"/>
                  <w:rFonts w:ascii="Arial" w:hAnsi="Arial"/>
                  <w:i/>
                  <w:spacing w:val="-2"/>
                  <w:sz w:val="16"/>
                  <w:lang w:val="de-CH"/>
                </w:rPr>
                <w:t>Botschaft</w:t>
              </w:r>
            </w:hyperlink>
            <w:r w:rsidR="006754C3" w:rsidRPr="00CF1E35">
              <w:rPr>
                <w:rFonts w:ascii="Arial" w:hAnsi="Arial"/>
                <w:i/>
                <w:spacing w:val="-2"/>
                <w:sz w:val="16"/>
                <w:lang w:val="de-CH"/>
              </w:rPr>
              <w:t xml:space="preserve"> des Staatsrates vom 21. </w:t>
            </w:r>
            <w:r w:rsidR="006754C3" w:rsidRPr="00CF1E35">
              <w:rPr>
                <w:rFonts w:ascii="Arial" w:hAnsi="Arial"/>
                <w:i/>
                <w:spacing w:val="-2"/>
                <w:sz w:val="16"/>
                <w:lang w:val="fr-CH"/>
              </w:rPr>
              <w:t>September 2010, letzter § des Kommentars zu Art. 28 Abs. 2)].</w:t>
            </w:r>
            <w:r w:rsidR="00E34912" w:rsidRPr="00D45C34">
              <w:rPr>
                <w:rFonts w:ascii="Arial" w:hAnsi="Arial"/>
                <w:spacing w:val="-2"/>
              </w:rPr>
              <w:t xml:space="preserve"> </w:t>
            </w:r>
          </w:p>
        </w:tc>
      </w:tr>
    </w:tbl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96E7B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</w:rPr>
            </w:pPr>
          </w:p>
          <w:p w:rsidR="00796E7B" w:rsidRDefault="00B71AE6">
            <w:pPr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Inkrafttreten</w:t>
            </w:r>
          </w:p>
        </w:tc>
        <w:tc>
          <w:tcPr>
            <w:tcW w:w="7370" w:type="dxa"/>
          </w:tcPr>
          <w:p w:rsidR="00796E7B" w:rsidRPr="00875F2E" w:rsidRDefault="00796E7B">
            <w:pPr>
              <w:jc w:val="both"/>
              <w:rPr>
                <w:rFonts w:ascii="Arial" w:hAnsi="Arial"/>
                <w:spacing w:val="-2"/>
                <w:sz w:val="22"/>
                <w:lang w:val="de-CH"/>
              </w:rPr>
            </w:pPr>
          </w:p>
          <w:p w:rsidR="00796E7B" w:rsidRDefault="00796E7B" w:rsidP="00CF1E35">
            <w:pPr>
              <w:tabs>
                <w:tab w:val="left" w:pos="993"/>
              </w:tabs>
              <w:jc w:val="both"/>
              <w:rPr>
                <w:rFonts w:ascii="Arial" w:hAnsi="Arial"/>
                <w:spacing w:val="-2"/>
                <w:sz w:val="22"/>
              </w:rPr>
            </w:pPr>
            <w:r w:rsidRPr="00875F2E">
              <w:rPr>
                <w:rFonts w:ascii="Arial" w:hAnsi="Arial"/>
                <w:b/>
                <w:spacing w:val="-2"/>
                <w:sz w:val="22"/>
                <w:lang w:val="de-CH"/>
              </w:rPr>
              <w:t>Art. 3.-</w:t>
            </w:r>
            <w:r w:rsidRPr="00875F2E">
              <w:rPr>
                <w:rFonts w:ascii="Arial" w:hAnsi="Arial"/>
                <w:spacing w:val="-2"/>
                <w:sz w:val="22"/>
                <w:lang w:val="de-CH"/>
              </w:rPr>
              <w:t xml:space="preserve"> </w:t>
            </w:r>
            <w:r w:rsidRPr="00875F2E">
              <w:rPr>
                <w:rFonts w:ascii="Arial" w:hAnsi="Arial"/>
                <w:spacing w:val="-2"/>
                <w:sz w:val="22"/>
                <w:lang w:val="de-CH"/>
              </w:rPr>
              <w:tab/>
            </w:r>
            <w:r w:rsidR="00CF1E35" w:rsidRPr="00CF1E35">
              <w:rPr>
                <w:rFonts w:ascii="Arial" w:hAnsi="Arial"/>
                <w:spacing w:val="-2"/>
                <w:sz w:val="22"/>
                <w:lang w:val="de-CH"/>
              </w:rPr>
              <w:t>Unter Vorbehalt seiner Genehmigung durch die Direktion der Institutionen und der Land- und Forstwirtschaft tritt d</w:t>
            </w:r>
            <w:r w:rsidR="00CF1E35">
              <w:rPr>
                <w:rFonts w:ascii="Arial" w:hAnsi="Arial"/>
                <w:spacing w:val="-2"/>
                <w:sz w:val="22"/>
                <w:lang w:val="de-CH"/>
              </w:rPr>
              <w:t>as vorliegende Reglement am</w:t>
            </w:r>
            <w:r w:rsidR="00CF1E35" w:rsidRPr="00CF1E35">
              <w:rPr>
                <w:rFonts w:ascii="Arial" w:hAnsi="Arial"/>
                <w:spacing w:val="-2"/>
                <w:sz w:val="22"/>
                <w:lang w:val="de-CH"/>
              </w:rPr>
              <w:t xml:space="preserve"> 1.</w:t>
            </w:r>
            <w:r w:rsidR="00CF1E35">
              <w:rPr>
                <w:rFonts w:ascii="Arial" w:hAnsi="Arial"/>
                <w:spacing w:val="-2"/>
                <w:sz w:val="22"/>
                <w:lang w:val="de-CH"/>
              </w:rPr>
              <w:t xml:space="preserve"> </w:t>
            </w:r>
            <w:r w:rsidR="00CF1E35" w:rsidRPr="00CF1E35">
              <w:rPr>
                <w:rFonts w:ascii="Arial" w:hAnsi="Arial"/>
                <w:spacing w:val="-2"/>
                <w:sz w:val="22"/>
                <w:lang w:val="fr-CH"/>
              </w:rPr>
              <w:t>Januar 2011 in Kraft.</w:t>
            </w:r>
            <w:r w:rsidR="00CF1E35">
              <w:rPr>
                <w:rFonts w:ascii="Arial" w:hAnsi="Arial"/>
                <w:spacing w:val="-2"/>
                <w:sz w:val="22"/>
                <w:lang w:val="fr-CH"/>
              </w:rPr>
              <w:t xml:space="preserve"> </w:t>
            </w:r>
          </w:p>
        </w:tc>
      </w:tr>
    </w:tbl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Pr="00CF1E35" w:rsidRDefault="00CF1E35">
      <w:pPr>
        <w:jc w:val="both"/>
        <w:rPr>
          <w:rFonts w:ascii="Arial" w:hAnsi="Arial"/>
          <w:spacing w:val="-2"/>
          <w:sz w:val="22"/>
          <w:lang w:val="de-CH"/>
        </w:rPr>
      </w:pPr>
      <w:r w:rsidRPr="00CF1E35">
        <w:rPr>
          <w:rFonts w:ascii="Arial" w:hAnsi="Arial"/>
          <w:spacing w:val="-2"/>
          <w:sz w:val="22"/>
          <w:lang w:val="de-CH"/>
        </w:rPr>
        <w:t xml:space="preserve">Beschlossen von der Gemeindeversammlung vom </w:t>
      </w:r>
    </w:p>
    <w:p w:rsidR="00796E7B" w:rsidRPr="00CF1E35" w:rsidRDefault="00796E7B">
      <w:pPr>
        <w:jc w:val="both"/>
        <w:rPr>
          <w:rFonts w:ascii="Arial" w:hAnsi="Arial"/>
          <w:spacing w:val="-2"/>
          <w:sz w:val="22"/>
          <w:lang w:val="de-CH"/>
        </w:rPr>
      </w:pPr>
    </w:p>
    <w:p w:rsidR="00796E7B" w:rsidRPr="00CF1E35" w:rsidRDefault="00796E7B">
      <w:pPr>
        <w:jc w:val="both"/>
        <w:rPr>
          <w:rFonts w:ascii="Arial" w:hAnsi="Arial"/>
          <w:spacing w:val="-2"/>
          <w:sz w:val="22"/>
          <w:lang w:val="de-CH"/>
        </w:rPr>
      </w:pPr>
    </w:p>
    <w:p w:rsidR="00796E7B" w:rsidRPr="00CF1E35" w:rsidRDefault="00CF1E35">
      <w:pPr>
        <w:jc w:val="both"/>
        <w:rPr>
          <w:rFonts w:ascii="Arial" w:hAnsi="Arial"/>
          <w:spacing w:val="-2"/>
          <w:sz w:val="22"/>
          <w:lang w:val="de-CH"/>
        </w:rPr>
      </w:pPr>
      <w:r w:rsidRPr="00CF1E35">
        <w:rPr>
          <w:rFonts w:ascii="Arial" w:hAnsi="Arial"/>
          <w:spacing w:val="-2"/>
          <w:sz w:val="22"/>
          <w:lang w:val="de-CH"/>
        </w:rPr>
        <w:t>Der/die Gemeindeschreiber/in</w:t>
      </w:r>
      <w:r w:rsidR="00796E7B" w:rsidRPr="00CF1E35">
        <w:rPr>
          <w:rFonts w:ascii="Arial" w:hAnsi="Arial"/>
          <w:spacing w:val="-2"/>
          <w:sz w:val="22"/>
          <w:lang w:val="de-CH"/>
        </w:rPr>
        <w:t xml:space="preserve"> :</w:t>
      </w:r>
      <w:r>
        <w:rPr>
          <w:rFonts w:ascii="Arial" w:hAnsi="Arial"/>
          <w:spacing w:val="-2"/>
          <w:sz w:val="22"/>
          <w:lang w:val="de-CH"/>
        </w:rPr>
        <w:tab/>
      </w:r>
      <w:r w:rsidR="00796E7B" w:rsidRPr="00CF1E35">
        <w:rPr>
          <w:rFonts w:ascii="Arial" w:hAnsi="Arial"/>
          <w:spacing w:val="-2"/>
          <w:sz w:val="22"/>
          <w:lang w:val="de-CH"/>
        </w:rPr>
        <w:tab/>
      </w:r>
      <w:r w:rsidR="00796E7B" w:rsidRPr="00CF1E35">
        <w:rPr>
          <w:rFonts w:ascii="Arial" w:hAnsi="Arial"/>
          <w:spacing w:val="-2"/>
          <w:sz w:val="22"/>
          <w:lang w:val="de-CH"/>
        </w:rPr>
        <w:tab/>
      </w:r>
      <w:r>
        <w:rPr>
          <w:rFonts w:ascii="Arial" w:hAnsi="Arial"/>
          <w:spacing w:val="-2"/>
          <w:sz w:val="22"/>
          <w:lang w:val="de-CH"/>
        </w:rPr>
        <w:t>Der Ammann / Die Gemeindepräsidentin:</w:t>
      </w:r>
    </w:p>
    <w:p w:rsidR="00796E7B" w:rsidRPr="00CF1E35" w:rsidRDefault="00796E7B">
      <w:pPr>
        <w:jc w:val="both"/>
        <w:rPr>
          <w:rFonts w:ascii="Arial" w:hAnsi="Arial"/>
          <w:spacing w:val="-2"/>
          <w:sz w:val="22"/>
          <w:lang w:val="de-CH"/>
        </w:rPr>
      </w:pPr>
    </w:p>
    <w:p w:rsidR="00796E7B" w:rsidRPr="00CF1E35" w:rsidRDefault="00796E7B">
      <w:pPr>
        <w:jc w:val="both"/>
        <w:rPr>
          <w:rFonts w:ascii="Arial" w:hAnsi="Arial"/>
          <w:spacing w:val="-2"/>
          <w:sz w:val="22"/>
          <w:lang w:val="de-CH"/>
        </w:rPr>
      </w:pPr>
    </w:p>
    <w:p w:rsidR="00796E7B" w:rsidRPr="00CF1E35" w:rsidRDefault="00CF1E35">
      <w:pPr>
        <w:jc w:val="both"/>
        <w:rPr>
          <w:rFonts w:ascii="Arial" w:hAnsi="Arial"/>
          <w:spacing w:val="-2"/>
          <w:sz w:val="22"/>
          <w:lang w:val="de-CH"/>
        </w:rPr>
      </w:pPr>
      <w:r>
        <w:rPr>
          <w:rFonts w:ascii="Arial" w:hAnsi="Arial"/>
          <w:spacing w:val="-2"/>
          <w:sz w:val="22"/>
          <w:lang w:val="de-CH"/>
        </w:rPr>
        <w:t>Genehmigt</w:t>
      </w:r>
      <w:r w:rsidRPr="00CF1E35">
        <w:rPr>
          <w:rFonts w:ascii="Arial" w:hAnsi="Arial"/>
          <w:spacing w:val="-2"/>
          <w:sz w:val="22"/>
          <w:lang w:val="de-CH"/>
        </w:rPr>
        <w:t xml:space="preserve"> durch die Direktion der Institutionen un</w:t>
      </w:r>
      <w:r>
        <w:rPr>
          <w:rFonts w:ascii="Arial" w:hAnsi="Arial"/>
          <w:spacing w:val="-2"/>
          <w:sz w:val="22"/>
          <w:lang w:val="de-CH"/>
        </w:rPr>
        <w:t>d der Land- und Forstwirtschaft</w:t>
      </w:r>
    </w:p>
    <w:p w:rsidR="00796E7B" w:rsidRPr="00CF1E35" w:rsidRDefault="00796E7B">
      <w:pPr>
        <w:jc w:val="both"/>
        <w:rPr>
          <w:rFonts w:ascii="Arial" w:hAnsi="Arial"/>
          <w:spacing w:val="-2"/>
          <w:sz w:val="22"/>
          <w:lang w:val="de-CH"/>
        </w:rPr>
      </w:pPr>
    </w:p>
    <w:p w:rsidR="00796E7B" w:rsidRPr="00CF1E35" w:rsidRDefault="00796E7B">
      <w:pPr>
        <w:tabs>
          <w:tab w:val="left" w:pos="4820"/>
        </w:tabs>
        <w:jc w:val="center"/>
        <w:rPr>
          <w:rFonts w:ascii="Arial" w:hAnsi="Arial"/>
          <w:spacing w:val="-2"/>
          <w:sz w:val="22"/>
          <w:lang w:val="de-CH"/>
        </w:rPr>
      </w:pPr>
      <w:r w:rsidRPr="00CF1E35">
        <w:rPr>
          <w:rFonts w:ascii="Arial" w:hAnsi="Arial"/>
          <w:spacing w:val="-2"/>
          <w:sz w:val="22"/>
          <w:lang w:val="de-CH"/>
        </w:rPr>
        <w:tab/>
      </w:r>
      <w:r w:rsidR="00CF1E35" w:rsidRPr="00CF1E35">
        <w:rPr>
          <w:rFonts w:ascii="Arial" w:hAnsi="Arial"/>
          <w:spacing w:val="-2"/>
          <w:sz w:val="22"/>
          <w:lang w:val="de-CH"/>
        </w:rPr>
        <w:t>Der Direktionsvorsteher:</w:t>
      </w:r>
    </w:p>
    <w:p w:rsidR="00796E7B" w:rsidRPr="00CF1E35" w:rsidRDefault="00875F2E">
      <w:pPr>
        <w:tabs>
          <w:tab w:val="left" w:pos="4820"/>
        </w:tabs>
        <w:jc w:val="center"/>
        <w:rPr>
          <w:rFonts w:ascii="Arial" w:hAnsi="Arial"/>
          <w:spacing w:val="-2"/>
          <w:sz w:val="22"/>
          <w:lang w:val="de-CH"/>
        </w:rPr>
      </w:pPr>
      <w:r>
        <w:rPr>
          <w:rFonts w:ascii="Arial" w:hAnsi="Arial"/>
          <w:spacing w:val="-2"/>
          <w:sz w:val="22"/>
          <w:lang w:val="de-CH"/>
        </w:rPr>
        <w:tab/>
        <w:t>Didier Castella</w:t>
      </w:r>
      <w:r w:rsidR="00CF1E35">
        <w:rPr>
          <w:rFonts w:ascii="Arial" w:hAnsi="Arial"/>
          <w:spacing w:val="-2"/>
          <w:sz w:val="22"/>
          <w:lang w:val="de-CH"/>
        </w:rPr>
        <w:t>, Staatsrat</w:t>
      </w:r>
    </w:p>
    <w:p w:rsidR="00B62A82" w:rsidRPr="00CF1E35" w:rsidRDefault="00CF1E35">
      <w:pPr>
        <w:jc w:val="both"/>
        <w:rPr>
          <w:rFonts w:ascii="Arial" w:hAnsi="Arial"/>
          <w:spacing w:val="-2"/>
          <w:sz w:val="22"/>
          <w:lang w:val="de-CH"/>
        </w:rPr>
      </w:pPr>
      <w:r>
        <w:rPr>
          <w:rFonts w:ascii="Arial" w:hAnsi="Arial"/>
          <w:spacing w:val="-2"/>
          <w:sz w:val="22"/>
          <w:lang w:val="de-CH"/>
        </w:rPr>
        <w:t>Freiburg, den</w:t>
      </w:r>
    </w:p>
    <w:sectPr w:rsidR="00B62A82" w:rsidRPr="00CF1E35" w:rsidSect="00342322">
      <w:headerReference w:type="default" r:id="rId8"/>
      <w:endnotePr>
        <w:numFmt w:val="decimal"/>
      </w:endnotePr>
      <w:type w:val="continuous"/>
      <w:pgSz w:w="11906" w:h="16838"/>
      <w:pgMar w:top="1134" w:right="1134" w:bottom="1134" w:left="1700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32" w:rsidRDefault="00151232">
      <w:pPr>
        <w:spacing w:line="20" w:lineRule="exact"/>
        <w:rPr>
          <w:sz w:val="24"/>
        </w:rPr>
      </w:pPr>
    </w:p>
  </w:endnote>
  <w:endnote w:type="continuationSeparator" w:id="0">
    <w:p w:rsidR="00151232" w:rsidRDefault="00151232">
      <w:r>
        <w:rPr>
          <w:sz w:val="24"/>
        </w:rPr>
        <w:t xml:space="preserve"> </w:t>
      </w:r>
    </w:p>
  </w:endnote>
  <w:endnote w:type="continuationNotice" w:id="1">
    <w:p w:rsidR="00151232" w:rsidRDefault="0015123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32" w:rsidRDefault="00151232">
      <w:r>
        <w:rPr>
          <w:sz w:val="24"/>
        </w:rPr>
        <w:separator/>
      </w:r>
    </w:p>
  </w:footnote>
  <w:footnote w:type="continuationSeparator" w:id="0">
    <w:p w:rsidR="00151232" w:rsidRDefault="0015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35" w:rsidRDefault="00CF1E35">
    <w:pPr>
      <w:tabs>
        <w:tab w:val="center" w:pos="4253"/>
      </w:tabs>
      <w:jc w:val="both"/>
      <w:rPr>
        <w:spacing w:val="-2"/>
      </w:rPr>
    </w:pPr>
    <w:r>
      <w:rPr>
        <w:spacing w:val="-2"/>
      </w:rPr>
      <w:tab/>
    </w:r>
  </w:p>
  <w:p w:rsidR="00CF1E35" w:rsidRDefault="00CF1E35">
    <w:pPr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D0"/>
    <w:rsid w:val="000B11B3"/>
    <w:rsid w:val="00142C5D"/>
    <w:rsid w:val="0014525C"/>
    <w:rsid w:val="00151215"/>
    <w:rsid w:val="00151232"/>
    <w:rsid w:val="00156D45"/>
    <w:rsid w:val="00183FFF"/>
    <w:rsid w:val="00186AFC"/>
    <w:rsid w:val="001B71D5"/>
    <w:rsid w:val="001D05F7"/>
    <w:rsid w:val="002204D0"/>
    <w:rsid w:val="00244996"/>
    <w:rsid w:val="0027102E"/>
    <w:rsid w:val="002802DA"/>
    <w:rsid w:val="002B747C"/>
    <w:rsid w:val="00342322"/>
    <w:rsid w:val="003D1A4F"/>
    <w:rsid w:val="004108F0"/>
    <w:rsid w:val="00433155"/>
    <w:rsid w:val="00495B41"/>
    <w:rsid w:val="004D2D50"/>
    <w:rsid w:val="004D4D3C"/>
    <w:rsid w:val="004D5133"/>
    <w:rsid w:val="005C336D"/>
    <w:rsid w:val="005D1253"/>
    <w:rsid w:val="005D676F"/>
    <w:rsid w:val="005F2BAC"/>
    <w:rsid w:val="00622E3A"/>
    <w:rsid w:val="00627E97"/>
    <w:rsid w:val="006754C3"/>
    <w:rsid w:val="00696FD5"/>
    <w:rsid w:val="006D35D1"/>
    <w:rsid w:val="006E6CC5"/>
    <w:rsid w:val="006F7A09"/>
    <w:rsid w:val="00702094"/>
    <w:rsid w:val="00796E7B"/>
    <w:rsid w:val="007C03AB"/>
    <w:rsid w:val="007D5288"/>
    <w:rsid w:val="007D5E98"/>
    <w:rsid w:val="007E498D"/>
    <w:rsid w:val="007F471A"/>
    <w:rsid w:val="00867451"/>
    <w:rsid w:val="00875F2E"/>
    <w:rsid w:val="008C04BC"/>
    <w:rsid w:val="008F232D"/>
    <w:rsid w:val="00916DC3"/>
    <w:rsid w:val="00941A27"/>
    <w:rsid w:val="00963569"/>
    <w:rsid w:val="009D2BF9"/>
    <w:rsid w:val="00A12E5A"/>
    <w:rsid w:val="00A34942"/>
    <w:rsid w:val="00A52F97"/>
    <w:rsid w:val="00A66169"/>
    <w:rsid w:val="00A91B5C"/>
    <w:rsid w:val="00A93DFB"/>
    <w:rsid w:val="00A9719F"/>
    <w:rsid w:val="00AC4A85"/>
    <w:rsid w:val="00B05D87"/>
    <w:rsid w:val="00B62A82"/>
    <w:rsid w:val="00B71AE6"/>
    <w:rsid w:val="00BA5189"/>
    <w:rsid w:val="00BB0C24"/>
    <w:rsid w:val="00BE2BBD"/>
    <w:rsid w:val="00C16893"/>
    <w:rsid w:val="00C31C93"/>
    <w:rsid w:val="00C80626"/>
    <w:rsid w:val="00C90A70"/>
    <w:rsid w:val="00CF1E35"/>
    <w:rsid w:val="00CF7E65"/>
    <w:rsid w:val="00D327F2"/>
    <w:rsid w:val="00D45C34"/>
    <w:rsid w:val="00D62401"/>
    <w:rsid w:val="00D62B04"/>
    <w:rsid w:val="00D70293"/>
    <w:rsid w:val="00D95AB3"/>
    <w:rsid w:val="00E34912"/>
    <w:rsid w:val="00EC2334"/>
    <w:rsid w:val="00EE5460"/>
    <w:rsid w:val="00EF500A"/>
    <w:rsid w:val="00F33261"/>
    <w:rsid w:val="00F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2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342322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342322"/>
    <w:rPr>
      <w:sz w:val="24"/>
    </w:rPr>
  </w:style>
  <w:style w:type="character" w:customStyle="1" w:styleId="EquationCaption">
    <w:name w:val="_Equation Caption"/>
    <w:rsid w:val="00342322"/>
  </w:style>
  <w:style w:type="paragraph" w:styleId="Pieddepage">
    <w:name w:val="footer"/>
    <w:basedOn w:val="Normal"/>
    <w:link w:val="PieddepageCar"/>
    <w:uiPriority w:val="99"/>
    <w:rsid w:val="00342322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42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2BF9"/>
    <w:rPr>
      <w:rFonts w:ascii="Courier New" w:hAnsi="Courier New"/>
      <w:lang w:val="fr-FR" w:eastAsia="fr-FR"/>
    </w:rPr>
  </w:style>
  <w:style w:type="paragraph" w:styleId="Textedebulles">
    <w:name w:val="Balloon Text"/>
    <w:basedOn w:val="Normal"/>
    <w:link w:val="TextedebullesCar"/>
    <w:rsid w:val="00495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5B41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0B11B3"/>
    <w:rPr>
      <w:color w:val="0000FF"/>
      <w:u w:val="single"/>
    </w:rPr>
  </w:style>
  <w:style w:type="character" w:styleId="Lienhypertextesuivivisit">
    <w:name w:val="FollowedHyperlink"/>
    <w:basedOn w:val="Policepardfaut"/>
    <w:rsid w:val="00CF1E3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2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342322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342322"/>
    <w:rPr>
      <w:sz w:val="24"/>
    </w:rPr>
  </w:style>
  <w:style w:type="character" w:customStyle="1" w:styleId="EquationCaption">
    <w:name w:val="_Equation Caption"/>
    <w:rsid w:val="00342322"/>
  </w:style>
  <w:style w:type="paragraph" w:styleId="Pieddepage">
    <w:name w:val="footer"/>
    <w:basedOn w:val="Normal"/>
    <w:link w:val="PieddepageCar"/>
    <w:uiPriority w:val="99"/>
    <w:rsid w:val="00342322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42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2BF9"/>
    <w:rPr>
      <w:rFonts w:ascii="Courier New" w:hAnsi="Courier New"/>
      <w:lang w:val="fr-FR" w:eastAsia="fr-FR"/>
    </w:rPr>
  </w:style>
  <w:style w:type="paragraph" w:styleId="Textedebulles">
    <w:name w:val="Balloon Text"/>
    <w:basedOn w:val="Normal"/>
    <w:link w:val="TextedebullesCar"/>
    <w:rsid w:val="00495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5B41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0B11B3"/>
    <w:rPr>
      <w:color w:val="0000FF"/>
      <w:u w:val="single"/>
    </w:rPr>
  </w:style>
  <w:style w:type="character" w:styleId="Lienhypertextesuivivisit">
    <w:name w:val="FollowedHyperlink"/>
    <w:basedOn w:val="Policepardfaut"/>
    <w:rsid w:val="00CF1E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.ch/publ/files/pdf25/2007-11_208_messag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</vt:lpstr>
    </vt:vector>
  </TitlesOfParts>
  <Company>CIEF</Company>
  <LinksUpToDate>false</LinksUpToDate>
  <CharactersWithSpaces>1998</CharactersWithSpaces>
  <SharedDoc>false</SharedDoc>
  <HLinks>
    <vt:vector size="6" baseType="variant"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http://www.fr.ch/publ/files/pdf25/2007-11_208_message.pdf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</dc:title>
  <dc:creator>cief</dc:creator>
  <cp:lastModifiedBy>Privet Patricia</cp:lastModifiedBy>
  <cp:revision>2</cp:revision>
  <cp:lastPrinted>2010-08-20T06:55:00Z</cp:lastPrinted>
  <dcterms:created xsi:type="dcterms:W3CDTF">2018-09-26T11:30:00Z</dcterms:created>
  <dcterms:modified xsi:type="dcterms:W3CDTF">2018-09-26T11:30:00Z</dcterms:modified>
</cp:coreProperties>
</file>