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2268"/>
        <w:gridCol w:w="7370"/>
      </w:tblGrid>
      <w:tr w:rsidR="00796E7B">
        <w:tc>
          <w:tcPr>
            <w:tcW w:w="2268" w:type="dxa"/>
          </w:tcPr>
          <w:p w:rsidR="00796E7B" w:rsidRDefault="00796E7B">
            <w:pPr>
              <w:jc w:val="both"/>
              <w:rPr>
                <w:rFonts w:ascii="Arial" w:hAnsi="Arial"/>
                <w:spacing w:val="-2"/>
                <w:sz w:val="22"/>
              </w:rPr>
            </w:pPr>
            <w:bookmarkStart w:id="0" w:name="_GoBack"/>
            <w:bookmarkEnd w:id="0"/>
          </w:p>
        </w:tc>
        <w:tc>
          <w:tcPr>
            <w:tcW w:w="7370" w:type="dxa"/>
          </w:tcPr>
          <w:p w:rsidR="00796E7B" w:rsidRDefault="00796E7B">
            <w:pPr>
              <w:jc w:val="both"/>
              <w:rPr>
                <w:rFonts w:ascii="Arial" w:hAnsi="Arial"/>
                <w:b/>
                <w:spacing w:val="-2"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COMMUNE DE</w:t>
            </w:r>
          </w:p>
          <w:p w:rsidR="00796E7B" w:rsidRDefault="00796E7B">
            <w:pPr>
              <w:jc w:val="both"/>
              <w:rPr>
                <w:rFonts w:ascii="Arial" w:hAnsi="Arial"/>
                <w:b/>
                <w:spacing w:val="-2"/>
                <w:sz w:val="24"/>
              </w:rPr>
            </w:pPr>
          </w:p>
          <w:p w:rsidR="00796E7B" w:rsidRDefault="00796E7B" w:rsidP="00E34912">
            <w:pPr>
              <w:rPr>
                <w:rFonts w:ascii="Arial" w:hAnsi="Arial"/>
                <w:b/>
                <w:spacing w:val="-2"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 xml:space="preserve">REGLEMENT RELATIF </w:t>
            </w:r>
            <w:r w:rsidR="00E34912">
              <w:rPr>
                <w:rFonts w:ascii="Arial" w:hAnsi="Arial"/>
                <w:b/>
                <w:spacing w:val="-2"/>
                <w:sz w:val="24"/>
              </w:rPr>
              <w:t xml:space="preserve">AUX INCOMPATIBILITES </w:t>
            </w:r>
            <w:r w:rsidR="004D2D50">
              <w:rPr>
                <w:rFonts w:ascii="Arial" w:hAnsi="Arial"/>
                <w:b/>
                <w:spacing w:val="-2"/>
                <w:sz w:val="24"/>
              </w:rPr>
              <w:t xml:space="preserve">ENTRE UN EMPLOI COMMUNAL ET </w:t>
            </w:r>
            <w:r w:rsidR="0027102E">
              <w:rPr>
                <w:rFonts w:ascii="Arial" w:hAnsi="Arial"/>
                <w:b/>
                <w:spacing w:val="-2"/>
                <w:sz w:val="24"/>
              </w:rPr>
              <w:t>L'ACCES AUX AUTORITES COMMUNALES</w:t>
            </w:r>
          </w:p>
          <w:p w:rsidR="00796E7B" w:rsidRPr="007D5E98" w:rsidRDefault="00796E7B">
            <w:pPr>
              <w:jc w:val="both"/>
              <w:rPr>
                <w:rFonts w:ascii="Arial" w:hAnsi="Arial"/>
                <w:spacing w:val="-2"/>
                <w:sz w:val="24"/>
              </w:rPr>
            </w:pPr>
          </w:p>
          <w:p w:rsidR="00796E7B" w:rsidRDefault="00796E7B">
            <w:pPr>
              <w:jc w:val="both"/>
              <w:rPr>
                <w:rFonts w:ascii="Arial" w:hAnsi="Arial"/>
                <w:spacing w:val="-2"/>
                <w:sz w:val="22"/>
              </w:rPr>
            </w:pPr>
          </w:p>
          <w:p w:rsidR="00796E7B" w:rsidRDefault="00796E7B">
            <w:pPr>
              <w:jc w:val="both"/>
              <w:rPr>
                <w:rFonts w:ascii="Arial" w:hAnsi="Arial"/>
                <w:spacing w:val="-2"/>
                <w:sz w:val="22"/>
              </w:rPr>
            </w:pPr>
          </w:p>
          <w:p w:rsidR="00796E7B" w:rsidRDefault="00796E7B">
            <w:pPr>
              <w:jc w:val="both"/>
              <w:rPr>
                <w:rFonts w:ascii="Arial" w:hAnsi="Arial"/>
                <w:spacing w:val="-2"/>
                <w:sz w:val="22"/>
              </w:rPr>
            </w:pPr>
            <w:r>
              <w:rPr>
                <w:rFonts w:ascii="Arial" w:hAnsi="Arial"/>
                <w:spacing w:val="-2"/>
                <w:sz w:val="22"/>
              </w:rPr>
              <w:t>L'assemblée communale</w:t>
            </w:r>
          </w:p>
          <w:p w:rsidR="00796E7B" w:rsidRDefault="00796E7B">
            <w:pPr>
              <w:jc w:val="both"/>
              <w:rPr>
                <w:rFonts w:ascii="Arial" w:hAnsi="Arial"/>
                <w:spacing w:val="-2"/>
                <w:sz w:val="22"/>
              </w:rPr>
            </w:pPr>
          </w:p>
          <w:p w:rsidR="00796E7B" w:rsidRDefault="00796E7B">
            <w:pPr>
              <w:jc w:val="both"/>
              <w:rPr>
                <w:rFonts w:ascii="Arial" w:hAnsi="Arial"/>
                <w:spacing w:val="-2"/>
                <w:sz w:val="22"/>
              </w:rPr>
            </w:pPr>
          </w:p>
          <w:p w:rsidR="00796E7B" w:rsidRDefault="00796E7B">
            <w:pPr>
              <w:jc w:val="both"/>
              <w:rPr>
                <w:rFonts w:ascii="Arial" w:hAnsi="Arial"/>
                <w:spacing w:val="-2"/>
                <w:sz w:val="22"/>
              </w:rPr>
            </w:pPr>
            <w:r>
              <w:rPr>
                <w:rFonts w:ascii="Arial" w:hAnsi="Arial"/>
                <w:spacing w:val="-2"/>
                <w:sz w:val="22"/>
              </w:rPr>
              <w:t>Vu la loi du 25 septembre 1980 sur les communes (LCo)</w:t>
            </w:r>
            <w:r w:rsidR="009D2BF9">
              <w:rPr>
                <w:rFonts w:ascii="Arial" w:hAnsi="Arial"/>
                <w:spacing w:val="-2"/>
                <w:sz w:val="22"/>
              </w:rPr>
              <w:t xml:space="preserve"> (RSF 140.1)</w:t>
            </w:r>
            <w:r w:rsidR="00E34912">
              <w:rPr>
                <w:rFonts w:ascii="Arial" w:hAnsi="Arial"/>
                <w:spacing w:val="-2"/>
                <w:sz w:val="22"/>
              </w:rPr>
              <w:t xml:space="preserve">, en particulier </w:t>
            </w:r>
            <w:r w:rsidR="0027102E">
              <w:rPr>
                <w:rFonts w:ascii="Arial" w:hAnsi="Arial"/>
                <w:spacing w:val="-2"/>
                <w:sz w:val="22"/>
              </w:rPr>
              <w:t xml:space="preserve">ses </w:t>
            </w:r>
            <w:r w:rsidR="00E34912">
              <w:rPr>
                <w:rFonts w:ascii="Arial" w:hAnsi="Arial"/>
                <w:spacing w:val="-2"/>
                <w:sz w:val="22"/>
              </w:rPr>
              <w:t>article</w:t>
            </w:r>
            <w:r w:rsidR="0027102E">
              <w:rPr>
                <w:rFonts w:ascii="Arial" w:hAnsi="Arial"/>
                <w:spacing w:val="-2"/>
                <w:sz w:val="22"/>
              </w:rPr>
              <w:t>s</w:t>
            </w:r>
            <w:r w:rsidR="00E34912">
              <w:rPr>
                <w:rFonts w:ascii="Arial" w:hAnsi="Arial"/>
                <w:spacing w:val="-2"/>
                <w:sz w:val="22"/>
              </w:rPr>
              <w:t xml:space="preserve"> 28 al. 2 2</w:t>
            </w:r>
            <w:r w:rsidR="00E34912" w:rsidRPr="00E34912">
              <w:rPr>
                <w:rFonts w:ascii="Arial" w:hAnsi="Arial"/>
                <w:spacing w:val="-2"/>
                <w:sz w:val="22"/>
                <w:vertAlign w:val="superscript"/>
              </w:rPr>
              <w:t>ème</w:t>
            </w:r>
            <w:r w:rsidR="00E34912">
              <w:rPr>
                <w:rFonts w:ascii="Arial" w:hAnsi="Arial"/>
                <w:spacing w:val="-2"/>
                <w:sz w:val="22"/>
              </w:rPr>
              <w:t xml:space="preserve"> phr. </w:t>
            </w:r>
            <w:r w:rsidR="0027102E">
              <w:rPr>
                <w:rFonts w:ascii="Arial" w:hAnsi="Arial"/>
                <w:spacing w:val="-2"/>
                <w:sz w:val="22"/>
              </w:rPr>
              <w:t>et 55 al. 2 2</w:t>
            </w:r>
            <w:r w:rsidR="0027102E" w:rsidRPr="0027102E">
              <w:rPr>
                <w:rFonts w:ascii="Arial" w:hAnsi="Arial"/>
                <w:spacing w:val="-2"/>
                <w:sz w:val="22"/>
                <w:vertAlign w:val="superscript"/>
              </w:rPr>
              <w:t>ème</w:t>
            </w:r>
            <w:r w:rsidR="0027102E">
              <w:rPr>
                <w:rFonts w:ascii="Arial" w:hAnsi="Arial"/>
                <w:spacing w:val="-2"/>
                <w:sz w:val="22"/>
              </w:rPr>
              <w:t xml:space="preserve"> phr. dans leur</w:t>
            </w:r>
            <w:r w:rsidR="00E34912">
              <w:rPr>
                <w:rFonts w:ascii="Arial" w:hAnsi="Arial"/>
                <w:spacing w:val="-2"/>
                <w:sz w:val="22"/>
              </w:rPr>
              <w:t xml:space="preserve"> teneur adoptée par le Grand Conseil le 12 novembre 2010</w:t>
            </w:r>
          </w:p>
          <w:p w:rsidR="00796E7B" w:rsidRDefault="00796E7B">
            <w:pPr>
              <w:jc w:val="both"/>
              <w:rPr>
                <w:rFonts w:ascii="Arial" w:hAnsi="Arial"/>
                <w:spacing w:val="-2"/>
                <w:sz w:val="22"/>
              </w:rPr>
            </w:pPr>
          </w:p>
          <w:p w:rsidR="00796E7B" w:rsidRDefault="00796E7B">
            <w:pPr>
              <w:jc w:val="both"/>
              <w:rPr>
                <w:rFonts w:ascii="Arial" w:hAnsi="Arial"/>
                <w:spacing w:val="-2"/>
                <w:sz w:val="22"/>
              </w:rPr>
            </w:pPr>
          </w:p>
          <w:p w:rsidR="00796E7B" w:rsidRDefault="00796E7B">
            <w:pPr>
              <w:tabs>
                <w:tab w:val="left" w:pos="2835"/>
              </w:tabs>
              <w:jc w:val="right"/>
              <w:rPr>
                <w:rFonts w:ascii="Arial" w:hAnsi="Arial"/>
                <w:spacing w:val="-2"/>
                <w:sz w:val="22"/>
              </w:rPr>
            </w:pPr>
          </w:p>
          <w:p w:rsidR="00796E7B" w:rsidRDefault="00796E7B">
            <w:pPr>
              <w:tabs>
                <w:tab w:val="left" w:pos="2835"/>
              </w:tabs>
              <w:rPr>
                <w:rFonts w:ascii="Arial" w:hAnsi="Arial"/>
                <w:spacing w:val="-2"/>
                <w:sz w:val="22"/>
              </w:rPr>
            </w:pPr>
            <w:r>
              <w:rPr>
                <w:rFonts w:ascii="Arial" w:hAnsi="Arial"/>
                <w:i/>
                <w:spacing w:val="-2"/>
                <w:sz w:val="22"/>
              </w:rPr>
              <w:tab/>
              <w:t>édicte :</w:t>
            </w:r>
          </w:p>
          <w:p w:rsidR="00796E7B" w:rsidRDefault="00796E7B">
            <w:pPr>
              <w:jc w:val="both"/>
              <w:rPr>
                <w:rFonts w:ascii="Arial" w:hAnsi="Arial"/>
                <w:spacing w:val="-2"/>
                <w:sz w:val="22"/>
              </w:rPr>
            </w:pPr>
          </w:p>
          <w:p w:rsidR="00796E7B" w:rsidRDefault="00796E7B">
            <w:pPr>
              <w:jc w:val="both"/>
              <w:rPr>
                <w:rFonts w:ascii="Arial" w:hAnsi="Arial"/>
                <w:spacing w:val="-2"/>
                <w:sz w:val="22"/>
              </w:rPr>
            </w:pPr>
          </w:p>
        </w:tc>
      </w:tr>
      <w:tr w:rsidR="00796E7B">
        <w:tc>
          <w:tcPr>
            <w:tcW w:w="2268" w:type="dxa"/>
          </w:tcPr>
          <w:p w:rsidR="00796E7B" w:rsidRDefault="00796E7B">
            <w:pPr>
              <w:jc w:val="both"/>
              <w:rPr>
                <w:rFonts w:ascii="Arial" w:hAnsi="Arial"/>
                <w:spacing w:val="-2"/>
                <w:sz w:val="22"/>
              </w:rPr>
            </w:pPr>
          </w:p>
          <w:p w:rsidR="00796E7B" w:rsidRDefault="00796E7B">
            <w:pPr>
              <w:jc w:val="both"/>
              <w:rPr>
                <w:rFonts w:ascii="Arial" w:hAnsi="Arial"/>
                <w:spacing w:val="-2"/>
                <w:sz w:val="22"/>
              </w:rPr>
            </w:pPr>
          </w:p>
          <w:p w:rsidR="00796E7B" w:rsidRDefault="00796E7B">
            <w:pPr>
              <w:jc w:val="both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Champ</w:t>
            </w:r>
          </w:p>
          <w:p w:rsidR="00796E7B" w:rsidRDefault="00796E7B">
            <w:pPr>
              <w:jc w:val="both"/>
              <w:rPr>
                <w:rFonts w:ascii="Arial" w:hAnsi="Arial"/>
                <w:spacing w:val="-2"/>
                <w:sz w:val="22"/>
              </w:rPr>
            </w:pPr>
            <w:r>
              <w:rPr>
                <w:rFonts w:ascii="Arial" w:hAnsi="Arial"/>
                <w:spacing w:val="-2"/>
              </w:rPr>
              <w:t>d'application</w:t>
            </w:r>
          </w:p>
        </w:tc>
        <w:tc>
          <w:tcPr>
            <w:tcW w:w="7370" w:type="dxa"/>
          </w:tcPr>
          <w:p w:rsidR="00796E7B" w:rsidRDefault="00796E7B">
            <w:pPr>
              <w:jc w:val="both"/>
              <w:rPr>
                <w:rFonts w:ascii="Arial" w:hAnsi="Arial"/>
                <w:spacing w:val="-2"/>
                <w:sz w:val="22"/>
              </w:rPr>
            </w:pPr>
          </w:p>
          <w:p w:rsidR="00796E7B" w:rsidRDefault="00796E7B">
            <w:pPr>
              <w:tabs>
                <w:tab w:val="left" w:pos="1843"/>
              </w:tabs>
              <w:jc w:val="both"/>
              <w:rPr>
                <w:rFonts w:ascii="Arial" w:hAnsi="Arial"/>
                <w:spacing w:val="-2"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Article premier.-</w:t>
            </w:r>
            <w:r>
              <w:rPr>
                <w:rFonts w:ascii="Arial" w:hAnsi="Arial"/>
                <w:b/>
                <w:spacing w:val="-2"/>
                <w:sz w:val="22"/>
              </w:rPr>
              <w:tab/>
            </w:r>
            <w:r>
              <w:rPr>
                <w:rFonts w:ascii="Arial" w:hAnsi="Arial"/>
                <w:spacing w:val="-2"/>
                <w:sz w:val="22"/>
              </w:rPr>
              <w:t>Le présent règ</w:t>
            </w:r>
            <w:r w:rsidR="00E34912">
              <w:rPr>
                <w:rFonts w:ascii="Arial" w:hAnsi="Arial"/>
                <w:spacing w:val="-2"/>
                <w:sz w:val="22"/>
              </w:rPr>
              <w:t>lement fixe le taux d'activité maximal jusqu'auquel un employé communal ou une employée communale, hormis le secrétaire ou le caissier communa</w:t>
            </w:r>
            <w:r w:rsidR="008F232D">
              <w:rPr>
                <w:rFonts w:ascii="Arial" w:hAnsi="Arial"/>
                <w:spacing w:val="-2"/>
                <w:sz w:val="22"/>
              </w:rPr>
              <w:t>l</w:t>
            </w:r>
            <w:r w:rsidR="00E34912">
              <w:rPr>
                <w:rFonts w:ascii="Arial" w:hAnsi="Arial"/>
                <w:spacing w:val="-2"/>
                <w:sz w:val="22"/>
              </w:rPr>
              <w:t>, peuvent siéger au conseil général</w:t>
            </w:r>
            <w:r w:rsidR="00696FD5">
              <w:rPr>
                <w:rFonts w:ascii="Arial" w:hAnsi="Arial"/>
                <w:spacing w:val="-2"/>
                <w:sz w:val="22"/>
              </w:rPr>
              <w:t xml:space="preserve"> ou au conseil communal.</w:t>
            </w:r>
          </w:p>
          <w:p w:rsidR="00796E7B" w:rsidRDefault="00796E7B">
            <w:pPr>
              <w:tabs>
                <w:tab w:val="left" w:pos="1843"/>
              </w:tabs>
              <w:jc w:val="both"/>
              <w:rPr>
                <w:rFonts w:ascii="Arial" w:hAnsi="Arial"/>
                <w:spacing w:val="-2"/>
                <w:sz w:val="22"/>
              </w:rPr>
            </w:pPr>
          </w:p>
        </w:tc>
      </w:tr>
    </w:tbl>
    <w:p w:rsidR="00796E7B" w:rsidRDefault="00796E7B">
      <w:pPr>
        <w:jc w:val="both"/>
        <w:rPr>
          <w:rFonts w:ascii="Arial" w:hAnsi="Arial"/>
          <w:spacing w:val="-2"/>
          <w:sz w:val="22"/>
        </w:rPr>
      </w:pPr>
    </w:p>
    <w:tbl>
      <w:tblPr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2268"/>
        <w:gridCol w:w="7370"/>
      </w:tblGrid>
      <w:tr w:rsidR="00796E7B">
        <w:tc>
          <w:tcPr>
            <w:tcW w:w="2268" w:type="dxa"/>
          </w:tcPr>
          <w:p w:rsidR="00796E7B" w:rsidRDefault="00796E7B">
            <w:pPr>
              <w:jc w:val="both"/>
              <w:rPr>
                <w:rFonts w:ascii="Arial" w:hAnsi="Arial"/>
                <w:spacing w:val="-2"/>
              </w:rPr>
            </w:pPr>
          </w:p>
          <w:p w:rsidR="00796E7B" w:rsidRDefault="00E34912" w:rsidP="00E34912">
            <w:pPr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Taux d'activité maximal</w:t>
            </w:r>
          </w:p>
        </w:tc>
        <w:tc>
          <w:tcPr>
            <w:tcW w:w="7370" w:type="dxa"/>
          </w:tcPr>
          <w:p w:rsidR="00796E7B" w:rsidRDefault="00796E7B">
            <w:pPr>
              <w:jc w:val="both"/>
              <w:rPr>
                <w:rFonts w:ascii="Arial" w:hAnsi="Arial"/>
                <w:spacing w:val="-2"/>
                <w:sz w:val="22"/>
              </w:rPr>
            </w:pPr>
          </w:p>
          <w:p w:rsidR="00796E7B" w:rsidRDefault="00796E7B" w:rsidP="0018687B">
            <w:pPr>
              <w:tabs>
                <w:tab w:val="left" w:pos="993"/>
              </w:tabs>
              <w:jc w:val="both"/>
              <w:rPr>
                <w:rFonts w:ascii="Arial" w:hAnsi="Arial"/>
                <w:spacing w:val="-2"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Art. 2.-</w:t>
            </w:r>
            <w:r>
              <w:rPr>
                <w:rFonts w:ascii="Arial" w:hAnsi="Arial"/>
                <w:b/>
                <w:spacing w:val="-2"/>
                <w:sz w:val="22"/>
              </w:rPr>
              <w:tab/>
            </w:r>
            <w:r w:rsidR="00E34912" w:rsidRPr="004D2D50">
              <w:rPr>
                <w:rFonts w:ascii="Arial" w:hAnsi="Arial"/>
                <w:spacing w:val="-2"/>
                <w:sz w:val="22"/>
              </w:rPr>
              <w:t xml:space="preserve">Le </w:t>
            </w:r>
            <w:r w:rsidR="00E34912">
              <w:rPr>
                <w:rFonts w:ascii="Arial" w:hAnsi="Arial"/>
                <w:spacing w:val="-2"/>
                <w:sz w:val="22"/>
              </w:rPr>
              <w:t>taux d'activité maximal admis</w:t>
            </w:r>
            <w:r w:rsidR="008F232D">
              <w:rPr>
                <w:rFonts w:ascii="Arial" w:hAnsi="Arial"/>
                <w:spacing w:val="-2"/>
                <w:sz w:val="22"/>
              </w:rPr>
              <w:t>, au sens de l’article premier du présent règlement,</w:t>
            </w:r>
            <w:r w:rsidR="00E34912">
              <w:rPr>
                <w:rFonts w:ascii="Arial" w:hAnsi="Arial"/>
                <w:spacing w:val="-2"/>
                <w:sz w:val="22"/>
              </w:rPr>
              <w:t xml:space="preserve"> est de ….. %</w:t>
            </w:r>
            <w:r w:rsidR="008F232D">
              <w:rPr>
                <w:rFonts w:ascii="Arial" w:hAnsi="Arial"/>
                <w:spacing w:val="-2"/>
                <w:sz w:val="22"/>
              </w:rPr>
              <w:t xml:space="preserve">. </w:t>
            </w:r>
            <w:r w:rsidR="00696FD5">
              <w:rPr>
                <w:rFonts w:ascii="Arial" w:hAnsi="Arial"/>
                <w:spacing w:val="-2"/>
                <w:sz w:val="22"/>
              </w:rPr>
              <w:br/>
            </w:r>
            <w:r w:rsidR="00E34912" w:rsidRPr="00D45C34">
              <w:rPr>
                <w:rFonts w:ascii="Arial" w:hAnsi="Arial"/>
                <w:i/>
                <w:spacing w:val="-2"/>
                <w:sz w:val="18"/>
              </w:rPr>
              <w:t>[</w:t>
            </w:r>
            <w:r w:rsidR="000B11B3">
              <w:rPr>
                <w:rFonts w:ascii="Arial" w:hAnsi="Arial"/>
                <w:i/>
                <w:spacing w:val="-2"/>
                <w:sz w:val="18"/>
              </w:rPr>
              <w:t>C</w:t>
            </w:r>
            <w:r w:rsidR="00E34912" w:rsidRPr="00D45C34">
              <w:rPr>
                <w:rFonts w:ascii="Arial" w:hAnsi="Arial"/>
                <w:i/>
                <w:spacing w:val="-2"/>
                <w:sz w:val="18"/>
              </w:rPr>
              <w:t xml:space="preserve">ommentaire: </w:t>
            </w:r>
            <w:r w:rsidR="00902BBB">
              <w:rPr>
                <w:rFonts w:ascii="Arial" w:hAnsi="Arial"/>
                <w:i/>
                <w:spacing w:val="-2"/>
                <w:sz w:val="18"/>
              </w:rPr>
              <w:t>Si le taux fixé par la loi doit être modifié, il</w:t>
            </w:r>
            <w:r w:rsidR="00E34912" w:rsidRPr="00D45C34">
              <w:rPr>
                <w:rFonts w:ascii="Arial" w:hAnsi="Arial"/>
                <w:i/>
                <w:spacing w:val="-2"/>
                <w:sz w:val="18"/>
              </w:rPr>
              <w:t xml:space="preserve"> doit être inférieur à 50 %</w:t>
            </w:r>
            <w:r w:rsidR="00EF500A">
              <w:rPr>
                <w:rFonts w:ascii="Arial" w:hAnsi="Arial"/>
                <w:i/>
                <w:spacing w:val="-2"/>
                <w:sz w:val="18"/>
              </w:rPr>
              <w:t>.</w:t>
            </w:r>
            <w:r w:rsidR="00696FD5" w:rsidRPr="00D45C34"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 w:rsidR="00902BBB">
              <w:rPr>
                <w:rFonts w:ascii="Arial" w:hAnsi="Arial"/>
                <w:i/>
                <w:spacing w:val="-2"/>
                <w:sz w:val="18"/>
              </w:rPr>
              <w:t>Le taux maximal admis</w:t>
            </w:r>
            <w:r w:rsidR="00696FD5" w:rsidRPr="00D45C34">
              <w:rPr>
                <w:rFonts w:ascii="Arial" w:hAnsi="Arial"/>
                <w:i/>
                <w:spacing w:val="-2"/>
                <w:sz w:val="18"/>
              </w:rPr>
              <w:t xml:space="preserve"> pourrait être </w:t>
            </w:r>
            <w:r w:rsidR="00EF500A">
              <w:rPr>
                <w:rFonts w:ascii="Arial" w:hAnsi="Arial"/>
                <w:i/>
                <w:spacing w:val="-2"/>
                <w:sz w:val="18"/>
              </w:rPr>
              <w:t xml:space="preserve">fixé </w:t>
            </w:r>
            <w:r w:rsidR="00696FD5" w:rsidRPr="00D45C34">
              <w:rPr>
                <w:rFonts w:ascii="Arial" w:hAnsi="Arial"/>
                <w:i/>
                <w:spacing w:val="-2"/>
                <w:sz w:val="18"/>
              </w:rPr>
              <w:t>différe</w:t>
            </w:r>
            <w:r w:rsidR="00EF500A">
              <w:rPr>
                <w:rFonts w:ascii="Arial" w:hAnsi="Arial"/>
                <w:i/>
                <w:spacing w:val="-2"/>
                <w:sz w:val="18"/>
              </w:rPr>
              <w:t>mme</w:t>
            </w:r>
            <w:r w:rsidR="00696FD5" w:rsidRPr="00D45C34">
              <w:rPr>
                <w:rFonts w:ascii="Arial" w:hAnsi="Arial"/>
                <w:i/>
                <w:spacing w:val="-2"/>
                <w:sz w:val="18"/>
              </w:rPr>
              <w:t>nt pour le conseil général et pour le conseil communal, à condition de se situer, pour les deux cas de figure, en-dessous de 50 %</w:t>
            </w:r>
            <w:r w:rsidR="00EF500A">
              <w:rPr>
                <w:rFonts w:ascii="Arial" w:hAnsi="Arial"/>
                <w:i/>
                <w:spacing w:val="-2"/>
                <w:sz w:val="18"/>
              </w:rPr>
              <w:t xml:space="preserve">. Le Conseil d’Etat considère toutefois que </w:t>
            </w:r>
            <w:r w:rsidR="00D45C34" w:rsidRPr="00D45C34">
              <w:rPr>
                <w:rFonts w:ascii="Arial" w:hAnsi="Arial"/>
                <w:i/>
                <w:spacing w:val="-2"/>
                <w:sz w:val="18"/>
              </w:rPr>
              <w:t xml:space="preserve">de telles différences ne </w:t>
            </w:r>
            <w:r w:rsidR="00EF500A">
              <w:rPr>
                <w:rFonts w:ascii="Arial" w:hAnsi="Arial"/>
                <w:i/>
                <w:spacing w:val="-2"/>
                <w:sz w:val="18"/>
              </w:rPr>
              <w:t>sont</w:t>
            </w:r>
            <w:r w:rsidR="00EF500A" w:rsidRPr="00D45C34"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 w:rsidR="00D45C34" w:rsidRPr="00D45C34">
              <w:rPr>
                <w:rFonts w:ascii="Arial" w:hAnsi="Arial"/>
                <w:i/>
                <w:spacing w:val="-2"/>
                <w:sz w:val="18"/>
              </w:rPr>
              <w:t xml:space="preserve">pas </w:t>
            </w:r>
            <w:r w:rsidR="00EF500A">
              <w:rPr>
                <w:rFonts w:ascii="Arial" w:hAnsi="Arial"/>
                <w:i/>
                <w:spacing w:val="-2"/>
                <w:sz w:val="18"/>
              </w:rPr>
              <w:t>souhaitables</w:t>
            </w:r>
            <w:r w:rsidR="00EF500A" w:rsidRPr="00D45C34"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 w:rsidR="00EF500A">
              <w:rPr>
                <w:rFonts w:ascii="Arial" w:hAnsi="Arial"/>
                <w:i/>
                <w:spacing w:val="-2"/>
                <w:sz w:val="18"/>
              </w:rPr>
              <w:t>(</w:t>
            </w:r>
            <w:r w:rsidR="00D45C34" w:rsidRPr="00D45C34">
              <w:rPr>
                <w:rFonts w:ascii="Arial" w:hAnsi="Arial"/>
                <w:i/>
                <w:spacing w:val="-2"/>
                <w:sz w:val="18"/>
              </w:rPr>
              <w:t xml:space="preserve">cf. son </w:t>
            </w:r>
            <w:hyperlink r:id="rId7" w:history="1">
              <w:r w:rsidR="00D45C34" w:rsidRPr="00FA5E2C">
                <w:rPr>
                  <w:rStyle w:val="Lienhypertexte"/>
                  <w:rFonts w:ascii="Arial" w:hAnsi="Arial"/>
                  <w:i/>
                  <w:spacing w:val="-2"/>
                  <w:sz w:val="18"/>
                </w:rPr>
                <w:t>message</w:t>
              </w:r>
            </w:hyperlink>
            <w:r w:rsidR="00D45C34" w:rsidRPr="00D45C34">
              <w:rPr>
                <w:rFonts w:ascii="Arial" w:hAnsi="Arial"/>
                <w:i/>
                <w:spacing w:val="-2"/>
                <w:sz w:val="18"/>
              </w:rPr>
              <w:t xml:space="preserve"> no 208 </w:t>
            </w:r>
            <w:r w:rsidR="00D45C34">
              <w:rPr>
                <w:rFonts w:ascii="Arial" w:hAnsi="Arial"/>
                <w:i/>
                <w:spacing w:val="-2"/>
                <w:sz w:val="18"/>
              </w:rPr>
              <w:t>du 21</w:t>
            </w:r>
            <w:r w:rsidR="000B11B3"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 w:rsidR="00D45C34" w:rsidRPr="00D45C34">
              <w:rPr>
                <w:rFonts w:ascii="Arial" w:hAnsi="Arial"/>
                <w:i/>
                <w:spacing w:val="-2"/>
                <w:sz w:val="18"/>
              </w:rPr>
              <w:t>septembre 2010</w:t>
            </w:r>
            <w:r w:rsidR="000B11B3">
              <w:rPr>
                <w:rFonts w:ascii="Arial" w:hAnsi="Arial"/>
                <w:i/>
                <w:spacing w:val="-2"/>
                <w:sz w:val="18"/>
              </w:rPr>
              <w:t xml:space="preserve">, dernier § du </w:t>
            </w:r>
            <w:r w:rsidR="00922BDE">
              <w:rPr>
                <w:rFonts w:ascii="Arial" w:hAnsi="Arial"/>
                <w:i/>
                <w:spacing w:val="-2"/>
                <w:sz w:val="18"/>
              </w:rPr>
              <w:t>commentaire de l'article</w:t>
            </w:r>
            <w:r w:rsidR="000B11B3">
              <w:rPr>
                <w:rFonts w:ascii="Arial" w:hAnsi="Arial"/>
                <w:i/>
                <w:spacing w:val="-2"/>
                <w:sz w:val="18"/>
              </w:rPr>
              <w:t xml:space="preserve"> 28 al. 2</w:t>
            </w:r>
            <w:r w:rsidR="0018687B">
              <w:rPr>
                <w:rFonts w:ascii="Arial" w:hAnsi="Arial"/>
                <w:i/>
                <w:spacing w:val="-2"/>
                <w:sz w:val="18"/>
              </w:rPr>
              <w:t>)</w:t>
            </w:r>
            <w:r w:rsidR="00E34912" w:rsidRPr="00D45C34">
              <w:rPr>
                <w:rFonts w:ascii="Arial" w:hAnsi="Arial"/>
                <w:i/>
                <w:spacing w:val="-2"/>
                <w:sz w:val="18"/>
              </w:rPr>
              <w:t>]</w:t>
            </w:r>
            <w:r w:rsidR="00696FD5" w:rsidRPr="00D45C34">
              <w:rPr>
                <w:rFonts w:ascii="Arial" w:hAnsi="Arial"/>
                <w:i/>
                <w:spacing w:val="-2"/>
                <w:sz w:val="18"/>
              </w:rPr>
              <w:t>.</w:t>
            </w:r>
          </w:p>
        </w:tc>
      </w:tr>
    </w:tbl>
    <w:p w:rsidR="00796E7B" w:rsidRDefault="00796E7B">
      <w:pPr>
        <w:jc w:val="both"/>
        <w:rPr>
          <w:rFonts w:ascii="Arial" w:hAnsi="Arial"/>
          <w:spacing w:val="-2"/>
          <w:sz w:val="22"/>
        </w:rPr>
      </w:pPr>
    </w:p>
    <w:tbl>
      <w:tblPr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2268"/>
        <w:gridCol w:w="7370"/>
      </w:tblGrid>
      <w:tr w:rsidR="00796E7B">
        <w:tc>
          <w:tcPr>
            <w:tcW w:w="2268" w:type="dxa"/>
          </w:tcPr>
          <w:p w:rsidR="00796E7B" w:rsidRDefault="00796E7B">
            <w:pPr>
              <w:jc w:val="both"/>
              <w:rPr>
                <w:rFonts w:ascii="Arial" w:hAnsi="Arial"/>
                <w:spacing w:val="-2"/>
              </w:rPr>
            </w:pPr>
          </w:p>
          <w:p w:rsidR="00796E7B" w:rsidRDefault="00796E7B">
            <w:pPr>
              <w:jc w:val="both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 xml:space="preserve">Entrée en </w:t>
            </w:r>
          </w:p>
          <w:p w:rsidR="00796E7B" w:rsidRDefault="00796E7B">
            <w:pPr>
              <w:jc w:val="both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vigueur</w:t>
            </w:r>
          </w:p>
        </w:tc>
        <w:tc>
          <w:tcPr>
            <w:tcW w:w="7370" w:type="dxa"/>
          </w:tcPr>
          <w:p w:rsidR="00796E7B" w:rsidRDefault="00796E7B">
            <w:pPr>
              <w:jc w:val="both"/>
              <w:rPr>
                <w:rFonts w:ascii="Arial" w:hAnsi="Arial"/>
                <w:spacing w:val="-2"/>
                <w:sz w:val="22"/>
              </w:rPr>
            </w:pPr>
          </w:p>
          <w:p w:rsidR="00796E7B" w:rsidRDefault="00796E7B">
            <w:pPr>
              <w:tabs>
                <w:tab w:val="left" w:pos="993"/>
              </w:tabs>
              <w:jc w:val="both"/>
              <w:rPr>
                <w:rFonts w:ascii="Arial" w:hAnsi="Arial"/>
                <w:spacing w:val="-2"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Art. 3.-</w:t>
            </w:r>
            <w:r>
              <w:rPr>
                <w:rFonts w:ascii="Arial" w:hAnsi="Arial"/>
                <w:spacing w:val="-2"/>
                <w:sz w:val="22"/>
              </w:rPr>
              <w:t xml:space="preserve"> </w:t>
            </w:r>
            <w:r>
              <w:rPr>
                <w:rFonts w:ascii="Arial" w:hAnsi="Arial"/>
                <w:spacing w:val="-2"/>
                <w:sz w:val="22"/>
              </w:rPr>
              <w:tab/>
            </w:r>
            <w:r w:rsidR="004D2D50">
              <w:rPr>
                <w:rFonts w:ascii="Arial" w:hAnsi="Arial"/>
                <w:spacing w:val="-2"/>
                <w:sz w:val="22"/>
              </w:rPr>
              <w:t>Sous réserve de l'</w:t>
            </w:r>
            <w:r>
              <w:rPr>
                <w:rFonts w:ascii="Arial" w:hAnsi="Arial"/>
                <w:spacing w:val="-2"/>
                <w:sz w:val="22"/>
              </w:rPr>
              <w:t>approbation par l</w:t>
            </w:r>
            <w:r w:rsidR="002204D0">
              <w:rPr>
                <w:rFonts w:ascii="Arial" w:hAnsi="Arial"/>
                <w:spacing w:val="-2"/>
                <w:sz w:val="22"/>
              </w:rPr>
              <w:t xml:space="preserve">a Direction </w:t>
            </w:r>
            <w:r w:rsidR="00EE5460">
              <w:rPr>
                <w:rFonts w:ascii="Arial" w:hAnsi="Arial"/>
                <w:spacing w:val="-2"/>
                <w:sz w:val="22"/>
              </w:rPr>
              <w:t>des institutions, de l'agriculture et des forêt</w:t>
            </w:r>
            <w:r w:rsidR="004D2D50">
              <w:rPr>
                <w:rFonts w:ascii="Arial" w:hAnsi="Arial"/>
                <w:spacing w:val="-2"/>
                <w:sz w:val="22"/>
              </w:rPr>
              <w:t>s, le présent règlement entre en vigueur le 1</w:t>
            </w:r>
            <w:r w:rsidR="004D2D50" w:rsidRPr="004D2D50">
              <w:rPr>
                <w:rFonts w:ascii="Arial" w:hAnsi="Arial"/>
                <w:spacing w:val="-2"/>
                <w:sz w:val="22"/>
                <w:vertAlign w:val="superscript"/>
              </w:rPr>
              <w:t>er</w:t>
            </w:r>
            <w:r w:rsidR="004D2D50">
              <w:rPr>
                <w:rFonts w:ascii="Arial" w:hAnsi="Arial"/>
                <w:spacing w:val="-2"/>
                <w:sz w:val="22"/>
              </w:rPr>
              <w:t xml:space="preserve"> janvier 2011.</w:t>
            </w:r>
          </w:p>
          <w:p w:rsidR="00796E7B" w:rsidRDefault="00796E7B">
            <w:pPr>
              <w:jc w:val="both"/>
              <w:rPr>
                <w:rFonts w:ascii="Arial" w:hAnsi="Arial"/>
                <w:spacing w:val="-2"/>
                <w:sz w:val="22"/>
              </w:rPr>
            </w:pPr>
          </w:p>
        </w:tc>
      </w:tr>
    </w:tbl>
    <w:p w:rsidR="00796E7B" w:rsidRDefault="00796E7B">
      <w:pPr>
        <w:jc w:val="both"/>
        <w:rPr>
          <w:rFonts w:ascii="Arial" w:hAnsi="Arial"/>
          <w:spacing w:val="-2"/>
          <w:sz w:val="22"/>
        </w:rPr>
      </w:pPr>
    </w:p>
    <w:p w:rsidR="00796E7B" w:rsidRDefault="00796E7B">
      <w:pPr>
        <w:jc w:val="both"/>
        <w:rPr>
          <w:rFonts w:ascii="Arial" w:hAnsi="Arial"/>
          <w:spacing w:val="-2"/>
          <w:sz w:val="22"/>
        </w:rPr>
      </w:pPr>
    </w:p>
    <w:p w:rsidR="00796E7B" w:rsidRDefault="00796E7B">
      <w:pPr>
        <w:jc w:val="both"/>
        <w:rPr>
          <w:rFonts w:ascii="Arial" w:hAnsi="Arial"/>
          <w:spacing w:val="-2"/>
          <w:sz w:val="22"/>
        </w:rPr>
      </w:pPr>
      <w:r>
        <w:rPr>
          <w:rFonts w:ascii="Arial" w:hAnsi="Arial"/>
          <w:spacing w:val="-2"/>
          <w:sz w:val="22"/>
        </w:rPr>
        <w:t>Adopté par l'assemblée communale du</w:t>
      </w:r>
    </w:p>
    <w:p w:rsidR="00796E7B" w:rsidRDefault="00796E7B">
      <w:pPr>
        <w:jc w:val="both"/>
        <w:rPr>
          <w:rFonts w:ascii="Arial" w:hAnsi="Arial"/>
          <w:spacing w:val="-2"/>
          <w:sz w:val="22"/>
        </w:rPr>
      </w:pPr>
    </w:p>
    <w:p w:rsidR="00796E7B" w:rsidRDefault="00796E7B">
      <w:pPr>
        <w:jc w:val="both"/>
        <w:rPr>
          <w:rFonts w:ascii="Arial" w:hAnsi="Arial"/>
          <w:spacing w:val="-2"/>
          <w:sz w:val="22"/>
        </w:rPr>
      </w:pPr>
    </w:p>
    <w:p w:rsidR="00796E7B" w:rsidRDefault="00796E7B">
      <w:pPr>
        <w:jc w:val="both"/>
        <w:rPr>
          <w:rFonts w:ascii="Arial" w:hAnsi="Arial"/>
          <w:spacing w:val="-2"/>
          <w:sz w:val="22"/>
        </w:rPr>
      </w:pPr>
      <w:r>
        <w:rPr>
          <w:rFonts w:ascii="Arial" w:hAnsi="Arial"/>
          <w:spacing w:val="-2"/>
          <w:sz w:val="22"/>
        </w:rPr>
        <w:t>Le</w:t>
      </w:r>
      <w:r>
        <w:rPr>
          <w:rFonts w:ascii="Arial" w:hAnsi="Arial"/>
          <w:i/>
          <w:spacing w:val="-2"/>
          <w:sz w:val="22"/>
        </w:rPr>
        <w:t>(la)</w:t>
      </w:r>
      <w:r>
        <w:rPr>
          <w:rFonts w:ascii="Arial" w:hAnsi="Arial"/>
          <w:spacing w:val="-2"/>
          <w:sz w:val="22"/>
        </w:rPr>
        <w:t xml:space="preserve"> secrétaire :</w:t>
      </w:r>
      <w:r>
        <w:rPr>
          <w:rFonts w:ascii="Arial" w:hAnsi="Arial"/>
          <w:spacing w:val="-2"/>
          <w:sz w:val="22"/>
        </w:rPr>
        <w:tab/>
      </w:r>
      <w:r>
        <w:rPr>
          <w:rFonts w:ascii="Arial" w:hAnsi="Arial"/>
          <w:spacing w:val="-2"/>
          <w:sz w:val="22"/>
        </w:rPr>
        <w:tab/>
      </w:r>
      <w:r>
        <w:rPr>
          <w:rFonts w:ascii="Arial" w:hAnsi="Arial"/>
          <w:spacing w:val="-2"/>
          <w:sz w:val="22"/>
        </w:rPr>
        <w:tab/>
      </w:r>
      <w:r>
        <w:rPr>
          <w:rFonts w:ascii="Arial" w:hAnsi="Arial"/>
          <w:spacing w:val="-2"/>
          <w:sz w:val="22"/>
        </w:rPr>
        <w:tab/>
      </w:r>
      <w:r>
        <w:rPr>
          <w:rFonts w:ascii="Arial" w:hAnsi="Arial"/>
          <w:spacing w:val="-2"/>
          <w:sz w:val="22"/>
        </w:rPr>
        <w:tab/>
      </w:r>
      <w:r>
        <w:rPr>
          <w:rFonts w:ascii="Arial" w:hAnsi="Arial"/>
          <w:spacing w:val="-2"/>
          <w:sz w:val="22"/>
        </w:rPr>
        <w:tab/>
        <w:t xml:space="preserve">Le </w:t>
      </w:r>
      <w:r w:rsidR="002204D0" w:rsidRPr="002204D0">
        <w:rPr>
          <w:rFonts w:ascii="Arial" w:hAnsi="Arial"/>
          <w:i/>
          <w:spacing w:val="-2"/>
          <w:sz w:val="22"/>
        </w:rPr>
        <w:t>(la)</w:t>
      </w:r>
      <w:r w:rsidR="002204D0">
        <w:rPr>
          <w:rFonts w:ascii="Arial" w:hAnsi="Arial"/>
          <w:spacing w:val="-2"/>
          <w:sz w:val="22"/>
        </w:rPr>
        <w:t xml:space="preserve"> </w:t>
      </w:r>
      <w:r>
        <w:rPr>
          <w:rFonts w:ascii="Arial" w:hAnsi="Arial"/>
          <w:spacing w:val="-2"/>
          <w:sz w:val="22"/>
        </w:rPr>
        <w:t xml:space="preserve">syndic </w:t>
      </w:r>
      <w:r w:rsidR="002204D0" w:rsidRPr="002204D0">
        <w:rPr>
          <w:rFonts w:ascii="Arial" w:hAnsi="Arial"/>
          <w:i/>
          <w:spacing w:val="-2"/>
          <w:sz w:val="22"/>
        </w:rPr>
        <w:t>(syndique)</w:t>
      </w:r>
      <w:r>
        <w:rPr>
          <w:rFonts w:ascii="Arial" w:hAnsi="Arial"/>
          <w:spacing w:val="-2"/>
          <w:sz w:val="22"/>
        </w:rPr>
        <w:t>:</w:t>
      </w:r>
    </w:p>
    <w:p w:rsidR="00796E7B" w:rsidRDefault="00796E7B">
      <w:pPr>
        <w:jc w:val="both"/>
        <w:rPr>
          <w:rFonts w:ascii="Arial" w:hAnsi="Arial"/>
          <w:spacing w:val="-2"/>
          <w:sz w:val="22"/>
        </w:rPr>
      </w:pPr>
    </w:p>
    <w:p w:rsidR="00796E7B" w:rsidRDefault="00796E7B">
      <w:pPr>
        <w:jc w:val="both"/>
        <w:rPr>
          <w:rFonts w:ascii="Arial" w:hAnsi="Arial"/>
          <w:spacing w:val="-2"/>
          <w:sz w:val="22"/>
        </w:rPr>
      </w:pPr>
    </w:p>
    <w:p w:rsidR="00796E7B" w:rsidRDefault="00796E7B">
      <w:pPr>
        <w:jc w:val="both"/>
        <w:rPr>
          <w:rFonts w:ascii="Arial" w:hAnsi="Arial"/>
          <w:spacing w:val="-2"/>
          <w:sz w:val="22"/>
        </w:rPr>
      </w:pPr>
      <w:r>
        <w:rPr>
          <w:rFonts w:ascii="Arial" w:hAnsi="Arial"/>
          <w:spacing w:val="-2"/>
          <w:sz w:val="22"/>
        </w:rPr>
        <w:t>Approuvé par l</w:t>
      </w:r>
      <w:r w:rsidR="00C80626">
        <w:rPr>
          <w:rFonts w:ascii="Arial" w:hAnsi="Arial"/>
          <w:spacing w:val="-2"/>
          <w:sz w:val="22"/>
        </w:rPr>
        <w:t>a Direction des institutions, de l'agriculture et des forêts</w:t>
      </w:r>
    </w:p>
    <w:p w:rsidR="00796E7B" w:rsidRDefault="00796E7B">
      <w:pPr>
        <w:jc w:val="both"/>
        <w:rPr>
          <w:rFonts w:ascii="Arial" w:hAnsi="Arial"/>
          <w:spacing w:val="-2"/>
          <w:sz w:val="22"/>
        </w:rPr>
      </w:pPr>
    </w:p>
    <w:p w:rsidR="004D2307" w:rsidRDefault="004D2307">
      <w:pPr>
        <w:jc w:val="both"/>
        <w:rPr>
          <w:rFonts w:ascii="Arial" w:hAnsi="Arial"/>
          <w:spacing w:val="-2"/>
          <w:sz w:val="22"/>
        </w:rPr>
      </w:pPr>
    </w:p>
    <w:p w:rsidR="00796E7B" w:rsidRDefault="00796E7B">
      <w:pPr>
        <w:tabs>
          <w:tab w:val="left" w:pos="4820"/>
        </w:tabs>
        <w:jc w:val="center"/>
        <w:rPr>
          <w:rFonts w:ascii="Arial" w:hAnsi="Arial"/>
          <w:spacing w:val="-2"/>
          <w:sz w:val="22"/>
        </w:rPr>
      </w:pPr>
      <w:r>
        <w:rPr>
          <w:rFonts w:ascii="Arial" w:hAnsi="Arial"/>
          <w:spacing w:val="-2"/>
          <w:sz w:val="22"/>
        </w:rPr>
        <w:tab/>
      </w:r>
      <w:r w:rsidR="007D5E98">
        <w:rPr>
          <w:rFonts w:ascii="Arial" w:hAnsi="Arial"/>
          <w:spacing w:val="-2"/>
          <w:sz w:val="22"/>
        </w:rPr>
        <w:t>Le Conseiller d’Etat-Directeur</w:t>
      </w:r>
    </w:p>
    <w:p w:rsidR="00796E7B" w:rsidRDefault="007F563A">
      <w:pPr>
        <w:tabs>
          <w:tab w:val="left" w:pos="4820"/>
        </w:tabs>
        <w:jc w:val="center"/>
        <w:rPr>
          <w:rFonts w:ascii="Arial" w:hAnsi="Arial"/>
          <w:spacing w:val="-2"/>
          <w:sz w:val="22"/>
        </w:rPr>
      </w:pPr>
      <w:r>
        <w:rPr>
          <w:rFonts w:ascii="Arial" w:hAnsi="Arial"/>
          <w:spacing w:val="-2"/>
          <w:sz w:val="22"/>
        </w:rPr>
        <w:tab/>
        <w:t>Didier Castella</w:t>
      </w:r>
    </w:p>
    <w:p w:rsidR="00B62A82" w:rsidRDefault="00796E7B">
      <w:pPr>
        <w:jc w:val="both"/>
        <w:rPr>
          <w:rFonts w:ascii="Arial" w:hAnsi="Arial"/>
          <w:spacing w:val="-2"/>
          <w:sz w:val="22"/>
        </w:rPr>
      </w:pPr>
      <w:r>
        <w:rPr>
          <w:rFonts w:ascii="Arial" w:hAnsi="Arial"/>
          <w:spacing w:val="-2"/>
          <w:sz w:val="22"/>
        </w:rPr>
        <w:t>Fribourg, le</w:t>
      </w:r>
    </w:p>
    <w:sectPr w:rsidR="00B62A82" w:rsidSect="00342322">
      <w:headerReference w:type="default" r:id="rId8"/>
      <w:endnotePr>
        <w:numFmt w:val="decimal"/>
      </w:endnotePr>
      <w:type w:val="continuous"/>
      <w:pgSz w:w="11906" w:h="16838"/>
      <w:pgMar w:top="1134" w:right="1134" w:bottom="1134" w:left="1700" w:header="1134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745" w:rsidRDefault="00865745">
      <w:pPr>
        <w:spacing w:line="20" w:lineRule="exact"/>
        <w:rPr>
          <w:sz w:val="24"/>
        </w:rPr>
      </w:pPr>
    </w:p>
  </w:endnote>
  <w:endnote w:type="continuationSeparator" w:id="0">
    <w:p w:rsidR="00865745" w:rsidRDefault="00865745">
      <w:r>
        <w:rPr>
          <w:sz w:val="24"/>
        </w:rPr>
        <w:t xml:space="preserve"> </w:t>
      </w:r>
    </w:p>
  </w:endnote>
  <w:endnote w:type="continuationNotice" w:id="1">
    <w:p w:rsidR="00865745" w:rsidRDefault="00865745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745" w:rsidRDefault="00865745">
      <w:r>
        <w:rPr>
          <w:sz w:val="24"/>
        </w:rPr>
        <w:separator/>
      </w:r>
    </w:p>
  </w:footnote>
  <w:footnote w:type="continuationSeparator" w:id="0">
    <w:p w:rsidR="00865745" w:rsidRDefault="008657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912" w:rsidRDefault="00E34912">
    <w:pPr>
      <w:tabs>
        <w:tab w:val="center" w:pos="4253"/>
      </w:tabs>
      <w:jc w:val="both"/>
      <w:rPr>
        <w:spacing w:val="-2"/>
      </w:rPr>
    </w:pPr>
    <w:r>
      <w:rPr>
        <w:spacing w:val="-2"/>
      </w:rPr>
      <w:tab/>
    </w:r>
  </w:p>
  <w:p w:rsidR="00E34912" w:rsidRDefault="00E34912">
    <w:pPr>
      <w:spacing w:after="140" w:line="100" w:lineRule="exact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8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4D0"/>
    <w:rsid w:val="000B11B3"/>
    <w:rsid w:val="00142C5D"/>
    <w:rsid w:val="0014525C"/>
    <w:rsid w:val="00151215"/>
    <w:rsid w:val="00156D45"/>
    <w:rsid w:val="00183FFF"/>
    <w:rsid w:val="0018687B"/>
    <w:rsid w:val="00186AFC"/>
    <w:rsid w:val="001B71D5"/>
    <w:rsid w:val="001D05F7"/>
    <w:rsid w:val="002204D0"/>
    <w:rsid w:val="00244996"/>
    <w:rsid w:val="0027102E"/>
    <w:rsid w:val="002802DA"/>
    <w:rsid w:val="002D1EA8"/>
    <w:rsid w:val="002F0F9E"/>
    <w:rsid w:val="00342322"/>
    <w:rsid w:val="003D1A4F"/>
    <w:rsid w:val="004108F0"/>
    <w:rsid w:val="00433155"/>
    <w:rsid w:val="00476DB4"/>
    <w:rsid w:val="00495B41"/>
    <w:rsid w:val="004D2307"/>
    <w:rsid w:val="004D2D50"/>
    <w:rsid w:val="004D4D3C"/>
    <w:rsid w:val="004D5133"/>
    <w:rsid w:val="005C336D"/>
    <w:rsid w:val="005D1253"/>
    <w:rsid w:val="005D676F"/>
    <w:rsid w:val="005E5CA3"/>
    <w:rsid w:val="005F2BAC"/>
    <w:rsid w:val="00627E97"/>
    <w:rsid w:val="00693E31"/>
    <w:rsid w:val="00696FD5"/>
    <w:rsid w:val="006D35D1"/>
    <w:rsid w:val="006E6CC5"/>
    <w:rsid w:val="006F7A09"/>
    <w:rsid w:val="00702094"/>
    <w:rsid w:val="00796E7B"/>
    <w:rsid w:val="007C03AB"/>
    <w:rsid w:val="007D5288"/>
    <w:rsid w:val="007D5E98"/>
    <w:rsid w:val="007E498D"/>
    <w:rsid w:val="007F471A"/>
    <w:rsid w:val="007F563A"/>
    <w:rsid w:val="00865745"/>
    <w:rsid w:val="00867451"/>
    <w:rsid w:val="008F232D"/>
    <w:rsid w:val="00902BBB"/>
    <w:rsid w:val="00916DC3"/>
    <w:rsid w:val="00922BDE"/>
    <w:rsid w:val="00963569"/>
    <w:rsid w:val="009D2BF9"/>
    <w:rsid w:val="00A34942"/>
    <w:rsid w:val="00A52F97"/>
    <w:rsid w:val="00A66169"/>
    <w:rsid w:val="00A91B5C"/>
    <w:rsid w:val="00A93DFB"/>
    <w:rsid w:val="00A9719F"/>
    <w:rsid w:val="00AC4A85"/>
    <w:rsid w:val="00B62A82"/>
    <w:rsid w:val="00BB0C24"/>
    <w:rsid w:val="00BE2BBD"/>
    <w:rsid w:val="00C16893"/>
    <w:rsid w:val="00C31C93"/>
    <w:rsid w:val="00C4348D"/>
    <w:rsid w:val="00C80626"/>
    <w:rsid w:val="00C90A70"/>
    <w:rsid w:val="00CF7E65"/>
    <w:rsid w:val="00D327F2"/>
    <w:rsid w:val="00D45C34"/>
    <w:rsid w:val="00D62B04"/>
    <w:rsid w:val="00D70293"/>
    <w:rsid w:val="00D9265E"/>
    <w:rsid w:val="00D95AB3"/>
    <w:rsid w:val="00E34912"/>
    <w:rsid w:val="00EC2334"/>
    <w:rsid w:val="00EE5460"/>
    <w:rsid w:val="00EF500A"/>
    <w:rsid w:val="00F33261"/>
    <w:rsid w:val="00F73D26"/>
    <w:rsid w:val="00FA44E7"/>
    <w:rsid w:val="00FA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232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semiHidden/>
    <w:rsid w:val="00342322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M2">
    <w:name w:val="toc 2"/>
    <w:basedOn w:val="Normal"/>
    <w:next w:val="Normal"/>
    <w:semiHidden/>
    <w:rsid w:val="00342322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M3">
    <w:name w:val="toc 3"/>
    <w:basedOn w:val="Normal"/>
    <w:next w:val="Normal"/>
    <w:semiHidden/>
    <w:rsid w:val="00342322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M4">
    <w:name w:val="toc 4"/>
    <w:basedOn w:val="Normal"/>
    <w:next w:val="Normal"/>
    <w:semiHidden/>
    <w:rsid w:val="00342322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M5">
    <w:name w:val="toc 5"/>
    <w:basedOn w:val="Normal"/>
    <w:next w:val="Normal"/>
    <w:semiHidden/>
    <w:rsid w:val="00342322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M6">
    <w:name w:val="toc 6"/>
    <w:basedOn w:val="Normal"/>
    <w:next w:val="Normal"/>
    <w:semiHidden/>
    <w:rsid w:val="00342322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M7">
    <w:name w:val="toc 7"/>
    <w:basedOn w:val="Normal"/>
    <w:next w:val="Normal"/>
    <w:semiHidden/>
    <w:rsid w:val="00342322"/>
    <w:pPr>
      <w:suppressAutoHyphens/>
      <w:ind w:left="720" w:hanging="720"/>
    </w:pPr>
    <w:rPr>
      <w:lang w:val="en-US"/>
    </w:rPr>
  </w:style>
  <w:style w:type="paragraph" w:styleId="TM8">
    <w:name w:val="toc 8"/>
    <w:basedOn w:val="Normal"/>
    <w:next w:val="Normal"/>
    <w:semiHidden/>
    <w:rsid w:val="00342322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M9">
    <w:name w:val="toc 9"/>
    <w:basedOn w:val="Normal"/>
    <w:next w:val="Normal"/>
    <w:semiHidden/>
    <w:rsid w:val="00342322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rsid w:val="00342322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342322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itreTR">
    <w:name w:val="toa heading"/>
    <w:basedOn w:val="Normal"/>
    <w:next w:val="Normal"/>
    <w:semiHidden/>
    <w:rsid w:val="00342322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Lgende">
    <w:name w:val="caption"/>
    <w:basedOn w:val="Normal"/>
    <w:next w:val="Normal"/>
    <w:qFormat/>
    <w:rsid w:val="00342322"/>
    <w:rPr>
      <w:sz w:val="24"/>
    </w:rPr>
  </w:style>
  <w:style w:type="character" w:customStyle="1" w:styleId="EquationCaption">
    <w:name w:val="_Equation Caption"/>
    <w:rsid w:val="00342322"/>
  </w:style>
  <w:style w:type="paragraph" w:styleId="Pieddepage">
    <w:name w:val="footer"/>
    <w:basedOn w:val="Normal"/>
    <w:link w:val="PieddepageCar"/>
    <w:uiPriority w:val="99"/>
    <w:rsid w:val="00342322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rsid w:val="003423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D2BF9"/>
    <w:rPr>
      <w:rFonts w:ascii="Courier New" w:hAnsi="Courier New"/>
      <w:lang w:val="fr-FR" w:eastAsia="fr-FR"/>
    </w:rPr>
  </w:style>
  <w:style w:type="paragraph" w:styleId="Textedebulles">
    <w:name w:val="Balloon Text"/>
    <w:basedOn w:val="Normal"/>
    <w:link w:val="TextedebullesCar"/>
    <w:rsid w:val="00495B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95B41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rsid w:val="000B11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232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semiHidden/>
    <w:rsid w:val="00342322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M2">
    <w:name w:val="toc 2"/>
    <w:basedOn w:val="Normal"/>
    <w:next w:val="Normal"/>
    <w:semiHidden/>
    <w:rsid w:val="00342322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M3">
    <w:name w:val="toc 3"/>
    <w:basedOn w:val="Normal"/>
    <w:next w:val="Normal"/>
    <w:semiHidden/>
    <w:rsid w:val="00342322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M4">
    <w:name w:val="toc 4"/>
    <w:basedOn w:val="Normal"/>
    <w:next w:val="Normal"/>
    <w:semiHidden/>
    <w:rsid w:val="00342322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M5">
    <w:name w:val="toc 5"/>
    <w:basedOn w:val="Normal"/>
    <w:next w:val="Normal"/>
    <w:semiHidden/>
    <w:rsid w:val="00342322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M6">
    <w:name w:val="toc 6"/>
    <w:basedOn w:val="Normal"/>
    <w:next w:val="Normal"/>
    <w:semiHidden/>
    <w:rsid w:val="00342322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M7">
    <w:name w:val="toc 7"/>
    <w:basedOn w:val="Normal"/>
    <w:next w:val="Normal"/>
    <w:semiHidden/>
    <w:rsid w:val="00342322"/>
    <w:pPr>
      <w:suppressAutoHyphens/>
      <w:ind w:left="720" w:hanging="720"/>
    </w:pPr>
    <w:rPr>
      <w:lang w:val="en-US"/>
    </w:rPr>
  </w:style>
  <w:style w:type="paragraph" w:styleId="TM8">
    <w:name w:val="toc 8"/>
    <w:basedOn w:val="Normal"/>
    <w:next w:val="Normal"/>
    <w:semiHidden/>
    <w:rsid w:val="00342322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M9">
    <w:name w:val="toc 9"/>
    <w:basedOn w:val="Normal"/>
    <w:next w:val="Normal"/>
    <w:semiHidden/>
    <w:rsid w:val="00342322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rsid w:val="00342322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342322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itreTR">
    <w:name w:val="toa heading"/>
    <w:basedOn w:val="Normal"/>
    <w:next w:val="Normal"/>
    <w:semiHidden/>
    <w:rsid w:val="00342322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Lgende">
    <w:name w:val="caption"/>
    <w:basedOn w:val="Normal"/>
    <w:next w:val="Normal"/>
    <w:qFormat/>
    <w:rsid w:val="00342322"/>
    <w:rPr>
      <w:sz w:val="24"/>
    </w:rPr>
  </w:style>
  <w:style w:type="character" w:customStyle="1" w:styleId="EquationCaption">
    <w:name w:val="_Equation Caption"/>
    <w:rsid w:val="00342322"/>
  </w:style>
  <w:style w:type="paragraph" w:styleId="Pieddepage">
    <w:name w:val="footer"/>
    <w:basedOn w:val="Normal"/>
    <w:link w:val="PieddepageCar"/>
    <w:uiPriority w:val="99"/>
    <w:rsid w:val="00342322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rsid w:val="003423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D2BF9"/>
    <w:rPr>
      <w:rFonts w:ascii="Courier New" w:hAnsi="Courier New"/>
      <w:lang w:val="fr-FR" w:eastAsia="fr-FR"/>
    </w:rPr>
  </w:style>
  <w:style w:type="paragraph" w:styleId="Textedebulles">
    <w:name w:val="Balloon Text"/>
    <w:basedOn w:val="Normal"/>
    <w:link w:val="TextedebullesCar"/>
    <w:rsid w:val="00495B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95B41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rsid w:val="000B11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r.ch/publ/files/pdf25/2007-11_208_message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COMMUNE DE</vt:lpstr>
    </vt:vector>
  </TitlesOfParts>
  <Company>CIEF</Company>
  <LinksUpToDate>false</LinksUpToDate>
  <CharactersWithSpaces>1707</CharactersWithSpaces>
  <SharedDoc>false</SharedDoc>
  <HLinks>
    <vt:vector size="6" baseType="variant">
      <vt:variant>
        <vt:i4>5308499</vt:i4>
      </vt:variant>
      <vt:variant>
        <vt:i4>0</vt:i4>
      </vt:variant>
      <vt:variant>
        <vt:i4>0</vt:i4>
      </vt:variant>
      <vt:variant>
        <vt:i4>5</vt:i4>
      </vt:variant>
      <vt:variant>
        <vt:lpwstr>http://www.fr.ch/publ/files/pdf25/2007-11_208_message.pdf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DE</dc:title>
  <dc:creator>cief</dc:creator>
  <cp:lastModifiedBy>Privet Patricia</cp:lastModifiedBy>
  <cp:revision>2</cp:revision>
  <cp:lastPrinted>2010-08-20T06:55:00Z</cp:lastPrinted>
  <dcterms:created xsi:type="dcterms:W3CDTF">2018-09-26T11:30:00Z</dcterms:created>
  <dcterms:modified xsi:type="dcterms:W3CDTF">2018-09-26T11:30:00Z</dcterms:modified>
</cp:coreProperties>
</file>