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72" w:rsidRPr="005A38BF" w:rsidRDefault="005A3372" w:rsidP="005A3372">
      <w:pPr>
        <w:ind w:right="425"/>
        <w:jc w:val="center"/>
        <w:rPr>
          <w:rFonts w:ascii="Arial Narrow" w:hAnsi="Arial Narrow"/>
          <w:spacing w:val="-2"/>
          <w:sz w:val="24"/>
          <w:szCs w:val="24"/>
        </w:rPr>
      </w:pPr>
      <w:bookmarkStart w:id="0" w:name="_GoBack"/>
      <w:bookmarkEnd w:id="0"/>
      <w:r w:rsidRPr="005A38BF">
        <w:rPr>
          <w:rFonts w:ascii="Arial Narrow" w:hAnsi="Arial Narrow"/>
          <w:b/>
          <w:spacing w:val="-2"/>
          <w:sz w:val="24"/>
          <w:szCs w:val="24"/>
        </w:rPr>
        <w:t>CONVENTION INTERCOMMUNALE</w:t>
      </w:r>
    </w:p>
    <w:p w:rsidR="005A3372" w:rsidRPr="004755B8" w:rsidRDefault="005A3372" w:rsidP="005A3372">
      <w:pPr>
        <w:ind w:right="425"/>
        <w:jc w:val="both"/>
        <w:rPr>
          <w:rFonts w:ascii="Arial" w:hAnsi="Arial"/>
          <w:spacing w:val="-2"/>
          <w:sz w:val="24"/>
          <w:szCs w:val="24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center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entre</w:t>
      </w:r>
    </w:p>
    <w:p w:rsidR="005A3372" w:rsidRPr="005A38BF" w:rsidRDefault="005A3372" w:rsidP="00637FAB">
      <w:pPr>
        <w:ind w:right="425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637FAB">
      <w:pPr>
        <w:ind w:right="425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7822E6" w:rsidP="005A3372">
      <w:pPr>
        <w:ind w:right="425"/>
        <w:jc w:val="center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les communes de ……………..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7822E6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Vu la loi d</w:t>
      </w:r>
      <w:r w:rsidR="007822E6">
        <w:rPr>
          <w:rFonts w:ascii="Arial Narrow" w:hAnsi="Arial Narrow"/>
          <w:spacing w:val="-2"/>
          <w:sz w:val="22"/>
          <w:szCs w:val="22"/>
        </w:rPr>
        <w:t xml:space="preserve">u 16 novembre 1999 sur la santé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(la </w:t>
      </w:r>
      <w:r w:rsidR="00BA0883">
        <w:rPr>
          <w:rFonts w:ascii="Arial Narrow" w:hAnsi="Arial Narrow"/>
          <w:spacing w:val="-2"/>
          <w:sz w:val="22"/>
          <w:szCs w:val="22"/>
        </w:rPr>
        <w:t>loi sur la santé ; RSF 821.0.1) ;</w:t>
      </w:r>
    </w:p>
    <w:p w:rsidR="005A3372" w:rsidRPr="005A38BF" w:rsidRDefault="005A3372" w:rsidP="007822E6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Vu l'arrêté du 5 décembre 2000 sur les sépul</w:t>
      </w:r>
      <w:r w:rsidR="00BA0883">
        <w:rPr>
          <w:rFonts w:ascii="Arial Narrow" w:hAnsi="Arial Narrow"/>
          <w:spacing w:val="-2"/>
          <w:sz w:val="22"/>
          <w:szCs w:val="22"/>
        </w:rPr>
        <w:t>tures (l'arrêté ; RSF 821.5.11) ;</w:t>
      </w:r>
    </w:p>
    <w:p w:rsidR="005A3372" w:rsidRPr="005A38BF" w:rsidRDefault="005A3372" w:rsidP="007822E6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Vu la loi du 25 septembre 1980 sur le</w:t>
      </w:r>
      <w:r w:rsidR="00BA0883">
        <w:rPr>
          <w:rFonts w:ascii="Arial Narrow" w:hAnsi="Arial Narrow"/>
          <w:spacing w:val="-2"/>
          <w:sz w:val="22"/>
          <w:szCs w:val="22"/>
        </w:rPr>
        <w:t>s communes (LCo ; RSF 140.1) ;</w:t>
      </w:r>
    </w:p>
    <w:p w:rsidR="005A3372" w:rsidRPr="005A38BF" w:rsidRDefault="005A3372" w:rsidP="007822E6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Vu le règlement du 28 décembre 1981 d'exécution de la loi sur les communes (RELCo ; RSF 140.11),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BA0883" w:rsidP="00BA0883">
      <w:pPr>
        <w:ind w:right="425"/>
        <w:rPr>
          <w:rFonts w:ascii="Arial Narrow" w:hAnsi="Arial Narrow"/>
          <w:i/>
          <w:spacing w:val="-2"/>
          <w:sz w:val="22"/>
          <w:szCs w:val="22"/>
        </w:rPr>
      </w:pPr>
      <w:r>
        <w:rPr>
          <w:rFonts w:ascii="Arial Narrow" w:hAnsi="Arial Narrow"/>
          <w:i/>
          <w:spacing w:val="-2"/>
          <w:sz w:val="22"/>
          <w:szCs w:val="22"/>
        </w:rPr>
        <w:t>Conviennent :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BUT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tabs>
          <w:tab w:val="left" w:pos="1843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Article premier.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 Le but de cette convention est de régler les rapports entre les communes signataires relatifs aux questi</w:t>
      </w:r>
      <w:r w:rsidR="00244C9C">
        <w:rPr>
          <w:rFonts w:ascii="Arial Narrow" w:hAnsi="Arial Narrow"/>
          <w:spacing w:val="-2"/>
          <w:sz w:val="22"/>
          <w:szCs w:val="22"/>
        </w:rPr>
        <w:t>ons concernant le lieu d'inhuma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tion (cimetière public) sur le territoire de la commune de  </w:t>
      </w:r>
      <w:r w:rsidRPr="00244C9C">
        <w:rPr>
          <w:rFonts w:ascii="Arial Narrow" w:hAnsi="Arial Narrow"/>
          <w:spacing w:val="-2"/>
          <w:sz w:val="22"/>
          <w:szCs w:val="22"/>
        </w:rPr>
        <w:t xml:space="preserve">                   </w:t>
      </w:r>
      <w:r w:rsidRPr="005A38BF">
        <w:rPr>
          <w:rFonts w:ascii="Arial Narrow" w:hAnsi="Arial Narrow"/>
          <w:spacing w:val="-2"/>
          <w:sz w:val="22"/>
          <w:szCs w:val="22"/>
        </w:rPr>
        <w:t>notamment l'organisation, le statut des biens, leur utilisation, la répartition des frais ainsi que les modalités de résiliation.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ORGANISATION</w:t>
      </w: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E75EB8" w:rsidRDefault="00E75EB8" w:rsidP="005A3372">
      <w:pPr>
        <w:tabs>
          <w:tab w:val="left" w:pos="851"/>
        </w:tabs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>Art. 2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Les tâches d'organisation, de surveillance et de police du cimetière, telles que définies dans le règlement de cimetière de la commune du lieu de situation de celui-ci sont de la compétence du conseil communal de cette commune.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Le conseil communal peut nommer une commission du cimetière au sens de l'article 67 LCo. Dans ce cas, les articles 3 et 4 ci-dessous sont applicables.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E75EB8" w:rsidRDefault="00E75EB8" w:rsidP="005A3372">
      <w:pPr>
        <w:tabs>
          <w:tab w:val="left" w:pos="851"/>
        </w:tabs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>Art. 3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La commission du cimetière est composée de </w:t>
      </w:r>
      <w:r w:rsidRPr="00244C9C">
        <w:rPr>
          <w:rFonts w:ascii="Arial Narrow" w:hAnsi="Arial Narrow"/>
          <w:spacing w:val="-2"/>
          <w:sz w:val="22"/>
          <w:szCs w:val="22"/>
        </w:rPr>
        <w:t xml:space="preserve">        </w:t>
      </w:r>
      <w:r w:rsidRPr="005A38BF">
        <w:rPr>
          <w:rFonts w:ascii="Arial Narrow" w:hAnsi="Arial Narrow"/>
          <w:spacing w:val="-2"/>
          <w:sz w:val="22"/>
          <w:szCs w:val="22"/>
        </w:rPr>
        <w:t>membres, nommés par le conseil communal de la commune où se situe le cimetière.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La commission est présidée par un conseiller communal de la commune où se situe le cimetière.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3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Le secrétariat est assuré par le secrétariat communal de la commune où se situe le cimetière.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E75EB8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Art. 4</w:t>
      </w:r>
    </w:p>
    <w:p w:rsidR="005A3372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Les tâches de la commission d</w:t>
      </w:r>
      <w:r w:rsidR="00E75EB8">
        <w:rPr>
          <w:rFonts w:ascii="Arial Narrow" w:hAnsi="Arial Narrow"/>
          <w:spacing w:val="-2"/>
          <w:sz w:val="22"/>
          <w:szCs w:val="22"/>
        </w:rPr>
        <w:t>u cimetière sont les suivantes :</w:t>
      </w:r>
    </w:p>
    <w:p w:rsidR="00E75EB8" w:rsidRPr="005A38BF" w:rsidRDefault="00E75EB8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numPr>
          <w:ilvl w:val="0"/>
          <w:numId w:val="1"/>
        </w:numPr>
        <w:tabs>
          <w:tab w:val="clear" w:pos="284"/>
          <w:tab w:val="left" w:pos="426"/>
        </w:tabs>
        <w:ind w:left="0" w:right="-2" w:firstLine="0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administrer et surveiller le cimeti</w:t>
      </w:r>
      <w:r w:rsidR="00E75EB8">
        <w:rPr>
          <w:rFonts w:ascii="Arial Narrow" w:hAnsi="Arial Narrow"/>
          <w:spacing w:val="-2"/>
          <w:sz w:val="22"/>
          <w:szCs w:val="22"/>
        </w:rPr>
        <w:t>ère selon le règlement communal ;</w:t>
      </w:r>
    </w:p>
    <w:p w:rsidR="005A3372" w:rsidRPr="005A38BF" w:rsidRDefault="005A3372" w:rsidP="005A3372">
      <w:pPr>
        <w:numPr>
          <w:ilvl w:val="0"/>
          <w:numId w:val="1"/>
        </w:numPr>
        <w:tabs>
          <w:tab w:val="clear" w:pos="284"/>
          <w:tab w:val="left" w:pos="426"/>
        </w:tabs>
        <w:ind w:left="0" w:right="-2" w:firstLine="0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 xml:space="preserve">établir des propositions d'entretien et d'amélioration ainsi que le budget y relatif, qu'elle communique à chaque commune </w:t>
      </w:r>
      <w:r>
        <w:rPr>
          <w:rFonts w:ascii="Arial Narrow" w:hAnsi="Arial Narrow"/>
          <w:spacing w:val="-2"/>
          <w:sz w:val="22"/>
          <w:szCs w:val="22"/>
        </w:rPr>
        <w:tab/>
      </w:r>
      <w:r w:rsidRPr="005A38BF">
        <w:rPr>
          <w:rFonts w:ascii="Arial Narrow" w:hAnsi="Arial Narrow"/>
          <w:spacing w:val="-2"/>
          <w:sz w:val="22"/>
          <w:szCs w:val="22"/>
        </w:rPr>
        <w:t>ainsi que, le cas échéant, à la paro</w:t>
      </w:r>
      <w:r w:rsidR="00E75EB8">
        <w:rPr>
          <w:rFonts w:ascii="Arial Narrow" w:hAnsi="Arial Narrow"/>
          <w:spacing w:val="-2"/>
          <w:sz w:val="22"/>
          <w:szCs w:val="22"/>
        </w:rPr>
        <w:t>isse, avant le mois de novembre ;</w:t>
      </w:r>
    </w:p>
    <w:p w:rsidR="005A3372" w:rsidRPr="005A38BF" w:rsidRDefault="005A3372" w:rsidP="005A3372">
      <w:pPr>
        <w:numPr>
          <w:ilvl w:val="0"/>
          <w:numId w:val="1"/>
        </w:numPr>
        <w:tabs>
          <w:tab w:val="clear" w:pos="284"/>
          <w:tab w:val="left" w:pos="426"/>
        </w:tabs>
        <w:ind w:left="0" w:right="-2" w:firstLine="0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préparer le décompte des dépenses à soumettre à chaque commune pour la répartition annuelle.</w:t>
      </w:r>
    </w:p>
    <w:p w:rsidR="005A3372" w:rsidRDefault="005A3372" w:rsidP="005A3372">
      <w:pPr>
        <w:spacing w:before="120"/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spacing w:before="120"/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C55FF3" w:rsidRDefault="00C55FF3" w:rsidP="005A3372">
      <w:pPr>
        <w:spacing w:before="120"/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C55FF3" w:rsidRPr="005A38BF" w:rsidRDefault="00C55FF3" w:rsidP="005A3372">
      <w:pPr>
        <w:spacing w:before="120"/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spacing w:before="120"/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REPARTITION DES FRAIS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E75EB8" w:rsidRDefault="00E75EB8" w:rsidP="005A3372">
      <w:pPr>
        <w:tabs>
          <w:tab w:val="left" w:pos="851"/>
        </w:tabs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>Art. 5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 xml:space="preserve">Les dépenses d'acquisition d'un nouveau terrain ou l'agrandissement du cimetière sont prises en charge par </w:t>
      </w:r>
      <w:r w:rsidRPr="00244C9C">
        <w:rPr>
          <w:rFonts w:ascii="Arial Narrow" w:hAnsi="Arial Narrow"/>
          <w:spacing w:val="-2"/>
          <w:sz w:val="22"/>
          <w:szCs w:val="22"/>
        </w:rPr>
        <w:t xml:space="preserve">        </w:t>
      </w:r>
      <w:r w:rsidRPr="005A38BF">
        <w:rPr>
          <w:rFonts w:ascii="Arial Narrow" w:hAnsi="Arial Narrow"/>
          <w:spacing w:val="-2"/>
          <w:sz w:val="22"/>
          <w:szCs w:val="22"/>
        </w:rPr>
        <w:t>.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E75EB8" w:rsidRDefault="00E75EB8" w:rsidP="005A3372">
      <w:pPr>
        <w:tabs>
          <w:tab w:val="left" w:pos="851"/>
        </w:tabs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>Art. 6</w:t>
      </w:r>
    </w:p>
    <w:p w:rsidR="00E75EB8" w:rsidRPr="005A38BF" w:rsidRDefault="005A3372" w:rsidP="00E75EB8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Les frais d'entretien de tombes de défunts qui ont eu leur dernier domicile dans une commune signatair</w:t>
      </w:r>
      <w:r w:rsidR="009E2E93">
        <w:rPr>
          <w:rFonts w:ascii="Arial Narrow" w:hAnsi="Arial Narrow"/>
          <w:spacing w:val="-2"/>
          <w:sz w:val="22"/>
          <w:szCs w:val="22"/>
        </w:rPr>
        <w:t>e mais qui n'ont plus de succes</w:t>
      </w:r>
      <w:r w:rsidRPr="005A38BF">
        <w:rPr>
          <w:rFonts w:ascii="Arial Narrow" w:hAnsi="Arial Narrow"/>
          <w:spacing w:val="-2"/>
          <w:sz w:val="22"/>
          <w:szCs w:val="22"/>
        </w:rPr>
        <w:t>sion, inco</w:t>
      </w:r>
      <w:r w:rsidR="00E75EB8">
        <w:rPr>
          <w:rFonts w:ascii="Arial Narrow" w:hAnsi="Arial Narrow"/>
          <w:spacing w:val="-2"/>
          <w:sz w:val="22"/>
          <w:szCs w:val="22"/>
        </w:rPr>
        <w:t>mbent à la commune de domicile.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Tous les autres frais, tels que les frais de fonctionnement, d'entretien des murs ou les frais de désaffectation, sont répartis annuellement entre les communes de </w:t>
      </w:r>
      <w:r w:rsidRPr="009E2E93">
        <w:rPr>
          <w:rFonts w:ascii="Arial Narrow" w:hAnsi="Arial Narrow"/>
          <w:spacing w:val="-2"/>
          <w:sz w:val="22"/>
          <w:szCs w:val="22"/>
        </w:rPr>
        <w:t xml:space="preserve">                               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 au prorata de la population légale, selon le dernier recensement disponible.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3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Les taxes d'entrée, perçues par la commune de </w:t>
      </w:r>
      <w:r w:rsidRPr="009E2E93">
        <w:rPr>
          <w:rFonts w:ascii="Arial Narrow" w:hAnsi="Arial Narrow"/>
          <w:spacing w:val="-2"/>
          <w:sz w:val="22"/>
          <w:szCs w:val="22"/>
        </w:rPr>
        <w:t xml:space="preserve">                   </w:t>
      </w:r>
      <w:r w:rsidRPr="005A38BF">
        <w:rPr>
          <w:rFonts w:ascii="Arial Narrow" w:hAnsi="Arial Narrow"/>
          <w:spacing w:val="-2"/>
          <w:sz w:val="22"/>
          <w:szCs w:val="22"/>
        </w:rPr>
        <w:t>sont déduites des dépenses mentionnée</w:t>
      </w:r>
      <w:r w:rsidR="009E2E93">
        <w:rPr>
          <w:rFonts w:ascii="Arial Narrow" w:hAnsi="Arial Narrow"/>
          <w:spacing w:val="-2"/>
          <w:sz w:val="22"/>
          <w:szCs w:val="22"/>
        </w:rPr>
        <w:t>s à l'alinéa 2 avant la réparti</w:t>
      </w:r>
      <w:r w:rsidRPr="005A38BF">
        <w:rPr>
          <w:rFonts w:ascii="Arial Narrow" w:hAnsi="Arial Narrow"/>
          <w:spacing w:val="-2"/>
          <w:sz w:val="22"/>
          <w:szCs w:val="22"/>
        </w:rPr>
        <w:t>tion.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4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Si, pour un exercice annuel le produit des taxes dépasse les frais de fonctionnement, il n'y a pas de répartition intercommunale; le solde des recettes est porté en provision au bilan de la commune de </w:t>
      </w:r>
      <w:r w:rsidRPr="009E2E93">
        <w:rPr>
          <w:rFonts w:ascii="Arial Narrow" w:hAnsi="Arial Narrow"/>
          <w:spacing w:val="-2"/>
          <w:sz w:val="22"/>
          <w:szCs w:val="22"/>
        </w:rPr>
        <w:t xml:space="preserve">                 </w:t>
      </w:r>
      <w:r w:rsidRPr="005A38BF">
        <w:rPr>
          <w:rFonts w:ascii="Arial Narrow" w:hAnsi="Arial Narrow"/>
          <w:spacing w:val="-2"/>
          <w:sz w:val="22"/>
          <w:szCs w:val="22"/>
        </w:rPr>
        <w:t>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5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Les dépenses et recettes figurent dans les comptes de la commune de  </w:t>
      </w:r>
      <w:r w:rsidRPr="009E2E93">
        <w:rPr>
          <w:rFonts w:ascii="Arial Narrow" w:hAnsi="Arial Narrow"/>
          <w:spacing w:val="-2"/>
          <w:sz w:val="22"/>
          <w:szCs w:val="22"/>
        </w:rPr>
        <w:t xml:space="preserve">                     </w:t>
      </w:r>
      <w:r w:rsidRPr="005A38BF">
        <w:rPr>
          <w:rFonts w:ascii="Arial Narrow" w:hAnsi="Arial Narrow"/>
          <w:spacing w:val="-2"/>
          <w:sz w:val="22"/>
          <w:szCs w:val="22"/>
        </w:rPr>
        <w:t>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6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La commune </w:t>
      </w:r>
      <w:r w:rsidRPr="009E2E93">
        <w:rPr>
          <w:rFonts w:ascii="Arial Narrow" w:hAnsi="Arial Narrow"/>
          <w:spacing w:val="-2"/>
          <w:sz w:val="22"/>
          <w:szCs w:val="22"/>
        </w:rPr>
        <w:t>de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 </w:t>
      </w:r>
      <w:r w:rsidRPr="009E2E93">
        <w:rPr>
          <w:rFonts w:ascii="Arial Narrow" w:hAnsi="Arial Narrow"/>
          <w:spacing w:val="-2"/>
          <w:sz w:val="22"/>
          <w:szCs w:val="22"/>
        </w:rPr>
        <w:t xml:space="preserve">                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 rembourse sa participation dans les 30 jours qui suivent l'envoi du décompte annuel. Elle a accès aux pièces justificatives des recettes et des dépenses prises en compte.</w:t>
      </w: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STATUT DES BIENS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>
        <w:rPr>
          <w:rFonts w:ascii="Arial Narrow" w:hAnsi="Arial Narrow"/>
          <w:b/>
          <w:spacing w:val="-2"/>
          <w:sz w:val="22"/>
          <w:szCs w:val="22"/>
        </w:rPr>
        <w:t>Art. 7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 xml:space="preserve">Les fonds sur lesquels est établi le cimetière appartiennent à </w:t>
      </w:r>
      <w:r w:rsidRPr="009C5652">
        <w:rPr>
          <w:rFonts w:ascii="Arial Narrow" w:hAnsi="Arial Narrow"/>
          <w:spacing w:val="-2"/>
          <w:sz w:val="22"/>
          <w:szCs w:val="22"/>
        </w:rPr>
        <w:t xml:space="preserve">                  </w:t>
      </w:r>
      <w:r w:rsidRPr="005A38BF">
        <w:rPr>
          <w:rFonts w:ascii="Arial Narrow" w:hAnsi="Arial Narrow"/>
          <w:spacing w:val="-2"/>
          <w:sz w:val="22"/>
          <w:szCs w:val="22"/>
        </w:rPr>
        <w:t>.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DUREE DE LA CONVENTION ET MODALITE DE RESILIATION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Art. 8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La présente convention est conclue pour une durée de 10 ans. A l'échéance elle est reconduite tacitement pour des périodes de 2 ans.</w:t>
      </w:r>
    </w:p>
    <w:p w:rsidR="005A3372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La résiliation peut se faire par écrit *</w:t>
      </w:r>
      <w:r w:rsidR="009C5652">
        <w:rPr>
          <w:rFonts w:ascii="Arial Narrow" w:hAnsi="Arial Narrow"/>
          <w:spacing w:val="-2"/>
          <w:sz w:val="22"/>
          <w:szCs w:val="22"/>
        </w:rPr>
        <w:t xml:space="preserve">                           </w:t>
      </w:r>
      <w:r w:rsidRPr="005A38BF">
        <w:rPr>
          <w:rFonts w:ascii="Arial Narrow" w:hAnsi="Arial Narrow"/>
          <w:spacing w:val="-2"/>
          <w:sz w:val="22"/>
          <w:szCs w:val="22"/>
        </w:rPr>
        <w:t xml:space="preserve"> (*indiquer le délai de résiliation) avant la fin d'une période, pour la fin de la période suivante</w:t>
      </w:r>
      <w:r w:rsidR="009C5652">
        <w:rPr>
          <w:rFonts w:ascii="Arial Narrow" w:hAnsi="Arial Narrow"/>
          <w:spacing w:val="-2"/>
          <w:sz w:val="22"/>
          <w:szCs w:val="22"/>
        </w:rPr>
        <w:t> :</w:t>
      </w:r>
    </w:p>
    <w:p w:rsidR="000E2883" w:rsidRPr="005A38BF" w:rsidRDefault="000E2883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0E2883">
      <w:pPr>
        <w:numPr>
          <w:ilvl w:val="0"/>
          <w:numId w:val="2"/>
        </w:numPr>
        <w:tabs>
          <w:tab w:val="left" w:pos="284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 xml:space="preserve">pour autant que le but de la </w:t>
      </w:r>
      <w:r w:rsidR="00560B85">
        <w:rPr>
          <w:rFonts w:ascii="Arial Narrow" w:hAnsi="Arial Narrow"/>
          <w:spacing w:val="-2"/>
          <w:sz w:val="22"/>
          <w:szCs w:val="22"/>
        </w:rPr>
        <w:t>convention ne soit plus atteint</w:t>
      </w:r>
    </w:p>
    <w:p w:rsidR="005A3372" w:rsidRDefault="005A3372" w:rsidP="000E2883">
      <w:pPr>
        <w:numPr>
          <w:ilvl w:val="0"/>
          <w:numId w:val="2"/>
        </w:numPr>
        <w:tabs>
          <w:tab w:val="left" w:pos="284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</w:rPr>
        <w:t>ou qu'une commune veuille organiser, sans préjudice pour l'autre, so</w:t>
      </w:r>
      <w:r w:rsidR="00560B85">
        <w:rPr>
          <w:rFonts w:ascii="Arial Narrow" w:hAnsi="Arial Narrow"/>
          <w:spacing w:val="-2"/>
          <w:sz w:val="22"/>
          <w:szCs w:val="22"/>
        </w:rPr>
        <w:t>n propre cimetière</w:t>
      </w:r>
    </w:p>
    <w:p w:rsidR="000E2883" w:rsidRPr="005A38BF" w:rsidRDefault="000E2883" w:rsidP="005A3372">
      <w:pPr>
        <w:tabs>
          <w:tab w:val="left" w:pos="284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3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Dans ce cas, les travaux de réfection doivent être entrepris sans retard et les frais répartis selon les modalités prévues à l'article 6.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4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Les dispositions de la loi sur la santé ainsi que de l'arrêté sont réservées.</w:t>
      </w: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DISPOSITIONS FINALES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5A38BF">
        <w:rPr>
          <w:rFonts w:ascii="Arial Narrow" w:hAnsi="Arial Narrow"/>
          <w:b/>
          <w:spacing w:val="-2"/>
          <w:sz w:val="22"/>
          <w:szCs w:val="22"/>
        </w:rPr>
        <w:t>Art. 9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1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La présente convention entre en vigueur dès son approbation par les conseils communaux.</w:t>
      </w:r>
    </w:p>
    <w:p w:rsidR="005A3372" w:rsidRPr="005A38BF" w:rsidRDefault="005A3372" w:rsidP="005A3372">
      <w:pPr>
        <w:tabs>
          <w:tab w:val="left" w:pos="851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 w:rsidRPr="005A38BF">
        <w:rPr>
          <w:rFonts w:ascii="Arial Narrow" w:hAnsi="Arial Narrow"/>
          <w:spacing w:val="-2"/>
          <w:sz w:val="22"/>
          <w:szCs w:val="22"/>
          <w:vertAlign w:val="superscript"/>
        </w:rPr>
        <w:t>2</w:t>
      </w:r>
      <w:r>
        <w:rPr>
          <w:rFonts w:ascii="Arial Narrow" w:hAnsi="Arial Narrow"/>
          <w:spacing w:val="-2"/>
          <w:sz w:val="22"/>
          <w:szCs w:val="22"/>
          <w:vertAlign w:val="superscript"/>
        </w:rPr>
        <w:t xml:space="preserve"> </w:t>
      </w:r>
      <w:r w:rsidRPr="005A38BF">
        <w:rPr>
          <w:rFonts w:ascii="Arial Narrow" w:hAnsi="Arial Narrow"/>
          <w:spacing w:val="-2"/>
          <w:sz w:val="22"/>
          <w:szCs w:val="22"/>
        </w:rPr>
        <w:t>Est réservée l'adoption du règlement du cimetière par l'assemblée communale de la commune du lieu de situation du cimetière et de l'annexe à la présente convention par les assemblées communales des autres communes signataires.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444EB9" w:rsidRDefault="00444EB9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Pr="005A38BF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2056B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………………………, le</w:t>
      </w: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Pr="005A38BF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Le(la) S</w:t>
      </w:r>
      <w:r w:rsidR="00560B85">
        <w:rPr>
          <w:rFonts w:ascii="Arial Narrow" w:hAnsi="Arial Narrow"/>
          <w:spacing w:val="-2"/>
          <w:sz w:val="22"/>
          <w:szCs w:val="22"/>
        </w:rPr>
        <w:t>ecrétaire :</w:t>
      </w:r>
      <w:r w:rsidRPr="005A38BF">
        <w:rPr>
          <w:rFonts w:ascii="Arial Narrow" w:hAnsi="Arial Narrow"/>
          <w:spacing w:val="-2"/>
          <w:sz w:val="22"/>
          <w:szCs w:val="22"/>
        </w:rPr>
        <w:tab/>
        <w:t>Le</w:t>
      </w:r>
      <w:r>
        <w:rPr>
          <w:rFonts w:ascii="Arial Narrow" w:hAnsi="Arial Narrow"/>
          <w:spacing w:val="-2"/>
          <w:sz w:val="22"/>
          <w:szCs w:val="22"/>
        </w:rPr>
        <w:t>(la) Syndic(que) :</w:t>
      </w:r>
    </w:p>
    <w:p w:rsidR="005A3372" w:rsidRDefault="005A3372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652BF0" w:rsidRDefault="00652BF0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Default="00560B85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444EB9" w:rsidRPr="005A38BF" w:rsidRDefault="00444EB9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Pr="005A38BF" w:rsidRDefault="002056B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………………………, le</w:t>
      </w:r>
    </w:p>
    <w:p w:rsidR="005A3372" w:rsidRPr="005A38BF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60B85" w:rsidRPr="005A38BF" w:rsidRDefault="00560B85" w:rsidP="005A3372">
      <w:pPr>
        <w:ind w:right="425"/>
        <w:jc w:val="both"/>
        <w:rPr>
          <w:rFonts w:ascii="Arial Narrow" w:hAnsi="Arial Narrow"/>
          <w:spacing w:val="-2"/>
          <w:sz w:val="22"/>
          <w:szCs w:val="22"/>
        </w:rPr>
      </w:pPr>
    </w:p>
    <w:p w:rsidR="005A3372" w:rsidRDefault="005A3372" w:rsidP="005A3372">
      <w:pPr>
        <w:tabs>
          <w:tab w:val="left" w:pos="7371"/>
          <w:tab w:val="right" w:pos="9639"/>
        </w:tabs>
        <w:ind w:right="425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Le(la) S</w:t>
      </w:r>
      <w:r w:rsidR="00560B85">
        <w:rPr>
          <w:rFonts w:ascii="Arial Narrow" w:hAnsi="Arial Narrow"/>
          <w:spacing w:val="-2"/>
          <w:sz w:val="22"/>
          <w:szCs w:val="22"/>
        </w:rPr>
        <w:t>ecrétaire :</w:t>
      </w:r>
      <w:r w:rsidRPr="005A38BF">
        <w:rPr>
          <w:rFonts w:ascii="Arial Narrow" w:hAnsi="Arial Narrow"/>
          <w:spacing w:val="-2"/>
          <w:sz w:val="22"/>
          <w:szCs w:val="22"/>
        </w:rPr>
        <w:tab/>
        <w:t>Le</w:t>
      </w:r>
      <w:r>
        <w:rPr>
          <w:rFonts w:ascii="Arial Narrow" w:hAnsi="Arial Narrow"/>
          <w:spacing w:val="-2"/>
          <w:sz w:val="22"/>
          <w:szCs w:val="22"/>
        </w:rPr>
        <w:t>(la) Syndic(que) :</w:t>
      </w:r>
    </w:p>
    <w:sectPr w:rsidR="005A3372" w:rsidSect="00157176">
      <w:footerReference w:type="default" r:id="rId8"/>
      <w:footerReference w:type="first" r:id="rId9"/>
      <w:footnotePr>
        <w:numFmt w:val="chicago"/>
      </w:footnotePr>
      <w:endnotePr>
        <w:numFmt w:val="decimal"/>
      </w:endnotePr>
      <w:pgSz w:w="11906" w:h="16838" w:code="9"/>
      <w:pgMar w:top="1134" w:right="567" w:bottom="567" w:left="1418" w:header="851" w:footer="11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9B" w:rsidRDefault="001E4A9B" w:rsidP="00622E01">
      <w:r>
        <w:separator/>
      </w:r>
    </w:p>
  </w:endnote>
  <w:endnote w:type="continuationSeparator" w:id="0">
    <w:p w:rsidR="001E4A9B" w:rsidRDefault="001E4A9B" w:rsidP="006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76" w:rsidRPr="009C5652" w:rsidRDefault="00157176" w:rsidP="009C5652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9923"/>
      </w:tabs>
      <w:rPr>
        <w:rFonts w:ascii="Cambria" w:hAnsi="Cambria"/>
      </w:rPr>
    </w:pPr>
    <w:r>
      <w:rPr>
        <w:rFonts w:ascii="Cambria" w:hAnsi="Cambria"/>
      </w:rPr>
      <w:t xml:space="preserve">Mise à jour du </w:t>
    </w:r>
    <w:r w:rsidR="00E75EB8">
      <w:rPr>
        <w:rFonts w:ascii="Cambria" w:hAnsi="Cambria"/>
      </w:rPr>
      <w:t>14 octobre 2013</w:t>
    </w:r>
    <w:r>
      <w:rPr>
        <w:rFonts w:ascii="Cambria" w:hAnsi="Cambria"/>
      </w:rPr>
      <w:tab/>
    </w:r>
    <w:r w:rsidRPr="00157176">
      <w:rPr>
        <w:rFonts w:ascii="Cambria" w:hAnsi="Cambria"/>
      </w:rPr>
      <w:t xml:space="preserve">Page </w:t>
    </w:r>
    <w:r w:rsidRPr="00157176">
      <w:rPr>
        <w:rFonts w:ascii="Cambria" w:hAnsi="Cambria"/>
      </w:rPr>
      <w:fldChar w:fldCharType="begin"/>
    </w:r>
    <w:r w:rsidRPr="00157176">
      <w:rPr>
        <w:rFonts w:ascii="Cambria" w:hAnsi="Cambria"/>
      </w:rPr>
      <w:instrText xml:space="preserve"> PAGE   \* MERGEFORMAT </w:instrText>
    </w:r>
    <w:r w:rsidRPr="00157176">
      <w:rPr>
        <w:rFonts w:ascii="Cambria" w:hAnsi="Cambria"/>
      </w:rPr>
      <w:fldChar w:fldCharType="separate"/>
    </w:r>
    <w:r w:rsidR="00673C84">
      <w:rPr>
        <w:rFonts w:ascii="Cambria" w:hAnsi="Cambria"/>
        <w:noProof/>
      </w:rPr>
      <w:t>1</w:t>
    </w:r>
    <w:r w:rsidRPr="00157176">
      <w:rPr>
        <w:rFonts w:ascii="Cambria" w:hAnsi="Cambri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76" w:rsidRDefault="00157176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57176" w:rsidRDefault="001571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9B" w:rsidRDefault="001E4A9B" w:rsidP="00622E01">
      <w:r>
        <w:separator/>
      </w:r>
    </w:p>
  </w:footnote>
  <w:footnote w:type="continuationSeparator" w:id="0">
    <w:p w:rsidR="001E4A9B" w:rsidRDefault="001E4A9B" w:rsidP="006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DC5"/>
    <w:multiLevelType w:val="hybridMultilevel"/>
    <w:tmpl w:val="3EA479F0"/>
    <w:lvl w:ilvl="0" w:tplc="06924C5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64A0B"/>
    <w:multiLevelType w:val="hybridMultilevel"/>
    <w:tmpl w:val="F4E0F648"/>
    <w:lvl w:ilvl="0" w:tplc="9CEA39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82F3F"/>
    <w:multiLevelType w:val="hybridMultilevel"/>
    <w:tmpl w:val="76228084"/>
    <w:lvl w:ilvl="0" w:tplc="E69A5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drawingGridHorizontalSpacing w:val="100"/>
  <w:displayHorizontalDrawingGridEvery w:val="2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72"/>
    <w:rsid w:val="00021E32"/>
    <w:rsid w:val="00063085"/>
    <w:rsid w:val="000E2883"/>
    <w:rsid w:val="00157176"/>
    <w:rsid w:val="001E4A9B"/>
    <w:rsid w:val="002056B2"/>
    <w:rsid w:val="00244C9C"/>
    <w:rsid w:val="00256C5D"/>
    <w:rsid w:val="002937B4"/>
    <w:rsid w:val="00357C17"/>
    <w:rsid w:val="003A5F6A"/>
    <w:rsid w:val="00444EB9"/>
    <w:rsid w:val="00462C5D"/>
    <w:rsid w:val="0047240D"/>
    <w:rsid w:val="00560B85"/>
    <w:rsid w:val="005A3372"/>
    <w:rsid w:val="005C497D"/>
    <w:rsid w:val="00622E01"/>
    <w:rsid w:val="00637FAB"/>
    <w:rsid w:val="00652BF0"/>
    <w:rsid w:val="0065471B"/>
    <w:rsid w:val="00673C84"/>
    <w:rsid w:val="006A0E47"/>
    <w:rsid w:val="007822E6"/>
    <w:rsid w:val="008E5E37"/>
    <w:rsid w:val="009161E1"/>
    <w:rsid w:val="009C5652"/>
    <w:rsid w:val="009E2E93"/>
    <w:rsid w:val="00A30812"/>
    <w:rsid w:val="00B3545E"/>
    <w:rsid w:val="00BA0883"/>
    <w:rsid w:val="00BB367C"/>
    <w:rsid w:val="00BC259C"/>
    <w:rsid w:val="00BF0638"/>
    <w:rsid w:val="00C55FF3"/>
    <w:rsid w:val="00C92381"/>
    <w:rsid w:val="00E70706"/>
    <w:rsid w:val="00E75EB8"/>
    <w:rsid w:val="00F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72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A33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A3372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F063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F0638"/>
    <w:rPr>
      <w:rFonts w:ascii="Courier New" w:eastAsia="Times New Roman" w:hAnsi="Courier New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72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A33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A3372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F063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F0638"/>
    <w:rPr>
      <w:rFonts w:ascii="Courier New" w:eastAsia="Times New Roman" w:hAnsi="Courier New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Privet Patricia</cp:lastModifiedBy>
  <cp:revision>2</cp:revision>
  <dcterms:created xsi:type="dcterms:W3CDTF">2015-11-24T14:53:00Z</dcterms:created>
  <dcterms:modified xsi:type="dcterms:W3CDTF">2015-11-24T14:53:00Z</dcterms:modified>
</cp:coreProperties>
</file>