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Look w:val="01E0" w:firstRow="1" w:lastRow="1" w:firstColumn="1" w:lastColumn="1" w:noHBand="0" w:noVBand="0"/>
      </w:tblPr>
      <w:tblGrid>
        <w:gridCol w:w="9606"/>
      </w:tblGrid>
      <w:tr w:rsidR="00A65E20" w:rsidRPr="007E188D" w:rsidTr="007E188D">
        <w:tc>
          <w:tcPr>
            <w:tcW w:w="9606" w:type="dxa"/>
            <w:tcBorders>
              <w:bottom w:val="single" w:sz="8" w:space="0" w:color="auto"/>
            </w:tcBorders>
          </w:tcPr>
          <w:p w:rsidR="00A65E20" w:rsidRPr="007E188D" w:rsidRDefault="00A65E20" w:rsidP="007E188D">
            <w:pPr>
              <w:pStyle w:val="Titre1"/>
              <w:ind w:right="-573"/>
              <w:jc w:val="left"/>
              <w:rPr>
                <w:b w:val="0"/>
                <w:caps/>
                <w:sz w:val="32"/>
                <w:szCs w:val="32"/>
                <w:lang w:val="fr-CH"/>
              </w:rPr>
            </w:pPr>
            <w:bookmarkStart w:id="0" w:name="_GoBack"/>
            <w:bookmarkEnd w:id="0"/>
            <w:r w:rsidRPr="007E188D">
              <w:rPr>
                <w:b w:val="0"/>
                <w:caps/>
                <w:sz w:val="32"/>
                <w:szCs w:val="32"/>
                <w:lang w:val="fr-CH"/>
              </w:rPr>
              <w:t>Commune de:</w:t>
            </w:r>
          </w:p>
        </w:tc>
      </w:tr>
    </w:tbl>
    <w:p w:rsidR="00FC12A5" w:rsidRDefault="00FC12A5" w:rsidP="00A65E20">
      <w:pPr>
        <w:jc w:val="left"/>
        <w:sectPr w:rsidR="00FC12A5" w:rsidSect="00FC12A5">
          <w:headerReference w:type="even" r:id="rId7"/>
          <w:headerReference w:type="default" r:id="rId8"/>
          <w:footerReference w:type="default" r:id="rId9"/>
          <w:footerReference w:type="first" r:id="rId10"/>
          <w:pgSz w:w="11907" w:h="16840" w:code="9"/>
          <w:pgMar w:top="1418" w:right="1134" w:bottom="1134" w:left="1418" w:header="1134" w:footer="851" w:gutter="0"/>
          <w:cols w:space="720"/>
          <w:noEndnote/>
          <w:titlePg/>
        </w:sectPr>
      </w:pPr>
    </w:p>
    <w:tbl>
      <w:tblPr>
        <w:tblW w:w="9606" w:type="dxa"/>
        <w:tblLook w:val="01E0" w:firstRow="1" w:lastRow="1" w:firstColumn="1" w:lastColumn="1" w:noHBand="0" w:noVBand="0"/>
      </w:tblPr>
      <w:tblGrid>
        <w:gridCol w:w="1801"/>
        <w:gridCol w:w="236"/>
        <w:gridCol w:w="7569"/>
      </w:tblGrid>
      <w:tr w:rsidR="00A65E20" w:rsidTr="007E188D">
        <w:tc>
          <w:tcPr>
            <w:tcW w:w="1801" w:type="dxa"/>
            <w:tcBorders>
              <w:top w:val="single" w:sz="8" w:space="0" w:color="auto"/>
            </w:tcBorders>
          </w:tcPr>
          <w:p w:rsidR="00A65E20" w:rsidRDefault="00A65E20" w:rsidP="007E188D">
            <w:pPr>
              <w:jc w:val="left"/>
            </w:pPr>
          </w:p>
        </w:tc>
        <w:tc>
          <w:tcPr>
            <w:tcW w:w="236" w:type="dxa"/>
            <w:tcBorders>
              <w:top w:val="single" w:sz="8" w:space="0" w:color="auto"/>
            </w:tcBorders>
          </w:tcPr>
          <w:p w:rsidR="00A65E20" w:rsidRDefault="00A65E20" w:rsidP="00D84A94"/>
        </w:tc>
        <w:tc>
          <w:tcPr>
            <w:tcW w:w="7569" w:type="dxa"/>
            <w:tcBorders>
              <w:top w:val="single" w:sz="8" w:space="0" w:color="auto"/>
            </w:tcBorders>
          </w:tcPr>
          <w:p w:rsidR="00A65E20" w:rsidRPr="007E188D" w:rsidRDefault="00E967CF" w:rsidP="007E188D">
            <w:pPr>
              <w:pStyle w:val="Corpsdetexte"/>
              <w:spacing w:before="480" w:after="0"/>
              <w:rPr>
                <w:b/>
              </w:rPr>
            </w:pPr>
            <w:r w:rsidRPr="007E188D">
              <w:rPr>
                <w:b/>
              </w:rPr>
              <w:t>REGLEMENT SUR LE FINANCEMENT DE L'EQUIPEMENT DE DETAIL DES ZONES A BATIR</w:t>
            </w:r>
          </w:p>
        </w:tc>
      </w:tr>
      <w:tr w:rsidR="00A65E20" w:rsidTr="007E188D">
        <w:tc>
          <w:tcPr>
            <w:tcW w:w="1801" w:type="dxa"/>
          </w:tcPr>
          <w:p w:rsidR="00A65E20" w:rsidRDefault="00A65E20" w:rsidP="007E188D">
            <w:pPr>
              <w:jc w:val="left"/>
            </w:pPr>
          </w:p>
        </w:tc>
        <w:tc>
          <w:tcPr>
            <w:tcW w:w="236" w:type="dxa"/>
          </w:tcPr>
          <w:p w:rsidR="00A65E20" w:rsidRDefault="00A65E20" w:rsidP="00D84A94"/>
        </w:tc>
        <w:tc>
          <w:tcPr>
            <w:tcW w:w="7569" w:type="dxa"/>
          </w:tcPr>
          <w:p w:rsidR="00A65E20" w:rsidRDefault="00E967CF" w:rsidP="007E188D">
            <w:pPr>
              <w:pStyle w:val="Corpsdetexte"/>
              <w:spacing w:before="440" w:after="440"/>
            </w:pPr>
            <w:r w:rsidRPr="00781674">
              <w:t xml:space="preserve">L'assemblée </w:t>
            </w:r>
            <w:r w:rsidRPr="007C6ECA">
              <w:t>communale</w:t>
            </w:r>
            <w:r w:rsidR="00845CF5">
              <w:t>,</w:t>
            </w:r>
          </w:p>
          <w:p w:rsidR="00845CF5" w:rsidRPr="00804EA4" w:rsidRDefault="00845CF5" w:rsidP="007E188D">
            <w:pPr>
              <w:pStyle w:val="Corpsdetexte"/>
              <w:spacing w:after="440"/>
              <w:jc w:val="center"/>
            </w:pPr>
            <w:r>
              <w:t>vu</w:t>
            </w:r>
          </w:p>
        </w:tc>
      </w:tr>
      <w:tr w:rsidR="00A65E20" w:rsidTr="007E188D">
        <w:tc>
          <w:tcPr>
            <w:tcW w:w="1801" w:type="dxa"/>
          </w:tcPr>
          <w:p w:rsidR="00A65E20" w:rsidRDefault="00A65E20" w:rsidP="007E188D">
            <w:pPr>
              <w:jc w:val="left"/>
            </w:pPr>
          </w:p>
        </w:tc>
        <w:tc>
          <w:tcPr>
            <w:tcW w:w="236" w:type="dxa"/>
          </w:tcPr>
          <w:p w:rsidR="00A65E20" w:rsidRDefault="00A65E20" w:rsidP="00D84A94"/>
        </w:tc>
        <w:tc>
          <w:tcPr>
            <w:tcW w:w="7569" w:type="dxa"/>
          </w:tcPr>
          <w:p w:rsidR="00E967CF" w:rsidRPr="00781674" w:rsidRDefault="00845CF5" w:rsidP="007B3283">
            <w:pPr>
              <w:pStyle w:val="Corpsdetexte"/>
            </w:pPr>
            <w:r>
              <w:t>La</w:t>
            </w:r>
            <w:r w:rsidR="00E967CF" w:rsidRPr="00781674">
              <w:t xml:space="preserve"> loi </w:t>
            </w:r>
            <w:r w:rsidR="00E967CF" w:rsidRPr="009C527D">
              <w:t>du</w:t>
            </w:r>
            <w:r w:rsidR="00E967CF" w:rsidRPr="00781674">
              <w:t xml:space="preserve"> 25 septembre 1980 sur les communes (</w:t>
            </w:r>
            <w:r w:rsidR="00122992" w:rsidRPr="00316958">
              <w:t>LCo</w:t>
            </w:r>
            <w:r w:rsidR="00E967CF" w:rsidRPr="00316958">
              <w:t xml:space="preserve">; </w:t>
            </w:r>
            <w:r w:rsidR="006B56CC">
              <w:t xml:space="preserve">RSF </w:t>
            </w:r>
            <w:r w:rsidR="00E967CF" w:rsidRPr="00316958">
              <w:t>140.1);</w:t>
            </w:r>
          </w:p>
          <w:p w:rsidR="00E967CF" w:rsidRPr="00781674" w:rsidRDefault="00845CF5" w:rsidP="009C527D">
            <w:pPr>
              <w:pStyle w:val="Corpsdetexte"/>
            </w:pPr>
            <w:r>
              <w:t>L</w:t>
            </w:r>
            <w:r w:rsidR="00E967CF" w:rsidRPr="00781674">
              <w:t xml:space="preserve">a loi du </w:t>
            </w:r>
            <w:r w:rsidR="00E967CF">
              <w:t>2 décembre 2008</w:t>
            </w:r>
            <w:r w:rsidR="00E967CF" w:rsidRPr="00781674">
              <w:t xml:space="preserve"> sur l'aménagement du territoire et les constructions (LATeC</w:t>
            </w:r>
            <w:r w:rsidR="00E967CF" w:rsidRPr="00425640">
              <w:t xml:space="preserve">; </w:t>
            </w:r>
            <w:r w:rsidR="00E967CF" w:rsidRPr="00316958">
              <w:t>RSF 710.1);</w:t>
            </w:r>
          </w:p>
          <w:p w:rsidR="00A65E20" w:rsidRPr="00A65E20" w:rsidRDefault="00845CF5" w:rsidP="007E188D">
            <w:pPr>
              <w:pStyle w:val="Corpsdetexte"/>
              <w:spacing w:after="0"/>
            </w:pPr>
            <w:r>
              <w:t>L</w:t>
            </w:r>
            <w:r w:rsidR="00E967CF" w:rsidRPr="00781674">
              <w:t xml:space="preserve">a </w:t>
            </w:r>
            <w:r w:rsidR="00E967CF" w:rsidRPr="00E967CF">
              <w:t>loi</w:t>
            </w:r>
            <w:r w:rsidR="00E967CF" w:rsidRPr="00781674">
              <w:t xml:space="preserve"> fédérale du 4 octobre 1974 encourageant la construction et l'accession à la propriété de logements</w:t>
            </w:r>
            <w:r w:rsidR="00E967CF">
              <w:t xml:space="preserve"> (</w:t>
            </w:r>
            <w:r w:rsidR="00E967CF" w:rsidRPr="00316958">
              <w:t>RS 843</w:t>
            </w:r>
            <w:r w:rsidR="00E967CF">
              <w:t>)</w:t>
            </w:r>
            <w:r w:rsidR="00E967CF" w:rsidRPr="00781674">
              <w:t xml:space="preserve"> et son ordonnance d'exécution du 30 novembre 1981</w:t>
            </w:r>
            <w:r w:rsidR="00E967CF">
              <w:t xml:space="preserve"> (</w:t>
            </w:r>
            <w:r w:rsidR="00E967CF" w:rsidRPr="00316958">
              <w:t>RS 843.1</w:t>
            </w:r>
            <w:r w:rsidR="00E967CF">
              <w:t>)</w:t>
            </w:r>
            <w:r w:rsidR="00E967CF" w:rsidRPr="00781674">
              <w:t xml:space="preserve">, </w:t>
            </w:r>
          </w:p>
        </w:tc>
      </w:tr>
      <w:tr w:rsidR="00A65E20" w:rsidTr="007E188D">
        <w:tc>
          <w:tcPr>
            <w:tcW w:w="1801" w:type="dxa"/>
          </w:tcPr>
          <w:p w:rsidR="00A65E20" w:rsidRDefault="00A65E20" w:rsidP="007E188D">
            <w:pPr>
              <w:jc w:val="left"/>
            </w:pPr>
          </w:p>
        </w:tc>
        <w:tc>
          <w:tcPr>
            <w:tcW w:w="236" w:type="dxa"/>
          </w:tcPr>
          <w:p w:rsidR="00A65E20" w:rsidRDefault="00A65E20" w:rsidP="00D84A94"/>
        </w:tc>
        <w:tc>
          <w:tcPr>
            <w:tcW w:w="7569" w:type="dxa"/>
          </w:tcPr>
          <w:p w:rsidR="00A65E20" w:rsidRPr="00E967CF" w:rsidRDefault="00222914" w:rsidP="007E188D">
            <w:pPr>
              <w:pStyle w:val="Corpsdetexte"/>
              <w:spacing w:before="440" w:after="440"/>
              <w:jc w:val="center"/>
            </w:pPr>
            <w:r>
              <w:t>é</w:t>
            </w:r>
            <w:r w:rsidR="00E967CF" w:rsidRPr="00781674">
              <w:t>dicte</w:t>
            </w:r>
            <w:r w:rsidR="002D0596">
              <w:t>:</w:t>
            </w:r>
          </w:p>
        </w:tc>
      </w:tr>
      <w:tr w:rsidR="00A65E20" w:rsidTr="007E188D">
        <w:tc>
          <w:tcPr>
            <w:tcW w:w="1801" w:type="dxa"/>
          </w:tcPr>
          <w:p w:rsidR="00A65E20" w:rsidRDefault="00A65E20" w:rsidP="007E188D">
            <w:pPr>
              <w:jc w:val="left"/>
            </w:pPr>
          </w:p>
        </w:tc>
        <w:tc>
          <w:tcPr>
            <w:tcW w:w="236" w:type="dxa"/>
          </w:tcPr>
          <w:p w:rsidR="00A65E20" w:rsidRDefault="00A65E20" w:rsidP="00D84A94"/>
        </w:tc>
        <w:tc>
          <w:tcPr>
            <w:tcW w:w="7569" w:type="dxa"/>
          </w:tcPr>
          <w:p w:rsidR="00A65E20" w:rsidRPr="007E188D" w:rsidRDefault="00E967CF" w:rsidP="007E188D">
            <w:pPr>
              <w:pStyle w:val="Titre3"/>
              <w:spacing w:before="0" w:after="240"/>
              <w:ind w:left="374" w:right="2739" w:hanging="374"/>
              <w:rPr>
                <w:sz w:val="22"/>
                <w:szCs w:val="22"/>
              </w:rPr>
            </w:pPr>
            <w:r w:rsidRPr="007E188D">
              <w:rPr>
                <w:sz w:val="22"/>
                <w:szCs w:val="22"/>
              </w:rPr>
              <w:t>I.</w:t>
            </w:r>
            <w:r w:rsidRPr="007E188D">
              <w:rPr>
                <w:sz w:val="22"/>
                <w:szCs w:val="22"/>
              </w:rPr>
              <w:tab/>
              <w:t>DISPOSITIONS GENERALES</w:t>
            </w:r>
          </w:p>
        </w:tc>
      </w:tr>
      <w:tr w:rsidR="00A65E20" w:rsidTr="007E188D">
        <w:tc>
          <w:tcPr>
            <w:tcW w:w="1801" w:type="dxa"/>
          </w:tcPr>
          <w:p w:rsidR="00A65E20" w:rsidRDefault="00E967CF" w:rsidP="007E188D">
            <w:pPr>
              <w:jc w:val="left"/>
            </w:pPr>
            <w:r w:rsidRPr="00781674">
              <w:t>But</w:t>
            </w:r>
          </w:p>
        </w:tc>
        <w:tc>
          <w:tcPr>
            <w:tcW w:w="236" w:type="dxa"/>
          </w:tcPr>
          <w:p w:rsidR="00A65E20" w:rsidRDefault="00A65E20" w:rsidP="00D84A94"/>
        </w:tc>
        <w:tc>
          <w:tcPr>
            <w:tcW w:w="7569" w:type="dxa"/>
          </w:tcPr>
          <w:p w:rsidR="00E967CF" w:rsidRPr="00781674" w:rsidRDefault="00E967CF" w:rsidP="007E188D">
            <w:pPr>
              <w:spacing w:after="240"/>
              <w:ind w:left="1792" w:hanging="1792"/>
            </w:pPr>
            <w:r w:rsidRPr="007E188D">
              <w:rPr>
                <w:b/>
              </w:rPr>
              <w:t>Article premier.</w:t>
            </w:r>
            <w:r w:rsidRPr="00781674">
              <w:tab/>
              <w:t>Le présent règlement a pour but de déterminer:</w:t>
            </w:r>
          </w:p>
          <w:p w:rsidR="00E967CF" w:rsidRPr="00781674" w:rsidRDefault="00E967CF" w:rsidP="007E188D">
            <w:pPr>
              <w:pStyle w:val="Corpsdetexte"/>
              <w:ind w:left="373" w:hanging="374"/>
            </w:pPr>
            <w:r w:rsidRPr="00781674">
              <w:t>a)</w:t>
            </w:r>
            <w:r w:rsidRPr="00781674">
              <w:tab/>
            </w:r>
            <w:r w:rsidRPr="007C6ECA">
              <w:t>l'éventuelle</w:t>
            </w:r>
            <w:r w:rsidRPr="00781674">
              <w:t xml:space="preserve"> part des frais d'équipement de détail pris en charge par la commune (subvention communale), lorsque l'équipement est réalisé par les propriétaires (art. </w:t>
            </w:r>
            <w:r>
              <w:t>97 al. 2</w:t>
            </w:r>
            <w:r w:rsidRPr="00781674">
              <w:t xml:space="preserve"> LATeC);</w:t>
            </w:r>
          </w:p>
          <w:p w:rsidR="00A65E20" w:rsidRPr="00E967CF" w:rsidRDefault="00E967CF" w:rsidP="007E188D">
            <w:pPr>
              <w:pStyle w:val="Corpsdetexte"/>
              <w:spacing w:after="360"/>
              <w:ind w:left="374" w:hanging="374"/>
            </w:pPr>
            <w:r w:rsidRPr="00781674">
              <w:t>b)</w:t>
            </w:r>
            <w:r w:rsidRPr="00781674">
              <w:tab/>
            </w:r>
            <w:r w:rsidRPr="00E967CF">
              <w:t xml:space="preserve">la </w:t>
            </w:r>
            <w:r w:rsidRPr="007C6ECA">
              <w:t>participation</w:t>
            </w:r>
            <w:r w:rsidRPr="00E967CF">
              <w:t xml:space="preserve"> financière des propriétaires fonciers aux frais de l'équipement de détail réalisé par la commune (art. 97 al. 4 LATeC) ou par un tiers (art. 100 al. 2</w:t>
            </w:r>
            <w:r w:rsidR="00D433A5">
              <w:t xml:space="preserve"> LATeC</w:t>
            </w:r>
            <w:r w:rsidRPr="00E967CF">
              <w:t>).</w:t>
            </w:r>
          </w:p>
        </w:tc>
      </w:tr>
      <w:tr w:rsidR="00A65E20" w:rsidTr="007E188D">
        <w:tc>
          <w:tcPr>
            <w:tcW w:w="1801" w:type="dxa"/>
          </w:tcPr>
          <w:p w:rsidR="00A65E20" w:rsidRDefault="00E967CF" w:rsidP="007E188D">
            <w:pPr>
              <w:jc w:val="left"/>
            </w:pPr>
            <w:r w:rsidRPr="00781674">
              <w:t>Champ</w:t>
            </w:r>
            <w:r>
              <w:t xml:space="preserve"> </w:t>
            </w:r>
            <w:r w:rsidRPr="00781674">
              <w:t>d'application</w:t>
            </w:r>
          </w:p>
        </w:tc>
        <w:tc>
          <w:tcPr>
            <w:tcW w:w="236" w:type="dxa"/>
          </w:tcPr>
          <w:p w:rsidR="00A65E20" w:rsidRDefault="00A65E20" w:rsidP="00D84A94"/>
        </w:tc>
        <w:tc>
          <w:tcPr>
            <w:tcW w:w="7569" w:type="dxa"/>
          </w:tcPr>
          <w:p w:rsidR="00A65E20" w:rsidRPr="00E967CF" w:rsidRDefault="00E967CF" w:rsidP="007E188D">
            <w:pPr>
              <w:tabs>
                <w:tab w:val="left" w:pos="796"/>
                <w:tab w:val="left" w:pos="940"/>
              </w:tabs>
              <w:spacing w:after="360"/>
              <w:ind w:right="176"/>
            </w:pPr>
            <w:r w:rsidRPr="007E188D">
              <w:rPr>
                <w:b/>
              </w:rPr>
              <w:t>Art. 2.</w:t>
            </w:r>
            <w:r w:rsidRPr="00781674">
              <w:tab/>
            </w:r>
            <w:r w:rsidR="00950317">
              <w:tab/>
            </w:r>
            <w:r w:rsidRPr="00781674">
              <w:t>Le présent règlement s'applique à la construction et à la réfection de</w:t>
            </w:r>
            <w:r>
              <w:t xml:space="preserve"> </w:t>
            </w:r>
            <w:r w:rsidRPr="00781674">
              <w:t xml:space="preserve">l'équipement de détail des zones à bâtir, à savoir les routes de desserte, les chemins piétons, les conduites et les canalisations nécessaires à la viabilité des terrains à bâtir (art. </w:t>
            </w:r>
            <w:r>
              <w:t>94</w:t>
            </w:r>
            <w:r w:rsidRPr="00781674">
              <w:t xml:space="preserve"> al. 2 LATeC).</w:t>
            </w:r>
          </w:p>
        </w:tc>
      </w:tr>
    </w:tbl>
    <w:p w:rsidR="00FC12A5" w:rsidRDefault="00FC12A5" w:rsidP="00A65E20">
      <w:pPr>
        <w:jc w:val="left"/>
        <w:rPr>
          <w:lang w:val="fr-CH"/>
        </w:rPr>
        <w:sectPr w:rsidR="00FC12A5" w:rsidSect="00FC12A5">
          <w:type w:val="continuous"/>
          <w:pgSz w:w="11907" w:h="16840" w:code="9"/>
          <w:pgMar w:top="1418" w:right="1134" w:bottom="1134" w:left="1418" w:header="1134" w:footer="851" w:gutter="0"/>
          <w:cols w:space="720"/>
          <w:noEndnote/>
          <w:titlePg/>
        </w:sectPr>
      </w:pPr>
    </w:p>
    <w:tbl>
      <w:tblPr>
        <w:tblW w:w="9606" w:type="dxa"/>
        <w:tblLook w:val="01E0" w:firstRow="1" w:lastRow="1" w:firstColumn="1" w:lastColumn="1" w:noHBand="0" w:noVBand="0"/>
      </w:tblPr>
      <w:tblGrid>
        <w:gridCol w:w="1800"/>
        <w:gridCol w:w="239"/>
        <w:gridCol w:w="7567"/>
      </w:tblGrid>
      <w:tr w:rsidR="00A65E20" w:rsidTr="007E188D">
        <w:tc>
          <w:tcPr>
            <w:tcW w:w="1800" w:type="dxa"/>
          </w:tcPr>
          <w:p w:rsidR="00A65E20" w:rsidRDefault="00B30D13" w:rsidP="007E188D">
            <w:pPr>
              <w:jc w:val="left"/>
            </w:pPr>
            <w:r>
              <w:lastRenderedPageBreak/>
              <w:t>Approbation et a</w:t>
            </w:r>
            <w:r w:rsidR="00E967CF" w:rsidRPr="00781674">
              <w:t>utorisation</w:t>
            </w:r>
          </w:p>
        </w:tc>
        <w:tc>
          <w:tcPr>
            <w:tcW w:w="239" w:type="dxa"/>
          </w:tcPr>
          <w:p w:rsidR="00A65E20" w:rsidRDefault="00A65E20" w:rsidP="00D84A94"/>
        </w:tc>
        <w:tc>
          <w:tcPr>
            <w:tcW w:w="7567" w:type="dxa"/>
          </w:tcPr>
          <w:p w:rsidR="00A65E20" w:rsidRPr="007E188D" w:rsidRDefault="00E967CF" w:rsidP="007E188D">
            <w:pPr>
              <w:tabs>
                <w:tab w:val="left" w:pos="796"/>
                <w:tab w:val="left" w:pos="940"/>
              </w:tabs>
              <w:spacing w:after="360"/>
              <w:ind w:right="176"/>
              <w:rPr>
                <w:lang w:val="fr-CH"/>
              </w:rPr>
            </w:pPr>
            <w:r w:rsidRPr="007E188D">
              <w:rPr>
                <w:b/>
              </w:rPr>
              <w:t>Art. 3.</w:t>
            </w:r>
            <w:r w:rsidRPr="00781674">
              <w:tab/>
            </w:r>
            <w:r w:rsidR="00950317">
              <w:tab/>
            </w:r>
            <w:r w:rsidRPr="00781674">
              <w:t>L'approbation des plans par la Direction de l'aménagement, de l'environnement et des constructions (DAEC) et le permis de construire délivré par le préfet, prévus par la loi sur l'aménagement du territoire et les constructions, sont réservés.</w:t>
            </w:r>
          </w:p>
        </w:tc>
      </w:tr>
      <w:tr w:rsidR="00812040" w:rsidTr="007E188D">
        <w:tc>
          <w:tcPr>
            <w:tcW w:w="1800" w:type="dxa"/>
          </w:tcPr>
          <w:p w:rsidR="00812040" w:rsidRPr="00781674" w:rsidRDefault="00812040" w:rsidP="007E188D">
            <w:pPr>
              <w:jc w:val="left"/>
            </w:pPr>
          </w:p>
        </w:tc>
        <w:tc>
          <w:tcPr>
            <w:tcW w:w="239" w:type="dxa"/>
          </w:tcPr>
          <w:p w:rsidR="00812040" w:rsidRDefault="00812040" w:rsidP="00D84A94"/>
        </w:tc>
        <w:tc>
          <w:tcPr>
            <w:tcW w:w="7567" w:type="dxa"/>
          </w:tcPr>
          <w:p w:rsidR="00812040" w:rsidRPr="007E188D" w:rsidRDefault="00812040" w:rsidP="007E188D">
            <w:pPr>
              <w:pStyle w:val="Titre3"/>
              <w:spacing w:before="0" w:after="240"/>
              <w:ind w:left="374" w:right="2739" w:hanging="374"/>
              <w:rPr>
                <w:b w:val="0"/>
                <w:sz w:val="22"/>
                <w:szCs w:val="22"/>
              </w:rPr>
            </w:pPr>
            <w:r w:rsidRPr="007E188D">
              <w:rPr>
                <w:sz w:val="22"/>
                <w:szCs w:val="22"/>
              </w:rPr>
              <w:t>II.</w:t>
            </w:r>
            <w:r w:rsidRPr="007E188D">
              <w:rPr>
                <w:b w:val="0"/>
                <w:sz w:val="22"/>
                <w:szCs w:val="22"/>
              </w:rPr>
              <w:tab/>
            </w:r>
            <w:r w:rsidRPr="007E188D">
              <w:rPr>
                <w:sz w:val="22"/>
                <w:szCs w:val="22"/>
              </w:rPr>
              <w:t>SUBVENTION</w:t>
            </w:r>
            <w:r w:rsidRPr="007E188D">
              <w:rPr>
                <w:b w:val="0"/>
                <w:sz w:val="22"/>
                <w:szCs w:val="22"/>
              </w:rPr>
              <w:t xml:space="preserve"> </w:t>
            </w:r>
            <w:r w:rsidRPr="007E188D">
              <w:rPr>
                <w:sz w:val="22"/>
                <w:szCs w:val="22"/>
              </w:rPr>
              <w:t>COMMUNALE</w:t>
            </w:r>
          </w:p>
        </w:tc>
      </w:tr>
      <w:tr w:rsidR="00A65E20" w:rsidTr="007E188D">
        <w:tc>
          <w:tcPr>
            <w:tcW w:w="1800" w:type="dxa"/>
          </w:tcPr>
          <w:p w:rsidR="00A65E20" w:rsidRDefault="0017473D" w:rsidP="007E188D">
            <w:pPr>
              <w:jc w:val="left"/>
            </w:pPr>
            <w:r>
              <w:t>Subvention communale</w:t>
            </w:r>
          </w:p>
        </w:tc>
        <w:tc>
          <w:tcPr>
            <w:tcW w:w="239" w:type="dxa"/>
          </w:tcPr>
          <w:p w:rsidR="00A65E20" w:rsidRDefault="00A65E20" w:rsidP="00D84A94"/>
        </w:tc>
        <w:tc>
          <w:tcPr>
            <w:tcW w:w="7567" w:type="dxa"/>
          </w:tcPr>
          <w:p w:rsidR="00904B07" w:rsidRPr="00781674" w:rsidRDefault="00E967CF" w:rsidP="007E188D">
            <w:pPr>
              <w:tabs>
                <w:tab w:val="left" w:pos="796"/>
                <w:tab w:val="left" w:pos="938"/>
              </w:tabs>
              <w:spacing w:after="240"/>
              <w:ind w:right="176"/>
            </w:pPr>
            <w:r w:rsidRPr="007E188D">
              <w:rPr>
                <w:b/>
              </w:rPr>
              <w:t>Art. 4.</w:t>
            </w:r>
            <w:r w:rsidRPr="007E188D">
              <w:rPr>
                <w:b/>
              </w:rPr>
              <w:tab/>
            </w:r>
            <w:r w:rsidRPr="007E188D">
              <w:rPr>
                <w:vertAlign w:val="superscript"/>
              </w:rPr>
              <w:t>1</w:t>
            </w:r>
            <w:r w:rsidR="00EE7339" w:rsidRPr="007E188D">
              <w:rPr>
                <w:vertAlign w:val="superscript"/>
              </w:rPr>
              <w:tab/>
            </w:r>
            <w:r w:rsidRPr="00781674">
              <w:t>Sur demande du ou des propriétaire</w:t>
            </w:r>
            <w:r w:rsidR="00C50E76">
              <w:t>(</w:t>
            </w:r>
            <w:r w:rsidRPr="00781674">
              <w:t>s</w:t>
            </w:r>
            <w:r w:rsidR="00C50E76">
              <w:t>)</w:t>
            </w:r>
            <w:r w:rsidRPr="00781674">
              <w:t>, le conseil communal décide</w:t>
            </w:r>
            <w:r>
              <w:t xml:space="preserve"> </w:t>
            </w:r>
            <w:r w:rsidRPr="00781674">
              <w:t>de l'octroi d'une subvention selon le présent règlement. La subvention est accordée lorsque l'ouvrage projeté répond en tous points aux exigences techniques et aux conditions posées par la commune.</w:t>
            </w:r>
          </w:p>
          <w:p w:rsidR="00845CF5" w:rsidRPr="007E188D" w:rsidRDefault="00845CF5" w:rsidP="007E188D">
            <w:pPr>
              <w:tabs>
                <w:tab w:val="left" w:pos="177"/>
              </w:tabs>
              <w:rPr>
                <w:vertAlign w:val="superscript"/>
              </w:rPr>
            </w:pPr>
          </w:p>
          <w:p w:rsidR="00845CF5" w:rsidRPr="007E188D" w:rsidRDefault="00845CF5" w:rsidP="007E188D">
            <w:pPr>
              <w:tabs>
                <w:tab w:val="left" w:pos="177"/>
              </w:tabs>
              <w:rPr>
                <w:vertAlign w:val="superscript"/>
              </w:rPr>
            </w:pPr>
          </w:p>
          <w:p w:rsidR="00BB1497" w:rsidRPr="00D30376" w:rsidRDefault="00904B07" w:rsidP="007E188D">
            <w:pPr>
              <w:tabs>
                <w:tab w:val="left" w:pos="177"/>
              </w:tabs>
              <w:spacing w:after="240"/>
            </w:pPr>
            <w:r w:rsidRPr="007E188D">
              <w:rPr>
                <w:vertAlign w:val="superscript"/>
              </w:rPr>
              <w:t>2</w:t>
            </w:r>
            <w:r w:rsidR="00EE7339" w:rsidRPr="007E188D">
              <w:rPr>
                <w:vertAlign w:val="superscript"/>
              </w:rPr>
              <w:tab/>
            </w:r>
            <w:r w:rsidRPr="00781674">
              <w:t>Si l'équipement de détail réalisé par le(s) propriétaire(s) est subventionné par la commune, les taux suivants sont appliqués pour les routes de</w:t>
            </w:r>
            <w:r w:rsidR="00D30376">
              <w:t xml:space="preserve"> </w:t>
            </w:r>
            <w:r w:rsidRPr="00781674">
              <w:t>desserte</w:t>
            </w:r>
            <w:r w:rsidR="00395F18">
              <w:t>:</w:t>
            </w:r>
          </w:p>
          <w:p w:rsidR="00904B07" w:rsidRPr="00781674" w:rsidRDefault="00904B07" w:rsidP="007E188D">
            <w:pPr>
              <w:spacing w:after="120"/>
              <w:ind w:left="369" w:hanging="369"/>
            </w:pPr>
            <w:r>
              <w:t>….</w:t>
            </w:r>
            <w:r w:rsidRPr="00781674">
              <w:tab/>
              <w:t>%</w:t>
            </w:r>
            <w:r w:rsidRPr="00781674">
              <w:tab/>
              <w:t>pour les chemins piétons</w:t>
            </w:r>
            <w:r w:rsidR="006E22E8">
              <w:t>;</w:t>
            </w:r>
          </w:p>
          <w:p w:rsidR="00904B07" w:rsidRPr="00781674" w:rsidRDefault="00904B07" w:rsidP="007E188D">
            <w:pPr>
              <w:spacing w:after="120"/>
              <w:ind w:left="369" w:hanging="369"/>
            </w:pPr>
            <w:r>
              <w:t>….</w:t>
            </w:r>
            <w:r w:rsidRPr="00781674">
              <w:tab/>
              <w:t>%</w:t>
            </w:r>
            <w:r w:rsidRPr="00781674">
              <w:tab/>
              <w:t>pour les conduites d'adduction d'eau</w:t>
            </w:r>
            <w:r w:rsidR="006E22E8">
              <w:t>;</w:t>
            </w:r>
          </w:p>
          <w:p w:rsidR="00904B07" w:rsidRPr="00781674" w:rsidRDefault="00904B07" w:rsidP="007E188D">
            <w:pPr>
              <w:spacing w:after="120"/>
              <w:ind w:left="369" w:hanging="369"/>
            </w:pPr>
            <w:r>
              <w:t>….</w:t>
            </w:r>
            <w:r w:rsidRPr="00781674">
              <w:tab/>
              <w:t>%</w:t>
            </w:r>
            <w:r w:rsidRPr="00781674">
              <w:tab/>
              <w:t>pour les canalisations d'évacuation des eaux usées</w:t>
            </w:r>
            <w:r w:rsidR="006E22E8">
              <w:t>;</w:t>
            </w:r>
          </w:p>
          <w:p w:rsidR="00904B07" w:rsidRPr="00781674" w:rsidRDefault="00904B07" w:rsidP="007E188D">
            <w:pPr>
              <w:spacing w:after="240"/>
              <w:ind w:left="369" w:hanging="369"/>
            </w:pPr>
            <w:r>
              <w:t>….</w:t>
            </w:r>
            <w:r w:rsidRPr="00781674">
              <w:tab/>
              <w:t>%</w:t>
            </w:r>
            <w:r w:rsidRPr="00781674">
              <w:tab/>
              <w:t>pour les conduites d'approvisionnement en énergie.</w:t>
            </w:r>
          </w:p>
          <w:p w:rsidR="00904B07" w:rsidRPr="00781674" w:rsidRDefault="00EE7339" w:rsidP="007E188D">
            <w:pPr>
              <w:tabs>
                <w:tab w:val="left" w:pos="177"/>
              </w:tabs>
              <w:spacing w:after="240"/>
            </w:pPr>
            <w:r w:rsidRPr="007E188D">
              <w:rPr>
                <w:vertAlign w:val="superscript"/>
              </w:rPr>
              <w:t>3</w:t>
            </w:r>
            <w:r w:rsidRPr="007E188D">
              <w:rPr>
                <w:vertAlign w:val="superscript"/>
              </w:rPr>
              <w:tab/>
            </w:r>
            <w:r w:rsidR="00904B07" w:rsidRPr="00781674">
              <w:t>Les ouvrages annexes d'une route (trottoirs, pistes ou bandes cyclables) sont subventionnés au même taux que la route.</w:t>
            </w:r>
          </w:p>
          <w:p w:rsidR="00904B07" w:rsidRPr="00781674" w:rsidRDefault="00EE7339" w:rsidP="007E188D">
            <w:pPr>
              <w:tabs>
                <w:tab w:val="left" w:pos="177"/>
              </w:tabs>
              <w:spacing w:after="240"/>
            </w:pPr>
            <w:r w:rsidRPr="007E188D">
              <w:rPr>
                <w:vertAlign w:val="superscript"/>
              </w:rPr>
              <w:t>4</w:t>
            </w:r>
            <w:r w:rsidRPr="007E188D">
              <w:rPr>
                <w:vertAlign w:val="superscript"/>
              </w:rPr>
              <w:tab/>
            </w:r>
            <w:r w:rsidR="00C804B5">
              <w:t>Le montant subventionn</w:t>
            </w:r>
            <w:r w:rsidR="00904B07" w:rsidRPr="00781674">
              <w:t>able est déterminé conformément à l'article 8 al. 1.</w:t>
            </w:r>
          </w:p>
          <w:p w:rsidR="00904B07" w:rsidRPr="00904B07" w:rsidRDefault="00904B07" w:rsidP="007E188D">
            <w:pPr>
              <w:tabs>
                <w:tab w:val="left" w:pos="177"/>
              </w:tabs>
              <w:spacing w:after="360"/>
            </w:pPr>
            <w:r w:rsidRPr="007E188D">
              <w:rPr>
                <w:vertAlign w:val="superscript"/>
              </w:rPr>
              <w:t>5</w:t>
            </w:r>
            <w:r w:rsidR="00EE7339" w:rsidRPr="007E188D">
              <w:rPr>
                <w:vertAlign w:val="superscript"/>
              </w:rPr>
              <w:tab/>
            </w:r>
            <w:r w:rsidRPr="00781674">
              <w:t>Le versement de la subvention a lieu après la présentation du décompte.</w:t>
            </w:r>
          </w:p>
        </w:tc>
      </w:tr>
      <w:tr w:rsidR="00904B07" w:rsidTr="007E188D">
        <w:tc>
          <w:tcPr>
            <w:tcW w:w="1800" w:type="dxa"/>
          </w:tcPr>
          <w:p w:rsidR="00904B07" w:rsidRPr="00781674" w:rsidRDefault="00904B07" w:rsidP="007E188D">
            <w:pPr>
              <w:spacing w:after="360" w:line="228" w:lineRule="exact"/>
              <w:jc w:val="left"/>
            </w:pPr>
            <w:r w:rsidRPr="00781674">
              <w:lastRenderedPageBreak/>
              <w:t>Refus ou</w:t>
            </w:r>
            <w:r>
              <w:t xml:space="preserve"> </w:t>
            </w:r>
            <w:r w:rsidRPr="00781674">
              <w:t>remboursement</w:t>
            </w:r>
            <w:r>
              <w:t xml:space="preserve"> </w:t>
            </w:r>
            <w:r w:rsidRPr="00781674">
              <w:t>de la part</w:t>
            </w:r>
            <w:r>
              <w:t xml:space="preserve"> c</w:t>
            </w:r>
            <w:r w:rsidRPr="00781674">
              <w:t>ommunale</w:t>
            </w:r>
          </w:p>
        </w:tc>
        <w:tc>
          <w:tcPr>
            <w:tcW w:w="239" w:type="dxa"/>
          </w:tcPr>
          <w:p w:rsidR="00904B07" w:rsidRDefault="00904B07" w:rsidP="00D84A94"/>
        </w:tc>
        <w:tc>
          <w:tcPr>
            <w:tcW w:w="7567" w:type="dxa"/>
          </w:tcPr>
          <w:p w:rsidR="00904B07" w:rsidRPr="007E188D" w:rsidRDefault="00122992" w:rsidP="007E188D">
            <w:pPr>
              <w:tabs>
                <w:tab w:val="left" w:pos="796"/>
                <w:tab w:val="left" w:pos="940"/>
              </w:tabs>
              <w:spacing w:after="360"/>
              <w:ind w:right="176"/>
              <w:rPr>
                <w:b/>
              </w:rPr>
            </w:pPr>
            <w:r w:rsidRPr="007E188D">
              <w:rPr>
                <w:b/>
              </w:rPr>
              <w:t>Art. 5.</w:t>
            </w:r>
            <w:r w:rsidR="00904B07" w:rsidRPr="007E188D">
              <w:rPr>
                <w:b/>
              </w:rPr>
              <w:tab/>
            </w:r>
            <w:r w:rsidR="00950317" w:rsidRPr="007E188D">
              <w:rPr>
                <w:b/>
              </w:rPr>
              <w:tab/>
            </w:r>
            <w:r w:rsidR="00904B07" w:rsidRPr="00781674">
              <w:t>La subvention communale (art. 4) peut être refusée ou doit être</w:t>
            </w:r>
            <w:r w:rsidR="00904B07">
              <w:t xml:space="preserve"> </w:t>
            </w:r>
            <w:r w:rsidR="00904B07" w:rsidRPr="00781674">
              <w:t>remboursée si le(s) propriétaire(s) ne se conforme(nt) pas aux exigences</w:t>
            </w:r>
            <w:r w:rsidR="00904B07">
              <w:t xml:space="preserve"> </w:t>
            </w:r>
            <w:r w:rsidR="00904B07" w:rsidRPr="00781674">
              <w:t>techniques et aux conditions posées par la commune.</w:t>
            </w:r>
          </w:p>
        </w:tc>
      </w:tr>
      <w:tr w:rsidR="00904B07" w:rsidTr="007E188D">
        <w:tc>
          <w:tcPr>
            <w:tcW w:w="1800" w:type="dxa"/>
          </w:tcPr>
          <w:p w:rsidR="00904B07" w:rsidRPr="00781674" w:rsidRDefault="00904B07" w:rsidP="007E188D">
            <w:pPr>
              <w:jc w:val="left"/>
            </w:pPr>
          </w:p>
        </w:tc>
        <w:tc>
          <w:tcPr>
            <w:tcW w:w="239" w:type="dxa"/>
          </w:tcPr>
          <w:p w:rsidR="00904B07" w:rsidRDefault="00904B07" w:rsidP="00D84A94"/>
        </w:tc>
        <w:tc>
          <w:tcPr>
            <w:tcW w:w="7567" w:type="dxa"/>
          </w:tcPr>
          <w:p w:rsidR="00904B07" w:rsidRPr="007E188D" w:rsidRDefault="00904B07" w:rsidP="007E188D">
            <w:pPr>
              <w:pStyle w:val="Titre3"/>
              <w:spacing w:before="0" w:after="240"/>
              <w:ind w:left="374" w:hanging="374"/>
              <w:rPr>
                <w:sz w:val="22"/>
                <w:szCs w:val="22"/>
              </w:rPr>
            </w:pPr>
            <w:r w:rsidRPr="007E188D">
              <w:rPr>
                <w:sz w:val="22"/>
                <w:szCs w:val="22"/>
              </w:rPr>
              <w:t>III.</w:t>
            </w:r>
            <w:r w:rsidRPr="007E188D">
              <w:rPr>
                <w:sz w:val="22"/>
                <w:szCs w:val="22"/>
              </w:rPr>
              <w:tab/>
              <w:t xml:space="preserve">CONTRIBUTION </w:t>
            </w:r>
            <w:r w:rsidR="00FD7683" w:rsidRPr="007E188D">
              <w:rPr>
                <w:sz w:val="22"/>
                <w:szCs w:val="22"/>
              </w:rPr>
              <w:t xml:space="preserve">DES PROPRIETAIRES </w:t>
            </w:r>
            <w:r w:rsidR="009B042A" w:rsidRPr="007E188D">
              <w:rPr>
                <w:sz w:val="22"/>
                <w:szCs w:val="22"/>
              </w:rPr>
              <w:t>FONCIERS</w:t>
            </w:r>
          </w:p>
        </w:tc>
      </w:tr>
      <w:tr w:rsidR="00904B07" w:rsidTr="007E188D">
        <w:tc>
          <w:tcPr>
            <w:tcW w:w="1800" w:type="dxa"/>
          </w:tcPr>
          <w:p w:rsidR="00904B07" w:rsidRPr="00781674" w:rsidRDefault="00E973A8" w:rsidP="007E188D">
            <w:pPr>
              <w:jc w:val="left"/>
            </w:pPr>
            <w:r w:rsidRPr="00781674">
              <w:t>Réalisation de</w:t>
            </w:r>
            <w:r>
              <w:t xml:space="preserve"> </w:t>
            </w:r>
            <w:r w:rsidRPr="00781674">
              <w:t>l'équipement</w:t>
            </w:r>
          </w:p>
        </w:tc>
        <w:tc>
          <w:tcPr>
            <w:tcW w:w="239" w:type="dxa"/>
          </w:tcPr>
          <w:p w:rsidR="00904B07" w:rsidRDefault="00904B07" w:rsidP="00D84A94"/>
        </w:tc>
        <w:tc>
          <w:tcPr>
            <w:tcW w:w="7567" w:type="dxa"/>
          </w:tcPr>
          <w:p w:rsidR="00904B07" w:rsidRPr="007E188D" w:rsidRDefault="00122992" w:rsidP="007E188D">
            <w:pPr>
              <w:tabs>
                <w:tab w:val="left" w:pos="796"/>
                <w:tab w:val="left" w:pos="940"/>
              </w:tabs>
              <w:spacing w:after="360"/>
              <w:ind w:right="176"/>
              <w:rPr>
                <w:b/>
              </w:rPr>
            </w:pPr>
            <w:r w:rsidRPr="007E188D">
              <w:rPr>
                <w:b/>
              </w:rPr>
              <w:t>Art. 6.</w:t>
            </w:r>
            <w:r w:rsidR="00E973A8" w:rsidRPr="007E188D">
              <w:rPr>
                <w:b/>
              </w:rPr>
              <w:tab/>
            </w:r>
            <w:r w:rsidR="00950317" w:rsidRPr="007E188D">
              <w:rPr>
                <w:b/>
              </w:rPr>
              <w:tab/>
            </w:r>
            <w:r w:rsidR="00E973A8" w:rsidRPr="00781674">
              <w:t>Si les propriétaires ne réalisent pas l'équipement de détail, la</w:t>
            </w:r>
            <w:r w:rsidR="00E973A8">
              <w:t xml:space="preserve"> </w:t>
            </w:r>
            <w:r w:rsidR="00E973A8" w:rsidRPr="00781674">
              <w:t>commune l'entreprend à leurs frais.</w:t>
            </w:r>
          </w:p>
        </w:tc>
      </w:tr>
      <w:tr w:rsidR="00904B07" w:rsidTr="007E188D">
        <w:tc>
          <w:tcPr>
            <w:tcW w:w="1800" w:type="dxa"/>
          </w:tcPr>
          <w:p w:rsidR="00904B07" w:rsidRPr="00781674" w:rsidRDefault="00E973A8" w:rsidP="007E188D">
            <w:pPr>
              <w:jc w:val="left"/>
            </w:pPr>
            <w:r w:rsidRPr="00781674">
              <w:t>Financement</w:t>
            </w:r>
          </w:p>
        </w:tc>
        <w:tc>
          <w:tcPr>
            <w:tcW w:w="239" w:type="dxa"/>
          </w:tcPr>
          <w:p w:rsidR="00904B07" w:rsidRDefault="00904B07" w:rsidP="00D84A94"/>
        </w:tc>
        <w:tc>
          <w:tcPr>
            <w:tcW w:w="7567" w:type="dxa"/>
          </w:tcPr>
          <w:p w:rsidR="00904B07" w:rsidRPr="00E973A8" w:rsidRDefault="00E973A8" w:rsidP="007E188D">
            <w:pPr>
              <w:tabs>
                <w:tab w:val="left" w:pos="796"/>
                <w:tab w:val="left" w:pos="940"/>
              </w:tabs>
              <w:spacing w:after="360"/>
              <w:ind w:right="176"/>
            </w:pPr>
            <w:r w:rsidRPr="007E188D">
              <w:rPr>
                <w:b/>
              </w:rPr>
              <w:t>Art. 7.</w:t>
            </w:r>
            <w:r w:rsidRPr="00781674">
              <w:tab/>
            </w:r>
            <w:r w:rsidR="00950317">
              <w:tab/>
            </w:r>
            <w:r w:rsidRPr="00781674">
              <w:t>Les frais des équipements réalisés par la commune sont financés par la voie budgétaire, les subventions éventuelles et les contributions des propriétaires fonciers intéressés.</w:t>
            </w:r>
          </w:p>
        </w:tc>
      </w:tr>
      <w:tr w:rsidR="00904B07" w:rsidTr="007E188D">
        <w:tc>
          <w:tcPr>
            <w:tcW w:w="1800" w:type="dxa"/>
          </w:tcPr>
          <w:p w:rsidR="00904B07" w:rsidRPr="00781674" w:rsidRDefault="00E973A8" w:rsidP="007E188D">
            <w:pPr>
              <w:jc w:val="left"/>
            </w:pPr>
            <w:r w:rsidRPr="00781674">
              <w:t>Détermination</w:t>
            </w:r>
            <w:r>
              <w:t xml:space="preserve"> </w:t>
            </w:r>
            <w:r w:rsidRPr="00781674">
              <w:t>du coût</w:t>
            </w:r>
          </w:p>
        </w:tc>
        <w:tc>
          <w:tcPr>
            <w:tcW w:w="239" w:type="dxa"/>
          </w:tcPr>
          <w:p w:rsidR="00904B07" w:rsidRDefault="00904B07" w:rsidP="00D84A94"/>
        </w:tc>
        <w:tc>
          <w:tcPr>
            <w:tcW w:w="7567" w:type="dxa"/>
          </w:tcPr>
          <w:p w:rsidR="00904B07" w:rsidRDefault="00122992" w:rsidP="007E188D">
            <w:pPr>
              <w:tabs>
                <w:tab w:val="left" w:pos="796"/>
                <w:tab w:val="left" w:pos="938"/>
              </w:tabs>
              <w:spacing w:after="240"/>
              <w:ind w:right="176"/>
            </w:pPr>
            <w:r w:rsidRPr="007E188D">
              <w:rPr>
                <w:b/>
              </w:rPr>
              <w:t>Art. 8.</w:t>
            </w:r>
            <w:r w:rsidR="00E973A8" w:rsidRPr="007E188D">
              <w:rPr>
                <w:b/>
              </w:rPr>
              <w:tab/>
            </w:r>
            <w:r w:rsidR="00E973A8" w:rsidRPr="007E188D">
              <w:rPr>
                <w:vertAlign w:val="superscript"/>
              </w:rPr>
              <w:t>1</w:t>
            </w:r>
            <w:r w:rsidR="00EE7339" w:rsidRPr="007E188D">
              <w:rPr>
                <w:vertAlign w:val="superscript"/>
              </w:rPr>
              <w:tab/>
            </w:r>
            <w:r w:rsidR="00E973A8" w:rsidRPr="00781674">
              <w:t>Le</w:t>
            </w:r>
            <w:r w:rsidR="00C804B5">
              <w:t xml:space="preserve"> montant net des frais s'établit</w:t>
            </w:r>
            <w:r w:rsidR="00E973A8" w:rsidRPr="00781674">
              <w:t xml:space="preserve"> sur la base de toutes les dépenses</w:t>
            </w:r>
            <w:r w:rsidR="00E973A8">
              <w:t xml:space="preserve"> </w:t>
            </w:r>
            <w:r w:rsidR="00E973A8" w:rsidRPr="00781674">
              <w:t>rendues nécessaires par la construction ou la réfection de l'ouvrage en tant que</w:t>
            </w:r>
            <w:r w:rsidR="00E973A8">
              <w:t xml:space="preserve"> </w:t>
            </w:r>
            <w:r w:rsidR="00E973A8" w:rsidRPr="00781674">
              <w:t>tel, notamment: les frais d'étude de projet et de direction des travaux, d'acquisition de terrain, de géomètre, de cadastre, de bornage, les frais administratifs, les intérêts intercalaires ainsi que les frais d'éventuelles constructions annexes.</w:t>
            </w:r>
          </w:p>
          <w:p w:rsidR="00E973A8" w:rsidRPr="00E973A8" w:rsidRDefault="00EE7339" w:rsidP="007E188D">
            <w:pPr>
              <w:tabs>
                <w:tab w:val="left" w:pos="177"/>
              </w:tabs>
              <w:spacing w:after="360"/>
            </w:pPr>
            <w:r w:rsidRPr="007E188D">
              <w:rPr>
                <w:vertAlign w:val="superscript"/>
              </w:rPr>
              <w:t>2</w:t>
            </w:r>
            <w:r w:rsidRPr="007E188D">
              <w:rPr>
                <w:vertAlign w:val="superscript"/>
              </w:rPr>
              <w:tab/>
            </w:r>
            <w:r w:rsidR="00E973A8" w:rsidRPr="00781674">
              <w:t>Le montant net à répartir est celui qui reste à la charge de la commune après déduction des éventuelles subventions.</w:t>
            </w:r>
          </w:p>
        </w:tc>
      </w:tr>
      <w:tr w:rsidR="00904B07" w:rsidTr="007E188D">
        <w:tc>
          <w:tcPr>
            <w:tcW w:w="1800" w:type="dxa"/>
          </w:tcPr>
          <w:p w:rsidR="00904B07" w:rsidRPr="00781674" w:rsidRDefault="00E973A8" w:rsidP="007E188D">
            <w:pPr>
              <w:jc w:val="left"/>
            </w:pPr>
            <w:r w:rsidRPr="00781674">
              <w:t>Participation des</w:t>
            </w:r>
            <w:r>
              <w:t xml:space="preserve"> </w:t>
            </w:r>
            <w:r w:rsidRPr="00781674">
              <w:t>propriétaires</w:t>
            </w:r>
          </w:p>
        </w:tc>
        <w:tc>
          <w:tcPr>
            <w:tcW w:w="239" w:type="dxa"/>
          </w:tcPr>
          <w:p w:rsidR="00904B07" w:rsidRDefault="00904B07" w:rsidP="00D84A94"/>
        </w:tc>
        <w:tc>
          <w:tcPr>
            <w:tcW w:w="7567" w:type="dxa"/>
          </w:tcPr>
          <w:p w:rsidR="009B042A" w:rsidRDefault="00122992" w:rsidP="007E188D">
            <w:pPr>
              <w:tabs>
                <w:tab w:val="left" w:pos="796"/>
                <w:tab w:val="left" w:pos="940"/>
              </w:tabs>
              <w:spacing w:after="240"/>
              <w:ind w:right="176"/>
            </w:pPr>
            <w:r w:rsidRPr="007E188D">
              <w:rPr>
                <w:b/>
              </w:rPr>
              <w:t>Art. 9.</w:t>
            </w:r>
            <w:r w:rsidR="00E973A8" w:rsidRPr="007E188D">
              <w:rPr>
                <w:b/>
              </w:rPr>
              <w:tab/>
            </w:r>
            <w:r w:rsidR="00950317" w:rsidRPr="007E188D">
              <w:rPr>
                <w:b/>
              </w:rPr>
              <w:tab/>
            </w:r>
            <w:r w:rsidR="00E973A8" w:rsidRPr="00781674">
              <w:t>La participation globale des propriétaires</w:t>
            </w:r>
            <w:r w:rsidR="00E973A8">
              <w:t xml:space="preserve"> </w:t>
            </w:r>
            <w:r w:rsidR="00E973A8" w:rsidRPr="00781674">
              <w:t>est calculée comme suit:</w:t>
            </w:r>
          </w:p>
          <w:p w:rsidR="00E973A8" w:rsidRPr="00781674" w:rsidRDefault="00E973A8" w:rsidP="007E188D">
            <w:pPr>
              <w:spacing w:after="120"/>
              <w:ind w:left="369" w:hanging="369"/>
            </w:pPr>
            <w:r w:rsidRPr="00781674">
              <w:t>….</w:t>
            </w:r>
            <w:r w:rsidRPr="00781674">
              <w:tab/>
              <w:t>%</w:t>
            </w:r>
            <w:r w:rsidRPr="00781674">
              <w:tab/>
              <w:t>pour les routes de desserte</w:t>
            </w:r>
            <w:r w:rsidR="006E22E8">
              <w:t>;</w:t>
            </w:r>
          </w:p>
          <w:p w:rsidR="00E973A8" w:rsidRPr="00781674" w:rsidRDefault="00E973A8" w:rsidP="007E188D">
            <w:pPr>
              <w:spacing w:after="120"/>
              <w:ind w:left="369" w:hanging="369"/>
            </w:pPr>
            <w:r w:rsidRPr="00781674">
              <w:t>….</w:t>
            </w:r>
            <w:r w:rsidRPr="00781674">
              <w:tab/>
              <w:t>%</w:t>
            </w:r>
            <w:r w:rsidRPr="00781674">
              <w:tab/>
              <w:t>pour les chemins piétons</w:t>
            </w:r>
            <w:r w:rsidR="006E22E8">
              <w:t>;</w:t>
            </w:r>
          </w:p>
          <w:p w:rsidR="00E973A8" w:rsidRPr="00781674" w:rsidRDefault="00E973A8" w:rsidP="007E188D">
            <w:pPr>
              <w:spacing w:after="120"/>
              <w:ind w:left="369" w:hanging="369"/>
            </w:pPr>
            <w:r w:rsidRPr="00781674">
              <w:t>….</w:t>
            </w:r>
            <w:r w:rsidRPr="00781674">
              <w:tab/>
              <w:t>%</w:t>
            </w:r>
            <w:r w:rsidRPr="00781674">
              <w:tab/>
              <w:t>pour les conduites d'adduction d'eau</w:t>
            </w:r>
            <w:r w:rsidR="006E22E8">
              <w:t>;</w:t>
            </w:r>
          </w:p>
          <w:p w:rsidR="00E973A8" w:rsidRPr="00781674" w:rsidRDefault="00E973A8" w:rsidP="007E188D">
            <w:pPr>
              <w:spacing w:after="120"/>
              <w:ind w:left="369" w:hanging="369"/>
            </w:pPr>
            <w:r w:rsidRPr="00781674">
              <w:t>….</w:t>
            </w:r>
            <w:r w:rsidRPr="00781674">
              <w:tab/>
              <w:t>%</w:t>
            </w:r>
            <w:r w:rsidRPr="00781674">
              <w:tab/>
              <w:t>pour les canalisations d'évacuation des eaux usées</w:t>
            </w:r>
            <w:r w:rsidR="006E22E8">
              <w:t>;</w:t>
            </w:r>
          </w:p>
          <w:p w:rsidR="00E973A8" w:rsidRPr="00781674" w:rsidRDefault="00E973A8" w:rsidP="007E188D">
            <w:pPr>
              <w:spacing w:after="240"/>
              <w:ind w:left="369" w:hanging="369"/>
            </w:pPr>
            <w:r w:rsidRPr="00781674">
              <w:t>….</w:t>
            </w:r>
            <w:r w:rsidRPr="00781674">
              <w:tab/>
              <w:t>%</w:t>
            </w:r>
            <w:r w:rsidRPr="00781674">
              <w:tab/>
              <w:t>pour les conduites d'approvisionnement en énergie.</w:t>
            </w:r>
          </w:p>
          <w:p w:rsidR="00845CF5" w:rsidRPr="007E188D" w:rsidRDefault="00845CF5" w:rsidP="007E188D">
            <w:pPr>
              <w:tabs>
                <w:tab w:val="left" w:pos="177"/>
              </w:tabs>
              <w:rPr>
                <w:vertAlign w:val="superscript"/>
              </w:rPr>
            </w:pPr>
          </w:p>
          <w:p w:rsidR="00E973A8" w:rsidRPr="00E973A8" w:rsidRDefault="00EE7339" w:rsidP="007E188D">
            <w:pPr>
              <w:tabs>
                <w:tab w:val="left" w:pos="177"/>
              </w:tabs>
              <w:spacing w:after="240"/>
            </w:pPr>
            <w:r w:rsidRPr="007E188D">
              <w:rPr>
                <w:vertAlign w:val="superscript"/>
              </w:rPr>
              <w:t>2</w:t>
            </w:r>
            <w:r w:rsidRPr="007E188D">
              <w:rPr>
                <w:vertAlign w:val="superscript"/>
              </w:rPr>
              <w:tab/>
            </w:r>
            <w:r w:rsidR="00E973A8" w:rsidRPr="00781674">
              <w:t>La participation globale des propriétaires aux ouvrages annexes d'une route (trottoirs, pistes ou bandes cyclables) est calculée au même taux que la route.</w:t>
            </w:r>
          </w:p>
        </w:tc>
      </w:tr>
      <w:tr w:rsidR="00904B07" w:rsidTr="007E188D">
        <w:tc>
          <w:tcPr>
            <w:tcW w:w="1800" w:type="dxa"/>
          </w:tcPr>
          <w:p w:rsidR="00BB1497" w:rsidRDefault="00BB1497" w:rsidP="007E188D">
            <w:pPr>
              <w:jc w:val="left"/>
            </w:pPr>
          </w:p>
          <w:p w:rsidR="00904B07" w:rsidRPr="00781674" w:rsidRDefault="00C4598D" w:rsidP="007E188D">
            <w:pPr>
              <w:jc w:val="left"/>
            </w:pPr>
            <w:r w:rsidRPr="00781674">
              <w:t>Principes de</w:t>
            </w:r>
            <w:r>
              <w:t xml:space="preserve"> </w:t>
            </w:r>
            <w:r w:rsidRPr="00781674">
              <w:t>répartition</w:t>
            </w:r>
          </w:p>
        </w:tc>
        <w:tc>
          <w:tcPr>
            <w:tcW w:w="239" w:type="dxa"/>
          </w:tcPr>
          <w:p w:rsidR="00904B07" w:rsidRDefault="00904B07" w:rsidP="00D84A94"/>
        </w:tc>
        <w:tc>
          <w:tcPr>
            <w:tcW w:w="7567" w:type="dxa"/>
          </w:tcPr>
          <w:p w:rsidR="00BB1497" w:rsidRDefault="00BB1497" w:rsidP="007E188D">
            <w:pPr>
              <w:tabs>
                <w:tab w:val="left" w:pos="940"/>
              </w:tabs>
              <w:ind w:right="176"/>
            </w:pPr>
          </w:p>
          <w:p w:rsidR="00C4598D" w:rsidRPr="00C4598D" w:rsidRDefault="00C4598D" w:rsidP="007E188D">
            <w:pPr>
              <w:tabs>
                <w:tab w:val="left" w:pos="796"/>
                <w:tab w:val="left" w:pos="938"/>
              </w:tabs>
              <w:spacing w:after="240"/>
              <w:ind w:right="176"/>
            </w:pPr>
            <w:r w:rsidRPr="007E188D">
              <w:rPr>
                <w:b/>
              </w:rPr>
              <w:t>Art. 10.</w:t>
            </w:r>
            <w:r>
              <w:tab/>
            </w:r>
            <w:r w:rsidRPr="007E188D">
              <w:rPr>
                <w:vertAlign w:val="superscript"/>
              </w:rPr>
              <w:t>1</w:t>
            </w:r>
            <w:r w:rsidR="00EE7339" w:rsidRPr="007E188D">
              <w:rPr>
                <w:vertAlign w:val="superscript"/>
              </w:rPr>
              <w:tab/>
            </w:r>
            <w:r w:rsidRPr="00C4598D">
              <w:t>Pour fixer la participation de chaque propriétaire intéressé, il est établi un périmètre englobant l'ensemble des biens-fonds dont les propriétaires retirent un avantage.</w:t>
            </w:r>
          </w:p>
          <w:p w:rsidR="00C4598D" w:rsidRPr="00781674" w:rsidRDefault="00EE7339" w:rsidP="007E188D">
            <w:pPr>
              <w:tabs>
                <w:tab w:val="left" w:pos="177"/>
              </w:tabs>
              <w:spacing w:after="240"/>
            </w:pPr>
            <w:r w:rsidRPr="007E188D">
              <w:rPr>
                <w:vertAlign w:val="superscript"/>
              </w:rPr>
              <w:t>2</w:t>
            </w:r>
            <w:r w:rsidRPr="007E188D">
              <w:rPr>
                <w:vertAlign w:val="superscript"/>
              </w:rPr>
              <w:tab/>
            </w:r>
            <w:r w:rsidR="00C4598D" w:rsidRPr="00781674">
              <w:t>La contribution individuelle de chaque propriétaire est fixée en fonction de:</w:t>
            </w:r>
          </w:p>
          <w:p w:rsidR="00C4598D" w:rsidRPr="00781674" w:rsidRDefault="00C4598D" w:rsidP="007E188D">
            <w:pPr>
              <w:spacing w:after="120"/>
              <w:ind w:left="369" w:hanging="369"/>
            </w:pPr>
            <w:r w:rsidRPr="00781674">
              <w:t>a)</w:t>
            </w:r>
            <w:r w:rsidRPr="00781674">
              <w:tab/>
            </w:r>
            <w:r w:rsidR="002D0596">
              <w:t xml:space="preserve">la </w:t>
            </w:r>
            <w:r w:rsidRPr="00781674">
              <w:t>surface du fonds;</w:t>
            </w:r>
          </w:p>
          <w:p w:rsidR="00C4598D" w:rsidRPr="00781674" w:rsidRDefault="00C4598D" w:rsidP="007E188D">
            <w:pPr>
              <w:spacing w:after="120"/>
              <w:ind w:left="369" w:hanging="369"/>
            </w:pPr>
            <w:r w:rsidRPr="00781674">
              <w:t>b)</w:t>
            </w:r>
            <w:r w:rsidRPr="00781674">
              <w:tab/>
            </w:r>
            <w:r w:rsidR="002D0596">
              <w:t>l'</w:t>
            </w:r>
            <w:r w:rsidRPr="00781674">
              <w:t xml:space="preserve">affectation et </w:t>
            </w:r>
            <w:r w:rsidR="002D0596">
              <w:t xml:space="preserve">la </w:t>
            </w:r>
            <w:r w:rsidRPr="00781674">
              <w:t>nature du terrain;</w:t>
            </w:r>
          </w:p>
          <w:p w:rsidR="00C4598D" w:rsidRPr="00781674" w:rsidRDefault="00C4598D" w:rsidP="007E188D">
            <w:pPr>
              <w:spacing w:after="120"/>
              <w:ind w:left="369" w:hanging="369"/>
            </w:pPr>
            <w:r w:rsidRPr="00781674">
              <w:t>c)</w:t>
            </w:r>
            <w:r w:rsidRPr="00781674">
              <w:tab/>
            </w:r>
            <w:r w:rsidR="002D0596">
              <w:t>l'</w:t>
            </w:r>
            <w:r w:rsidRPr="00781674">
              <w:t xml:space="preserve">indice </w:t>
            </w:r>
            <w:r>
              <w:t xml:space="preserve">brut </w:t>
            </w:r>
            <w:r w:rsidRPr="00781674">
              <w:t>d'utilisation</w:t>
            </w:r>
            <w:r>
              <w:t xml:space="preserve"> du sol</w:t>
            </w:r>
            <w:r w:rsidRPr="00781674">
              <w:t xml:space="preserve"> </w:t>
            </w:r>
            <w:r>
              <w:t xml:space="preserve">ou </w:t>
            </w:r>
            <w:r w:rsidR="006E130A">
              <w:t>l'</w:t>
            </w:r>
            <w:r>
              <w:t>indice</w:t>
            </w:r>
            <w:r w:rsidRPr="00781674">
              <w:t xml:space="preserve"> de masse;</w:t>
            </w:r>
          </w:p>
          <w:p w:rsidR="00904B07" w:rsidRPr="00E973A8" w:rsidRDefault="00C4598D" w:rsidP="007E188D">
            <w:pPr>
              <w:spacing w:after="360"/>
              <w:ind w:left="369" w:hanging="369"/>
            </w:pPr>
            <w:r w:rsidRPr="00781674">
              <w:t>d)</w:t>
            </w:r>
            <w:r w:rsidRPr="00781674">
              <w:tab/>
            </w:r>
            <w:r w:rsidR="002D0596">
              <w:t>la</w:t>
            </w:r>
            <w:r w:rsidR="00713103">
              <w:t xml:space="preserve"> </w:t>
            </w:r>
            <w:r w:rsidRPr="00781674">
              <w:t>situation de la parcelle par rapport à l'ouvrage.</w:t>
            </w:r>
          </w:p>
        </w:tc>
      </w:tr>
      <w:tr w:rsidR="00904B07" w:rsidTr="007E188D">
        <w:tc>
          <w:tcPr>
            <w:tcW w:w="1800" w:type="dxa"/>
          </w:tcPr>
          <w:p w:rsidR="00904B07" w:rsidRPr="00781674" w:rsidRDefault="00904B07" w:rsidP="007E188D">
            <w:pPr>
              <w:jc w:val="left"/>
            </w:pPr>
          </w:p>
        </w:tc>
        <w:tc>
          <w:tcPr>
            <w:tcW w:w="239" w:type="dxa"/>
          </w:tcPr>
          <w:p w:rsidR="00904B07" w:rsidRDefault="00904B07" w:rsidP="00D84A94"/>
        </w:tc>
        <w:tc>
          <w:tcPr>
            <w:tcW w:w="7567" w:type="dxa"/>
          </w:tcPr>
          <w:p w:rsidR="00904B07" w:rsidRPr="007E188D" w:rsidRDefault="00792DAB" w:rsidP="007E188D">
            <w:pPr>
              <w:pStyle w:val="Titre3"/>
              <w:spacing w:before="0" w:after="240"/>
              <w:ind w:left="374" w:right="2739" w:hanging="374"/>
              <w:rPr>
                <w:sz w:val="22"/>
                <w:szCs w:val="22"/>
              </w:rPr>
            </w:pPr>
            <w:r w:rsidRPr="007E188D">
              <w:rPr>
                <w:sz w:val="22"/>
                <w:szCs w:val="22"/>
              </w:rPr>
              <w:t>IV.</w:t>
            </w:r>
            <w:r w:rsidRPr="007E188D">
              <w:rPr>
                <w:sz w:val="22"/>
                <w:szCs w:val="22"/>
              </w:rPr>
              <w:tab/>
              <w:t xml:space="preserve">PROCEDURE </w:t>
            </w:r>
          </w:p>
        </w:tc>
      </w:tr>
      <w:tr w:rsidR="00017D95" w:rsidTr="007E188D">
        <w:tc>
          <w:tcPr>
            <w:tcW w:w="1800" w:type="dxa"/>
          </w:tcPr>
          <w:p w:rsidR="00017D95" w:rsidRPr="00781674" w:rsidRDefault="009B042A" w:rsidP="007E188D">
            <w:pPr>
              <w:jc w:val="left"/>
            </w:pPr>
            <w:r w:rsidRPr="00781674">
              <w:t>Mise à l'enquête</w:t>
            </w:r>
          </w:p>
        </w:tc>
        <w:tc>
          <w:tcPr>
            <w:tcW w:w="239" w:type="dxa"/>
          </w:tcPr>
          <w:p w:rsidR="00017D95" w:rsidRDefault="00017D95" w:rsidP="00D84A94"/>
        </w:tc>
        <w:tc>
          <w:tcPr>
            <w:tcW w:w="7567" w:type="dxa"/>
          </w:tcPr>
          <w:p w:rsidR="00017D95" w:rsidRPr="00E973A8" w:rsidRDefault="00792DAB" w:rsidP="007E188D">
            <w:pPr>
              <w:tabs>
                <w:tab w:val="left" w:pos="796"/>
                <w:tab w:val="left" w:pos="940"/>
              </w:tabs>
              <w:spacing w:after="360"/>
              <w:ind w:right="176"/>
            </w:pPr>
            <w:r w:rsidRPr="007E188D">
              <w:rPr>
                <w:b/>
              </w:rPr>
              <w:t>Art. 11.</w:t>
            </w:r>
            <w:r w:rsidRPr="00781674">
              <w:tab/>
            </w:r>
            <w:r w:rsidR="00950317">
              <w:tab/>
            </w:r>
            <w:r>
              <w:t>Le tableau des contributions, comprenant le périmètre et tous les facteurs qui influencent le montant de la contribution, est mis à l’enquête pendant trente jours par le conseil communal qui informe par écrit les propriétaires intéressés.</w:t>
            </w:r>
          </w:p>
        </w:tc>
      </w:tr>
      <w:tr w:rsidR="00017D95" w:rsidTr="007E188D">
        <w:tc>
          <w:tcPr>
            <w:tcW w:w="1800" w:type="dxa"/>
          </w:tcPr>
          <w:p w:rsidR="00017D95" w:rsidRPr="00781674" w:rsidRDefault="00792DAB" w:rsidP="007E188D">
            <w:pPr>
              <w:jc w:val="left"/>
            </w:pPr>
            <w:r w:rsidRPr="00781674">
              <w:t>Opposition</w:t>
            </w:r>
          </w:p>
        </w:tc>
        <w:tc>
          <w:tcPr>
            <w:tcW w:w="239" w:type="dxa"/>
          </w:tcPr>
          <w:p w:rsidR="00017D95" w:rsidRDefault="00017D95" w:rsidP="00D84A94"/>
        </w:tc>
        <w:tc>
          <w:tcPr>
            <w:tcW w:w="7567" w:type="dxa"/>
          </w:tcPr>
          <w:p w:rsidR="00017D95" w:rsidRPr="00E973A8" w:rsidRDefault="00792DAB" w:rsidP="007E188D">
            <w:pPr>
              <w:tabs>
                <w:tab w:val="left" w:pos="796"/>
                <w:tab w:val="left" w:pos="940"/>
              </w:tabs>
              <w:spacing w:after="360"/>
              <w:ind w:right="176"/>
            </w:pPr>
            <w:r w:rsidRPr="007E188D">
              <w:rPr>
                <w:b/>
              </w:rPr>
              <w:t>Art. 12.</w:t>
            </w:r>
            <w:r w:rsidRPr="00781674">
              <w:tab/>
            </w:r>
            <w:r w:rsidR="00950317">
              <w:tab/>
            </w:r>
            <w:r w:rsidRPr="00781674">
              <w:t>Le propriétaire intéressé peut, pendant la durée de l'enquête, faire</w:t>
            </w:r>
            <w:r>
              <w:t xml:space="preserve"> </w:t>
            </w:r>
            <w:r w:rsidRPr="00781674">
              <w:t>opposition. L'opposition est formulée par écrit et motivée. Elle est adressée au conseil communal.</w:t>
            </w:r>
          </w:p>
        </w:tc>
      </w:tr>
      <w:tr w:rsidR="00017D95" w:rsidTr="007E188D">
        <w:tc>
          <w:tcPr>
            <w:tcW w:w="1800" w:type="dxa"/>
          </w:tcPr>
          <w:p w:rsidR="00017D95" w:rsidRPr="00781674" w:rsidRDefault="00792DAB" w:rsidP="007E188D">
            <w:pPr>
              <w:jc w:val="left"/>
            </w:pPr>
            <w:r w:rsidRPr="00781674">
              <w:t>Décision sur</w:t>
            </w:r>
            <w:r>
              <w:t xml:space="preserve"> </w:t>
            </w:r>
            <w:r w:rsidRPr="00781674">
              <w:t>opposition, recours</w:t>
            </w:r>
          </w:p>
        </w:tc>
        <w:tc>
          <w:tcPr>
            <w:tcW w:w="239" w:type="dxa"/>
          </w:tcPr>
          <w:p w:rsidR="00017D95" w:rsidRDefault="00017D95" w:rsidP="00D84A94"/>
        </w:tc>
        <w:tc>
          <w:tcPr>
            <w:tcW w:w="7567" w:type="dxa"/>
          </w:tcPr>
          <w:p w:rsidR="00792DAB" w:rsidRPr="00792DAB" w:rsidRDefault="00792DAB" w:rsidP="007E188D">
            <w:pPr>
              <w:tabs>
                <w:tab w:val="left" w:pos="796"/>
                <w:tab w:val="left" w:pos="938"/>
              </w:tabs>
              <w:spacing w:after="240"/>
              <w:ind w:right="176"/>
            </w:pPr>
            <w:r w:rsidRPr="007E188D">
              <w:rPr>
                <w:b/>
              </w:rPr>
              <w:t>Art. 13.</w:t>
            </w:r>
            <w:r w:rsidRPr="00781674">
              <w:tab/>
            </w:r>
            <w:r w:rsidRPr="007E188D">
              <w:rPr>
                <w:vertAlign w:val="superscript"/>
              </w:rPr>
              <w:t>1</w:t>
            </w:r>
            <w:r w:rsidR="00EE7339" w:rsidRPr="007E188D">
              <w:rPr>
                <w:vertAlign w:val="superscript"/>
              </w:rPr>
              <w:tab/>
            </w:r>
            <w:r w:rsidRPr="00781674">
              <w:t>Le conseil communal statue sur les oppositions</w:t>
            </w:r>
            <w:r>
              <w:t xml:space="preserve"> dans un délai de soixante jours</w:t>
            </w:r>
            <w:r w:rsidRPr="00781674">
              <w:t xml:space="preserve">. </w:t>
            </w:r>
            <w:r w:rsidRPr="00792DAB">
              <w:t>II communique sous pli recommandé sa décision motivée aux opposants, avec indication du délai et de la forme à respecter en cas de recours.</w:t>
            </w:r>
          </w:p>
          <w:p w:rsidR="00017D95" w:rsidRDefault="00EE7339" w:rsidP="007E188D">
            <w:pPr>
              <w:tabs>
                <w:tab w:val="left" w:pos="177"/>
              </w:tabs>
              <w:spacing w:after="240"/>
            </w:pPr>
            <w:r w:rsidRPr="007E188D">
              <w:rPr>
                <w:vertAlign w:val="superscript"/>
              </w:rPr>
              <w:t>2</w:t>
            </w:r>
            <w:r w:rsidRPr="007E188D">
              <w:rPr>
                <w:vertAlign w:val="superscript"/>
              </w:rPr>
              <w:tab/>
            </w:r>
            <w:r w:rsidR="00792DAB">
              <w:t>La décision sur les oppositions est sujette à rec</w:t>
            </w:r>
            <w:r w:rsidR="00FD7683">
              <w:t>ours directement</w:t>
            </w:r>
            <w:r w:rsidR="00792DAB" w:rsidRPr="00781674">
              <w:t xml:space="preserve"> </w:t>
            </w:r>
            <w:r w:rsidR="00792DAB">
              <w:t>au</w:t>
            </w:r>
            <w:r w:rsidR="00792DAB" w:rsidRPr="00781674">
              <w:t xml:space="preserve"> Tribunal </w:t>
            </w:r>
            <w:r w:rsidR="00792DAB">
              <w:t>cantonal</w:t>
            </w:r>
            <w:r w:rsidR="00792DAB" w:rsidRPr="00781674">
              <w:t xml:space="preserve"> dans les 30 jours dès la communication de la décision.</w:t>
            </w:r>
          </w:p>
          <w:p w:rsidR="00792DAB" w:rsidRPr="00E973A8" w:rsidRDefault="00EE7339" w:rsidP="007E188D">
            <w:pPr>
              <w:tabs>
                <w:tab w:val="left" w:pos="177"/>
              </w:tabs>
              <w:spacing w:after="360"/>
            </w:pPr>
            <w:r w:rsidRPr="007E188D">
              <w:rPr>
                <w:vertAlign w:val="superscript"/>
              </w:rPr>
              <w:t>3</w:t>
            </w:r>
            <w:r w:rsidRPr="007E188D">
              <w:rPr>
                <w:vertAlign w:val="superscript"/>
              </w:rPr>
              <w:tab/>
            </w:r>
            <w:r w:rsidR="00792DAB" w:rsidRPr="00781674">
              <w:t>En cas de modification des éléments faisant l'objet de la mise à l'enquête à la suite d'oppositions ou de recours, les propriétaires intéressés doivent en être avisés. Ils ne peuvent faire opposition ou recourir qu'en ce qui concerne les éléments modifiés.</w:t>
            </w:r>
          </w:p>
        </w:tc>
      </w:tr>
      <w:tr w:rsidR="00017D95" w:rsidTr="007E188D">
        <w:tc>
          <w:tcPr>
            <w:tcW w:w="1800" w:type="dxa"/>
          </w:tcPr>
          <w:p w:rsidR="00017D95" w:rsidRPr="00781674" w:rsidRDefault="00792DAB" w:rsidP="007E188D">
            <w:pPr>
              <w:jc w:val="left"/>
            </w:pPr>
            <w:r w:rsidRPr="00781674">
              <w:t>Force exécutoire</w:t>
            </w:r>
          </w:p>
        </w:tc>
        <w:tc>
          <w:tcPr>
            <w:tcW w:w="239" w:type="dxa"/>
          </w:tcPr>
          <w:p w:rsidR="00017D95" w:rsidRDefault="00017D95" w:rsidP="00D84A94"/>
        </w:tc>
        <w:tc>
          <w:tcPr>
            <w:tcW w:w="7567" w:type="dxa"/>
          </w:tcPr>
          <w:p w:rsidR="00017D95" w:rsidRPr="00E973A8" w:rsidRDefault="00792DAB" w:rsidP="007E188D">
            <w:pPr>
              <w:tabs>
                <w:tab w:val="left" w:pos="796"/>
                <w:tab w:val="left" w:pos="940"/>
              </w:tabs>
              <w:spacing w:after="360"/>
              <w:ind w:right="176"/>
            </w:pPr>
            <w:r w:rsidRPr="007E188D">
              <w:rPr>
                <w:b/>
              </w:rPr>
              <w:t>Art. 14.</w:t>
            </w:r>
            <w:r w:rsidRPr="00781674">
              <w:tab/>
            </w:r>
            <w:r w:rsidR="00950317">
              <w:tab/>
            </w:r>
            <w:r w:rsidRPr="00781674">
              <w:t xml:space="preserve">La répartition fixée dans les documents y relatifs devient exécutoire dès la fin de la mise à l'enquête </w:t>
            </w:r>
            <w:r>
              <w:t>ou,</w:t>
            </w:r>
            <w:r w:rsidRPr="00781674">
              <w:t xml:space="preserve"> en cas </w:t>
            </w:r>
            <w:r w:rsidRPr="00756A87">
              <w:t xml:space="preserve">d'opposition ou de </w:t>
            </w:r>
            <w:r w:rsidRPr="00781674">
              <w:t>recours</w:t>
            </w:r>
            <w:r>
              <w:t>,</w:t>
            </w:r>
            <w:r w:rsidRPr="00781674">
              <w:t xml:space="preserve"> </w:t>
            </w:r>
            <w:r>
              <w:t>dès</w:t>
            </w:r>
            <w:r w:rsidRPr="00781674">
              <w:t xml:space="preserve"> l'entrée en force de chose jugée de la décision sur opposition ou </w:t>
            </w:r>
            <w:r>
              <w:t xml:space="preserve">sur </w:t>
            </w:r>
            <w:r w:rsidRPr="00781674">
              <w:t>recours.</w:t>
            </w:r>
          </w:p>
        </w:tc>
      </w:tr>
      <w:tr w:rsidR="00017D95" w:rsidTr="007E188D">
        <w:tc>
          <w:tcPr>
            <w:tcW w:w="1800" w:type="dxa"/>
          </w:tcPr>
          <w:p w:rsidR="00017D95" w:rsidRPr="00781674" w:rsidRDefault="00017D95" w:rsidP="007E188D">
            <w:pPr>
              <w:jc w:val="left"/>
            </w:pPr>
          </w:p>
        </w:tc>
        <w:tc>
          <w:tcPr>
            <w:tcW w:w="239" w:type="dxa"/>
          </w:tcPr>
          <w:p w:rsidR="00017D95" w:rsidRDefault="00017D95" w:rsidP="00D84A94"/>
        </w:tc>
        <w:tc>
          <w:tcPr>
            <w:tcW w:w="7567" w:type="dxa"/>
          </w:tcPr>
          <w:p w:rsidR="00017D95" w:rsidRPr="007E188D" w:rsidRDefault="000F707D" w:rsidP="007E188D">
            <w:pPr>
              <w:pStyle w:val="Titre3"/>
              <w:spacing w:before="0" w:after="240"/>
              <w:ind w:left="374" w:right="2739" w:hanging="374"/>
              <w:rPr>
                <w:sz w:val="22"/>
                <w:szCs w:val="22"/>
              </w:rPr>
            </w:pPr>
            <w:r w:rsidRPr="007E188D">
              <w:rPr>
                <w:sz w:val="22"/>
                <w:szCs w:val="22"/>
              </w:rPr>
              <w:t>V.</w:t>
            </w:r>
            <w:r w:rsidRPr="007E188D">
              <w:rPr>
                <w:sz w:val="22"/>
                <w:szCs w:val="22"/>
              </w:rPr>
              <w:tab/>
              <w:t>PERCEPTION (art. 103</w:t>
            </w:r>
            <w:r w:rsidR="00792DAB" w:rsidRPr="007E188D">
              <w:rPr>
                <w:sz w:val="22"/>
                <w:szCs w:val="22"/>
              </w:rPr>
              <w:t xml:space="preserve"> LATeC)</w:t>
            </w:r>
          </w:p>
        </w:tc>
      </w:tr>
      <w:tr w:rsidR="00792DAB" w:rsidRPr="007E188D" w:rsidTr="007E188D">
        <w:tc>
          <w:tcPr>
            <w:tcW w:w="1800" w:type="dxa"/>
          </w:tcPr>
          <w:p w:rsidR="00792DAB" w:rsidRPr="00781674" w:rsidRDefault="00792DAB" w:rsidP="007E188D">
            <w:pPr>
              <w:jc w:val="left"/>
            </w:pPr>
            <w:r w:rsidRPr="00781674">
              <w:t>Exigibilité</w:t>
            </w:r>
          </w:p>
        </w:tc>
        <w:tc>
          <w:tcPr>
            <w:tcW w:w="239" w:type="dxa"/>
          </w:tcPr>
          <w:p w:rsidR="00792DAB" w:rsidRDefault="00792DAB" w:rsidP="00D84A94"/>
        </w:tc>
        <w:tc>
          <w:tcPr>
            <w:tcW w:w="7567" w:type="dxa"/>
          </w:tcPr>
          <w:p w:rsidR="00792DAB" w:rsidRDefault="00792DAB" w:rsidP="007E188D">
            <w:pPr>
              <w:tabs>
                <w:tab w:val="left" w:pos="796"/>
                <w:tab w:val="left" w:pos="938"/>
              </w:tabs>
              <w:spacing w:after="240"/>
              <w:ind w:right="176"/>
            </w:pPr>
            <w:r w:rsidRPr="007E188D">
              <w:rPr>
                <w:b/>
              </w:rPr>
              <w:t>Art. 15.</w:t>
            </w:r>
            <w:r w:rsidRPr="00781674">
              <w:tab/>
            </w:r>
            <w:r w:rsidRPr="007E188D">
              <w:rPr>
                <w:vertAlign w:val="superscript"/>
              </w:rPr>
              <w:t>1</w:t>
            </w:r>
            <w:r w:rsidR="00EE7339" w:rsidRPr="007E188D">
              <w:rPr>
                <w:vertAlign w:val="superscript"/>
              </w:rPr>
              <w:tab/>
            </w:r>
            <w:r w:rsidRPr="00781674">
              <w:t>Les contributions des propriétaires sont dues dès le moment où l'équipement est réalisé.</w:t>
            </w:r>
          </w:p>
          <w:p w:rsidR="00123AF2" w:rsidRPr="007E188D" w:rsidRDefault="00123AF2" w:rsidP="007E188D">
            <w:pPr>
              <w:tabs>
                <w:tab w:val="left" w:pos="177"/>
              </w:tabs>
              <w:rPr>
                <w:vertAlign w:val="superscript"/>
              </w:rPr>
            </w:pPr>
          </w:p>
          <w:p w:rsidR="00123AF2" w:rsidRPr="007E188D" w:rsidRDefault="00123AF2" w:rsidP="007E188D">
            <w:pPr>
              <w:tabs>
                <w:tab w:val="left" w:pos="177"/>
              </w:tabs>
              <w:rPr>
                <w:vertAlign w:val="superscript"/>
              </w:rPr>
            </w:pPr>
          </w:p>
          <w:p w:rsidR="00D30376" w:rsidRDefault="00EE7339" w:rsidP="007E188D">
            <w:pPr>
              <w:tabs>
                <w:tab w:val="left" w:pos="177"/>
              </w:tabs>
              <w:spacing w:after="240"/>
            </w:pPr>
            <w:r w:rsidRPr="007E188D">
              <w:rPr>
                <w:vertAlign w:val="superscript"/>
              </w:rPr>
              <w:t>2</w:t>
            </w:r>
            <w:r w:rsidRPr="007E188D">
              <w:rPr>
                <w:vertAlign w:val="superscript"/>
              </w:rPr>
              <w:tab/>
            </w:r>
            <w:r w:rsidR="00792DAB" w:rsidRPr="00781674">
              <w:t>Des acomptes peuvent être perçus dès le début des travaux.</w:t>
            </w:r>
            <w:r w:rsidR="00792DAB">
              <w:t xml:space="preserve"> </w:t>
            </w:r>
            <w:r w:rsidR="00792DAB" w:rsidRPr="00781674">
              <w:t>Ils sont fixés sur la base du coût approximatif devisé des ouvrages</w:t>
            </w:r>
            <w:r w:rsidR="002D0596">
              <w:t xml:space="preserve"> </w:t>
            </w:r>
            <w:r w:rsidR="00792DAB" w:rsidRPr="00781674">
              <w:t>et selon l'avancement des travaux.</w:t>
            </w:r>
          </w:p>
          <w:p w:rsidR="00792DAB" w:rsidRPr="007E188D" w:rsidRDefault="00EE7339" w:rsidP="007E188D">
            <w:pPr>
              <w:tabs>
                <w:tab w:val="left" w:pos="177"/>
              </w:tabs>
              <w:spacing w:after="360"/>
              <w:rPr>
                <w:highlight w:val="yellow"/>
              </w:rPr>
            </w:pPr>
            <w:r w:rsidRPr="007E188D">
              <w:rPr>
                <w:vertAlign w:val="superscript"/>
              </w:rPr>
              <w:t>3</w:t>
            </w:r>
            <w:r w:rsidRPr="007E188D">
              <w:rPr>
                <w:vertAlign w:val="superscript"/>
              </w:rPr>
              <w:tab/>
            </w:r>
            <w:r w:rsidR="00792DAB" w:rsidRPr="00316958">
              <w:t xml:space="preserve">Toute </w:t>
            </w:r>
            <w:r w:rsidR="00792DAB" w:rsidRPr="00792DAB">
              <w:t>contribution</w:t>
            </w:r>
            <w:r w:rsidR="00792DAB" w:rsidRPr="00316958">
              <w:t xml:space="preserve"> non payée à l’échéance porte intérêt au taux de l’impôt sur le revenu et la fortune des personnes physiques.</w:t>
            </w:r>
          </w:p>
        </w:tc>
      </w:tr>
      <w:tr w:rsidR="00792DAB" w:rsidTr="007E188D">
        <w:tc>
          <w:tcPr>
            <w:tcW w:w="1800" w:type="dxa"/>
          </w:tcPr>
          <w:p w:rsidR="00792DAB" w:rsidRPr="00781674" w:rsidRDefault="00792DAB" w:rsidP="007E188D">
            <w:pPr>
              <w:jc w:val="left"/>
            </w:pPr>
            <w:r w:rsidRPr="00781674">
              <w:lastRenderedPageBreak/>
              <w:t>Débiteur</w:t>
            </w:r>
          </w:p>
        </w:tc>
        <w:tc>
          <w:tcPr>
            <w:tcW w:w="239" w:type="dxa"/>
          </w:tcPr>
          <w:p w:rsidR="00792DAB" w:rsidRDefault="00792DAB" w:rsidP="00D84A94"/>
        </w:tc>
        <w:tc>
          <w:tcPr>
            <w:tcW w:w="7567" w:type="dxa"/>
          </w:tcPr>
          <w:p w:rsidR="00792DAB" w:rsidRPr="007E188D" w:rsidRDefault="00792DAB" w:rsidP="007E188D">
            <w:pPr>
              <w:tabs>
                <w:tab w:val="left" w:pos="796"/>
                <w:tab w:val="left" w:pos="940"/>
              </w:tabs>
              <w:spacing w:after="360"/>
              <w:ind w:right="176"/>
              <w:rPr>
                <w:b/>
              </w:rPr>
            </w:pPr>
            <w:r w:rsidRPr="007E188D">
              <w:rPr>
                <w:b/>
              </w:rPr>
              <w:t>Art. 16.</w:t>
            </w:r>
            <w:r w:rsidR="00E05B57">
              <w:tab/>
            </w:r>
            <w:r w:rsidR="00950317">
              <w:tab/>
            </w:r>
            <w:r w:rsidRPr="00781674">
              <w:t>Le débiteur de la contribution est le propriétaire du fonds au moment</w:t>
            </w:r>
            <w:r>
              <w:t xml:space="preserve"> </w:t>
            </w:r>
            <w:r w:rsidRPr="006A73B1">
              <w:t>de la mise à l'enquête du tableau des contributions.</w:t>
            </w:r>
          </w:p>
        </w:tc>
      </w:tr>
      <w:tr w:rsidR="00792DAB" w:rsidTr="007E188D">
        <w:tc>
          <w:tcPr>
            <w:tcW w:w="1800" w:type="dxa"/>
          </w:tcPr>
          <w:p w:rsidR="00792DAB" w:rsidRPr="00781674" w:rsidRDefault="00792DAB" w:rsidP="007E188D">
            <w:pPr>
              <w:jc w:val="left"/>
            </w:pPr>
            <w:r w:rsidRPr="00781674">
              <w:t>Facilités de</w:t>
            </w:r>
            <w:r>
              <w:t xml:space="preserve"> </w:t>
            </w:r>
            <w:r w:rsidRPr="00781674">
              <w:rPr>
                <w:noProof/>
              </w:rPr>
              <w:t>paiement</w:t>
            </w:r>
          </w:p>
        </w:tc>
        <w:tc>
          <w:tcPr>
            <w:tcW w:w="239" w:type="dxa"/>
          </w:tcPr>
          <w:p w:rsidR="00792DAB" w:rsidRDefault="00792DAB" w:rsidP="00D84A94"/>
        </w:tc>
        <w:tc>
          <w:tcPr>
            <w:tcW w:w="7567" w:type="dxa"/>
          </w:tcPr>
          <w:p w:rsidR="00E05B57" w:rsidRPr="007E188D" w:rsidRDefault="00792DAB" w:rsidP="007E188D">
            <w:pPr>
              <w:tabs>
                <w:tab w:val="left" w:pos="796"/>
                <w:tab w:val="left" w:pos="940"/>
              </w:tabs>
              <w:spacing w:after="360"/>
              <w:ind w:right="176"/>
              <w:rPr>
                <w:b/>
                <w:noProof/>
              </w:rPr>
            </w:pPr>
            <w:r w:rsidRPr="007E188D">
              <w:rPr>
                <w:b/>
                <w:noProof/>
              </w:rPr>
              <w:t>Art</w:t>
            </w:r>
            <w:r w:rsidRPr="007E188D">
              <w:rPr>
                <w:b/>
              </w:rPr>
              <w:t>. 17.</w:t>
            </w:r>
            <w:r w:rsidRPr="00781674">
              <w:tab/>
            </w:r>
            <w:r w:rsidR="00950317">
              <w:tab/>
            </w:r>
            <w:r w:rsidRPr="00821B8F">
              <w:t xml:space="preserve">Lorsque l'acquittement de la contribution constitue une charge </w:t>
            </w:r>
            <w:r w:rsidR="00E05B57" w:rsidRPr="00821B8F">
              <w:rPr>
                <w:noProof/>
              </w:rPr>
              <w:t>insupportable</w:t>
            </w:r>
            <w:r w:rsidR="002D0596">
              <w:rPr>
                <w:noProof/>
              </w:rPr>
              <w:t>,</w:t>
            </w:r>
            <w:r w:rsidR="00E05B57" w:rsidRPr="00821B8F">
              <w:rPr>
                <w:noProof/>
              </w:rPr>
              <w:t xml:space="preserve"> le conseil communal peut autoriser le paiement par acomptes</w:t>
            </w:r>
            <w:r w:rsidR="002D0596">
              <w:rPr>
                <w:noProof/>
              </w:rPr>
              <w:t xml:space="preserve"> </w:t>
            </w:r>
            <w:r w:rsidR="00E05B57" w:rsidRPr="00821B8F">
              <w:rPr>
                <w:noProof/>
              </w:rPr>
              <w:t xml:space="preserve">ou accorder un sursis. Dans ce cas, un intérêt moratoire est perçu </w:t>
            </w:r>
            <w:r w:rsidR="003A3DB0">
              <w:rPr>
                <w:noProof/>
              </w:rPr>
              <w:t>au taux de</w:t>
            </w:r>
            <w:r w:rsidR="00E05B57" w:rsidRPr="00821B8F">
              <w:rPr>
                <w:noProof/>
              </w:rPr>
              <w:t xml:space="preserve"> l’impôt sur le revenu et la fortune</w:t>
            </w:r>
            <w:r w:rsidR="00C50E76">
              <w:rPr>
                <w:noProof/>
              </w:rPr>
              <w:t xml:space="preserve"> des personnes physiques</w:t>
            </w:r>
            <w:r w:rsidR="00E05B57" w:rsidRPr="00821B8F">
              <w:rPr>
                <w:noProof/>
              </w:rPr>
              <w:t>.</w:t>
            </w:r>
          </w:p>
        </w:tc>
      </w:tr>
      <w:tr w:rsidR="00792DAB" w:rsidRPr="007E188D" w:rsidTr="007E188D">
        <w:tc>
          <w:tcPr>
            <w:tcW w:w="1800" w:type="dxa"/>
          </w:tcPr>
          <w:p w:rsidR="00792DAB" w:rsidRPr="00781674" w:rsidRDefault="00E05B57" w:rsidP="007E188D">
            <w:pPr>
              <w:jc w:val="left"/>
            </w:pPr>
            <w:r w:rsidRPr="006A73B1">
              <w:t>Hypothèque légale</w:t>
            </w:r>
          </w:p>
        </w:tc>
        <w:tc>
          <w:tcPr>
            <w:tcW w:w="239" w:type="dxa"/>
          </w:tcPr>
          <w:p w:rsidR="00792DAB" w:rsidRDefault="00792DAB" w:rsidP="00D84A94"/>
        </w:tc>
        <w:tc>
          <w:tcPr>
            <w:tcW w:w="7567" w:type="dxa"/>
          </w:tcPr>
          <w:p w:rsidR="00792DAB" w:rsidRPr="007E188D" w:rsidRDefault="00E05B57" w:rsidP="007E188D">
            <w:pPr>
              <w:tabs>
                <w:tab w:val="left" w:pos="796"/>
                <w:tab w:val="left" w:pos="940"/>
              </w:tabs>
              <w:spacing w:after="360"/>
              <w:ind w:right="176"/>
              <w:rPr>
                <w:b/>
              </w:rPr>
            </w:pPr>
            <w:r w:rsidRPr="007E188D">
              <w:rPr>
                <w:b/>
                <w:noProof/>
              </w:rPr>
              <w:t>Art</w:t>
            </w:r>
            <w:r w:rsidRPr="007E188D">
              <w:rPr>
                <w:b/>
              </w:rPr>
              <w:t>. 18.</w:t>
            </w:r>
            <w:r w:rsidRPr="006A73B1">
              <w:tab/>
            </w:r>
            <w:r w:rsidR="00950317">
              <w:tab/>
            </w:r>
            <w:r w:rsidRPr="006A73B1">
              <w:t>Le paiement de la contribution et des intérêts est garanti par une</w:t>
            </w:r>
            <w:r>
              <w:t xml:space="preserve"> </w:t>
            </w:r>
            <w:r w:rsidRPr="00756A87">
              <w:rPr>
                <w:noProof/>
              </w:rPr>
              <w:t xml:space="preserve">hypothèque légale </w:t>
            </w:r>
            <w:r w:rsidRPr="006A73B1">
              <w:rPr>
                <w:noProof/>
              </w:rPr>
              <w:t>conformément</w:t>
            </w:r>
            <w:r>
              <w:rPr>
                <w:noProof/>
              </w:rPr>
              <w:t xml:space="preserve"> à l’article 103 al. 5 LATeC.</w:t>
            </w:r>
          </w:p>
        </w:tc>
      </w:tr>
      <w:tr w:rsidR="00792DAB" w:rsidTr="007E188D">
        <w:tc>
          <w:tcPr>
            <w:tcW w:w="1800" w:type="dxa"/>
          </w:tcPr>
          <w:p w:rsidR="00792DAB" w:rsidRPr="00781674" w:rsidRDefault="00792DAB" w:rsidP="007E188D">
            <w:pPr>
              <w:jc w:val="left"/>
            </w:pPr>
          </w:p>
        </w:tc>
        <w:tc>
          <w:tcPr>
            <w:tcW w:w="239" w:type="dxa"/>
          </w:tcPr>
          <w:p w:rsidR="00792DAB" w:rsidRDefault="00792DAB" w:rsidP="00D84A94"/>
        </w:tc>
        <w:tc>
          <w:tcPr>
            <w:tcW w:w="7567" w:type="dxa"/>
          </w:tcPr>
          <w:p w:rsidR="00792DAB" w:rsidRPr="007E188D" w:rsidRDefault="00E05B57" w:rsidP="007E188D">
            <w:pPr>
              <w:pStyle w:val="Titre3"/>
              <w:spacing w:before="0" w:after="240"/>
              <w:ind w:left="374" w:right="2739" w:hanging="374"/>
              <w:rPr>
                <w:sz w:val="22"/>
                <w:szCs w:val="22"/>
              </w:rPr>
            </w:pPr>
            <w:r w:rsidRPr="007E188D">
              <w:rPr>
                <w:sz w:val="22"/>
                <w:szCs w:val="22"/>
              </w:rPr>
              <w:t>VI.</w:t>
            </w:r>
            <w:r w:rsidRPr="007E188D">
              <w:rPr>
                <w:sz w:val="22"/>
                <w:szCs w:val="22"/>
              </w:rPr>
              <w:tab/>
              <w:t>DISPOSITIONS FINALES</w:t>
            </w:r>
          </w:p>
        </w:tc>
      </w:tr>
      <w:tr w:rsidR="00E05B57" w:rsidRPr="007E188D" w:rsidTr="007E188D">
        <w:tc>
          <w:tcPr>
            <w:tcW w:w="1800" w:type="dxa"/>
          </w:tcPr>
          <w:p w:rsidR="00E05B57" w:rsidRPr="007E188D" w:rsidRDefault="00E05B57" w:rsidP="007E188D">
            <w:pPr>
              <w:spacing w:after="360"/>
              <w:rPr>
                <w:highlight w:val="yellow"/>
                <w:lang w:val="fr-CH"/>
              </w:rPr>
            </w:pPr>
            <w:r w:rsidRPr="007E188D">
              <w:rPr>
                <w:lang w:val="fr-CH"/>
              </w:rPr>
              <w:t>Abrogation des dispositions antérieures</w:t>
            </w:r>
          </w:p>
        </w:tc>
        <w:tc>
          <w:tcPr>
            <w:tcW w:w="239" w:type="dxa"/>
          </w:tcPr>
          <w:p w:rsidR="00E05B57" w:rsidRDefault="00E05B57" w:rsidP="00D84A94"/>
        </w:tc>
        <w:tc>
          <w:tcPr>
            <w:tcW w:w="7567" w:type="dxa"/>
          </w:tcPr>
          <w:p w:rsidR="00E05B57" w:rsidRPr="00781674" w:rsidRDefault="00534174" w:rsidP="007E188D">
            <w:pPr>
              <w:tabs>
                <w:tab w:val="left" w:pos="796"/>
                <w:tab w:val="left" w:pos="940"/>
              </w:tabs>
              <w:spacing w:after="360"/>
              <w:ind w:right="176"/>
            </w:pPr>
            <w:r w:rsidRPr="007E188D">
              <w:rPr>
                <w:b/>
                <w:lang w:val="fr-CH"/>
              </w:rPr>
              <w:t>Art. 19</w:t>
            </w:r>
            <w:r w:rsidR="00E05B57" w:rsidRPr="007E188D">
              <w:rPr>
                <w:b/>
                <w:lang w:val="fr-CH"/>
              </w:rPr>
              <w:t>.</w:t>
            </w:r>
            <w:r w:rsidR="009C527D" w:rsidRPr="007E188D">
              <w:rPr>
                <w:b/>
                <w:lang w:val="fr-CH"/>
              </w:rPr>
              <w:tab/>
            </w:r>
            <w:r w:rsidR="00950317" w:rsidRPr="007E188D">
              <w:rPr>
                <w:b/>
                <w:lang w:val="fr-CH"/>
              </w:rPr>
              <w:tab/>
            </w:r>
            <w:r w:rsidR="00E05B57" w:rsidRPr="007E188D">
              <w:rPr>
                <w:lang w:val="fr-CH"/>
              </w:rPr>
              <w:t>Le règlement du</w:t>
            </w:r>
            <w:r w:rsidR="009C527D" w:rsidRPr="007E188D">
              <w:rPr>
                <w:lang w:val="fr-CH"/>
              </w:rPr>
              <w:t xml:space="preserve"> </w:t>
            </w:r>
            <w:r w:rsidR="00E05B57" w:rsidRPr="007E188D">
              <w:rPr>
                <w:lang w:val="fr-CH"/>
              </w:rPr>
              <w:t>...</w:t>
            </w:r>
            <w:r w:rsidR="009C527D" w:rsidRPr="007E188D">
              <w:rPr>
                <w:lang w:val="fr-CH"/>
              </w:rPr>
              <w:t xml:space="preserve"> </w:t>
            </w:r>
            <w:r w:rsidR="00E05B57" w:rsidRPr="007E188D">
              <w:rPr>
                <w:lang w:val="fr-CH"/>
              </w:rPr>
              <w:t>relatif</w:t>
            </w:r>
            <w:r w:rsidR="009C527D" w:rsidRPr="007E188D">
              <w:rPr>
                <w:lang w:val="fr-CH"/>
              </w:rPr>
              <w:t xml:space="preserve"> </w:t>
            </w:r>
            <w:r w:rsidR="00E05B57" w:rsidRPr="007E188D">
              <w:rPr>
                <w:lang w:val="fr-CH"/>
              </w:rPr>
              <w:t>....</w:t>
            </w:r>
            <w:r w:rsidR="009C527D" w:rsidRPr="007E188D">
              <w:rPr>
                <w:lang w:val="fr-CH"/>
              </w:rPr>
              <w:t xml:space="preserve"> </w:t>
            </w:r>
            <w:r w:rsidR="00E05B57" w:rsidRPr="007E188D">
              <w:rPr>
                <w:lang w:val="fr-CH"/>
              </w:rPr>
              <w:t>ainsi que les éventuelles autres dispositions antérieures au présent règlement sont abrogées.</w:t>
            </w:r>
          </w:p>
        </w:tc>
      </w:tr>
      <w:tr w:rsidR="00E05B57" w:rsidTr="007E188D">
        <w:tc>
          <w:tcPr>
            <w:tcW w:w="1800" w:type="dxa"/>
          </w:tcPr>
          <w:p w:rsidR="00E05B57" w:rsidRPr="00781674" w:rsidRDefault="00E05B57" w:rsidP="007E188D">
            <w:pPr>
              <w:jc w:val="left"/>
            </w:pPr>
            <w:r>
              <w:t xml:space="preserve">Entrée en </w:t>
            </w:r>
            <w:r w:rsidRPr="00781674">
              <w:t>vigueur</w:t>
            </w:r>
          </w:p>
        </w:tc>
        <w:tc>
          <w:tcPr>
            <w:tcW w:w="239" w:type="dxa"/>
          </w:tcPr>
          <w:p w:rsidR="00E05B57" w:rsidRDefault="00E05B57" w:rsidP="00D84A94"/>
        </w:tc>
        <w:tc>
          <w:tcPr>
            <w:tcW w:w="7567" w:type="dxa"/>
          </w:tcPr>
          <w:p w:rsidR="00E05B57" w:rsidRPr="009C527D" w:rsidRDefault="00E05B57" w:rsidP="007E188D">
            <w:pPr>
              <w:tabs>
                <w:tab w:val="left" w:pos="796"/>
                <w:tab w:val="left" w:pos="940"/>
              </w:tabs>
              <w:spacing w:after="1000"/>
              <w:ind w:right="176"/>
            </w:pPr>
            <w:r w:rsidRPr="007E188D">
              <w:rPr>
                <w:b/>
              </w:rPr>
              <w:t xml:space="preserve">Art. </w:t>
            </w:r>
            <w:r w:rsidR="00534174" w:rsidRPr="007E188D">
              <w:rPr>
                <w:b/>
              </w:rPr>
              <w:t>20</w:t>
            </w:r>
            <w:r w:rsidRPr="007E188D">
              <w:rPr>
                <w:b/>
              </w:rPr>
              <w:t>.</w:t>
            </w:r>
            <w:r w:rsidR="009C527D">
              <w:tab/>
            </w:r>
            <w:r w:rsidR="00950317">
              <w:tab/>
            </w:r>
            <w:r w:rsidRPr="00781674">
              <w:t xml:space="preserve">Le </w:t>
            </w:r>
            <w:r w:rsidRPr="007E188D">
              <w:rPr>
                <w:lang w:val="fr-CH"/>
              </w:rPr>
              <w:t>présent</w:t>
            </w:r>
            <w:r w:rsidRPr="00781674">
              <w:t xml:space="preserve"> règlement entre en vigueur dès son approbation par</w:t>
            </w:r>
            <w:r w:rsidR="009C527D">
              <w:t xml:space="preserve"> </w:t>
            </w:r>
            <w:r w:rsidRPr="00781674">
              <w:t xml:space="preserve">la </w:t>
            </w:r>
            <w:r w:rsidRPr="007E188D">
              <w:rPr>
                <w:lang w:val="fr-CH"/>
              </w:rPr>
              <w:t>Direction de l'aménagement, de l'environnement et des constructions</w:t>
            </w:r>
            <w:r w:rsidR="000D3B6C" w:rsidRPr="007E188D">
              <w:rPr>
                <w:lang w:val="fr-CH"/>
              </w:rPr>
              <w:t xml:space="preserve"> (DAEC)</w:t>
            </w:r>
            <w:r w:rsidR="00222914" w:rsidRPr="007E188D">
              <w:rPr>
                <w:lang w:val="fr-CH"/>
              </w:rPr>
              <w:t>.</w:t>
            </w:r>
          </w:p>
        </w:tc>
      </w:tr>
      <w:tr w:rsidR="00E05B57" w:rsidTr="007E188D">
        <w:tc>
          <w:tcPr>
            <w:tcW w:w="9606" w:type="dxa"/>
            <w:gridSpan w:val="3"/>
          </w:tcPr>
          <w:p w:rsidR="00077F5B" w:rsidRPr="007E188D" w:rsidRDefault="00077F5B" w:rsidP="007E188D">
            <w:pPr>
              <w:pStyle w:val="Corpsdetexte2"/>
              <w:spacing w:after="360"/>
              <w:jc w:val="center"/>
              <w:rPr>
                <w:lang w:val="fr-CH"/>
              </w:rPr>
            </w:pPr>
            <w:r w:rsidRPr="007E188D">
              <w:rPr>
                <w:lang w:val="fr-CH"/>
              </w:rPr>
              <w:t>Ainsi adopté par l'Assemblée communale en sa séance du …</w:t>
            </w:r>
          </w:p>
          <w:p w:rsidR="00E05B57" w:rsidRPr="007E188D" w:rsidRDefault="00E05B57" w:rsidP="007E188D">
            <w:pPr>
              <w:tabs>
                <w:tab w:val="left" w:pos="3261"/>
              </w:tabs>
              <w:rPr>
                <w:lang w:val="fr-CH"/>
              </w:rPr>
            </w:pPr>
          </w:p>
          <w:p w:rsidR="00E05B57" w:rsidRPr="007E188D" w:rsidRDefault="0017473D" w:rsidP="007E188D">
            <w:pPr>
              <w:pStyle w:val="Corpsdetexte3"/>
              <w:tabs>
                <w:tab w:val="center" w:pos="1985"/>
                <w:tab w:val="center" w:pos="6525"/>
              </w:tabs>
              <w:spacing w:after="1000"/>
              <w:rPr>
                <w:sz w:val="22"/>
                <w:szCs w:val="22"/>
                <w:lang w:val="fr-CH"/>
              </w:rPr>
            </w:pPr>
            <w:r w:rsidRPr="007E188D">
              <w:rPr>
                <w:sz w:val="22"/>
                <w:szCs w:val="22"/>
                <w:lang w:val="fr-CH"/>
              </w:rPr>
              <w:tab/>
            </w:r>
            <w:r w:rsidR="003D1A13" w:rsidRPr="007E188D">
              <w:rPr>
                <w:sz w:val="22"/>
                <w:szCs w:val="22"/>
                <w:lang w:val="fr-CH"/>
              </w:rPr>
              <w:t>Le / La</w:t>
            </w:r>
            <w:r w:rsidR="00E05B57" w:rsidRPr="007E188D">
              <w:rPr>
                <w:sz w:val="22"/>
                <w:szCs w:val="22"/>
                <w:lang w:val="fr-CH"/>
              </w:rPr>
              <w:t xml:space="preserve"> secrétaire:</w:t>
            </w:r>
            <w:r w:rsidR="00E05B57" w:rsidRPr="007E188D">
              <w:rPr>
                <w:sz w:val="22"/>
                <w:szCs w:val="22"/>
                <w:lang w:val="fr-CH"/>
              </w:rPr>
              <w:tab/>
              <w:t xml:space="preserve">Le Syndic / </w:t>
            </w:r>
            <w:r w:rsidR="003D1A13" w:rsidRPr="007E188D">
              <w:rPr>
                <w:sz w:val="22"/>
                <w:szCs w:val="22"/>
                <w:lang w:val="fr-CH"/>
              </w:rPr>
              <w:t>La Syndique:</w:t>
            </w:r>
          </w:p>
          <w:p w:rsidR="00222914" w:rsidRPr="007E188D" w:rsidRDefault="00E05B57" w:rsidP="007E188D">
            <w:pPr>
              <w:spacing w:after="800"/>
              <w:rPr>
                <w:lang w:val="fr-CH"/>
              </w:rPr>
            </w:pPr>
            <w:r w:rsidRPr="007E188D">
              <w:rPr>
                <w:lang w:val="fr-CH"/>
              </w:rPr>
              <w:t>Approuvé par la Direction de l'aménagement, de l'environnement et des constructions</w:t>
            </w:r>
          </w:p>
          <w:p w:rsidR="00E05B57" w:rsidRPr="009166EF" w:rsidRDefault="00E05B57" w:rsidP="007E188D">
            <w:pPr>
              <w:tabs>
                <w:tab w:val="center" w:pos="6521"/>
              </w:tabs>
            </w:pPr>
            <w:r w:rsidRPr="007E188D">
              <w:rPr>
                <w:lang w:val="fr-CH"/>
              </w:rPr>
              <w:t>Fribourg, le</w:t>
            </w:r>
            <w:r w:rsidRPr="007E188D">
              <w:rPr>
                <w:lang w:val="fr-CH"/>
              </w:rPr>
              <w:tab/>
            </w:r>
            <w:r w:rsidR="009166EF">
              <w:t>Le Conseiller d'Etat, Directeur</w:t>
            </w:r>
          </w:p>
        </w:tc>
      </w:tr>
    </w:tbl>
    <w:p w:rsidR="00FC12A5" w:rsidRPr="00D84A94" w:rsidRDefault="00FC12A5" w:rsidP="00551745"/>
    <w:sectPr w:rsidR="00FC12A5" w:rsidRPr="00D84A94" w:rsidSect="00FC12A5">
      <w:footerReference w:type="default" r:id="rId11"/>
      <w:type w:val="continuous"/>
      <w:pgSz w:w="11907" w:h="16840" w:code="9"/>
      <w:pgMar w:top="1418" w:right="1134" w:bottom="1134" w:left="1418" w:header="1134" w:footer="851"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88D" w:rsidRDefault="007E188D" w:rsidP="00401FB8">
      <w:pPr>
        <w:pStyle w:val="Titre1"/>
      </w:pPr>
      <w:r>
        <w:separator/>
      </w:r>
    </w:p>
  </w:endnote>
  <w:endnote w:type="continuationSeparator" w:id="0">
    <w:p w:rsidR="007E188D" w:rsidRDefault="007E188D" w:rsidP="00401FB8">
      <w:pPr>
        <w:pStyle w:val="Titre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DB0" w:rsidRDefault="003A3DB0">
    <w:pPr>
      <w:pStyle w:val="Pieddepage"/>
    </w:pPr>
    <w:r>
      <w:t>Mise à jour du 25 juin 2010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6" w:type="dxa"/>
      <w:tblBorders>
        <w:top w:val="single" w:sz="4" w:space="0" w:color="auto"/>
        <w:insideH w:val="single" w:sz="4" w:space="0" w:color="auto"/>
        <w:insideV w:val="single" w:sz="4" w:space="0" w:color="auto"/>
      </w:tblBorders>
      <w:tblLook w:val="01E0" w:firstRow="1" w:lastRow="1" w:firstColumn="1" w:lastColumn="1" w:noHBand="0" w:noVBand="0"/>
    </w:tblPr>
    <w:tblGrid>
      <w:gridCol w:w="9606"/>
    </w:tblGrid>
    <w:tr w:rsidR="003A3DB0" w:rsidTr="007E188D">
      <w:tc>
        <w:tcPr>
          <w:tcW w:w="9606" w:type="dxa"/>
        </w:tcPr>
        <w:p w:rsidR="003A3DB0" w:rsidRDefault="003A3DB0">
          <w:pPr>
            <w:pStyle w:val="Pieddepage"/>
          </w:pPr>
          <w:r>
            <w:t>Mise à jour du 1</w:t>
          </w:r>
          <w:r w:rsidRPr="007E188D">
            <w:rPr>
              <w:vertAlign w:val="superscript"/>
            </w:rPr>
            <w:t>er</w:t>
          </w:r>
          <w:r>
            <w:t xml:space="preserve"> juillet 2010</w:t>
          </w:r>
        </w:p>
      </w:tc>
    </w:tr>
  </w:tbl>
  <w:p w:rsidR="003A3DB0" w:rsidRDefault="003A3DB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9571"/>
    </w:tblGrid>
    <w:tr w:rsidR="003A3DB0" w:rsidTr="007E188D">
      <w:tc>
        <w:tcPr>
          <w:tcW w:w="9495" w:type="dxa"/>
        </w:tcPr>
        <w:tbl>
          <w:tblPr>
            <w:tblW w:w="9498" w:type="dxa"/>
            <w:tblBorders>
              <w:top w:val="single" w:sz="4" w:space="0" w:color="auto"/>
              <w:insideH w:val="single" w:sz="4" w:space="0" w:color="auto"/>
              <w:insideV w:val="single" w:sz="4" w:space="0" w:color="auto"/>
            </w:tblBorders>
            <w:tblLook w:val="01E0" w:firstRow="1" w:lastRow="1" w:firstColumn="1" w:lastColumn="1" w:noHBand="0" w:noVBand="0"/>
          </w:tblPr>
          <w:tblGrid>
            <w:gridCol w:w="9498"/>
          </w:tblGrid>
          <w:tr w:rsidR="003A3DB0" w:rsidTr="007E188D">
            <w:tc>
              <w:tcPr>
                <w:tcW w:w="9498" w:type="dxa"/>
              </w:tcPr>
              <w:p w:rsidR="003A3DB0" w:rsidRDefault="003A3DB0" w:rsidP="00812040">
                <w:pPr>
                  <w:pStyle w:val="Pieddepage"/>
                </w:pPr>
                <w:r>
                  <w:t>Mise à jour du 1</w:t>
                </w:r>
                <w:r w:rsidRPr="007E188D">
                  <w:rPr>
                    <w:vertAlign w:val="superscript"/>
                  </w:rPr>
                  <w:t>er</w:t>
                </w:r>
                <w:r>
                  <w:t xml:space="preserve"> juillet 2010</w:t>
                </w:r>
              </w:p>
            </w:tc>
          </w:tr>
        </w:tbl>
        <w:p w:rsidR="003A3DB0" w:rsidRDefault="003A3DB0" w:rsidP="00812040">
          <w:pPr>
            <w:pStyle w:val="Pieddepage"/>
          </w:pPr>
        </w:p>
      </w:tc>
    </w:tr>
  </w:tbl>
  <w:p w:rsidR="003A3DB0" w:rsidRPr="00812040" w:rsidRDefault="003A3DB0" w:rsidP="002C6A2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88D" w:rsidRDefault="007E188D" w:rsidP="00401FB8">
      <w:pPr>
        <w:pStyle w:val="Titre1"/>
      </w:pPr>
      <w:r>
        <w:separator/>
      </w:r>
    </w:p>
  </w:footnote>
  <w:footnote w:type="continuationSeparator" w:id="0">
    <w:p w:rsidR="007E188D" w:rsidRDefault="007E188D" w:rsidP="00401FB8">
      <w:pPr>
        <w:pStyle w:val="Titre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DB0" w:rsidRDefault="003A3DB0" w:rsidP="000A2CBA">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3A3DB0" w:rsidRDefault="003A3DB0" w:rsidP="000A2CBA">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DB0" w:rsidRDefault="003A3DB0" w:rsidP="000A2CBA">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7E486D">
      <w:rPr>
        <w:rStyle w:val="Numrodepage"/>
        <w:noProof/>
      </w:rPr>
      <w:t>4</w:t>
    </w:r>
    <w:r>
      <w:rPr>
        <w:rStyle w:val="Numrodepage"/>
      </w:rPr>
      <w:fldChar w:fldCharType="end"/>
    </w:r>
  </w:p>
  <w:p w:rsidR="003A3DB0" w:rsidRDefault="003A3DB0" w:rsidP="00DE0BFA">
    <w:pPr>
      <w:pStyle w:val="En-tt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E20"/>
    <w:rsid w:val="000139D5"/>
    <w:rsid w:val="00017D95"/>
    <w:rsid w:val="00055C47"/>
    <w:rsid w:val="00057E50"/>
    <w:rsid w:val="00070823"/>
    <w:rsid w:val="00077F5B"/>
    <w:rsid w:val="000A2CBA"/>
    <w:rsid w:val="000A31EE"/>
    <w:rsid w:val="000D3B6C"/>
    <w:rsid w:val="000D7CE1"/>
    <w:rsid w:val="000F707D"/>
    <w:rsid w:val="00122992"/>
    <w:rsid w:val="00123822"/>
    <w:rsid w:val="00123AF2"/>
    <w:rsid w:val="00140550"/>
    <w:rsid w:val="00146E3C"/>
    <w:rsid w:val="001528D1"/>
    <w:rsid w:val="0017473D"/>
    <w:rsid w:val="001834DB"/>
    <w:rsid w:val="001A49B0"/>
    <w:rsid w:val="001B6537"/>
    <w:rsid w:val="001C2204"/>
    <w:rsid w:val="001D6134"/>
    <w:rsid w:val="001E7774"/>
    <w:rsid w:val="00222914"/>
    <w:rsid w:val="00257988"/>
    <w:rsid w:val="002606A8"/>
    <w:rsid w:val="0027606F"/>
    <w:rsid w:val="00277F9B"/>
    <w:rsid w:val="00285AF3"/>
    <w:rsid w:val="0029067F"/>
    <w:rsid w:val="002B42FA"/>
    <w:rsid w:val="002C6A28"/>
    <w:rsid w:val="002D0596"/>
    <w:rsid w:val="002E0778"/>
    <w:rsid w:val="003163A0"/>
    <w:rsid w:val="00316958"/>
    <w:rsid w:val="00346EA0"/>
    <w:rsid w:val="00370F31"/>
    <w:rsid w:val="00377825"/>
    <w:rsid w:val="00395F18"/>
    <w:rsid w:val="003A3DB0"/>
    <w:rsid w:val="003B6170"/>
    <w:rsid w:val="003C6424"/>
    <w:rsid w:val="003D1A13"/>
    <w:rsid w:val="00401FB8"/>
    <w:rsid w:val="0048052B"/>
    <w:rsid w:val="004A54EE"/>
    <w:rsid w:val="004A5DC3"/>
    <w:rsid w:val="00521C98"/>
    <w:rsid w:val="00534174"/>
    <w:rsid w:val="00543284"/>
    <w:rsid w:val="00546B1B"/>
    <w:rsid w:val="005505A4"/>
    <w:rsid w:val="00551745"/>
    <w:rsid w:val="00583A80"/>
    <w:rsid w:val="005B5FDD"/>
    <w:rsid w:val="005C0424"/>
    <w:rsid w:val="005C5E8D"/>
    <w:rsid w:val="005C63B7"/>
    <w:rsid w:val="005D4AA3"/>
    <w:rsid w:val="006157FC"/>
    <w:rsid w:val="0061743C"/>
    <w:rsid w:val="0062398D"/>
    <w:rsid w:val="0065096D"/>
    <w:rsid w:val="00661A83"/>
    <w:rsid w:val="00683639"/>
    <w:rsid w:val="00684E62"/>
    <w:rsid w:val="0068736E"/>
    <w:rsid w:val="006B56CC"/>
    <w:rsid w:val="006E130A"/>
    <w:rsid w:val="006E22E8"/>
    <w:rsid w:val="006F00BF"/>
    <w:rsid w:val="006F5CB8"/>
    <w:rsid w:val="007036DD"/>
    <w:rsid w:val="00704471"/>
    <w:rsid w:val="00713103"/>
    <w:rsid w:val="00716912"/>
    <w:rsid w:val="007259C5"/>
    <w:rsid w:val="00730B26"/>
    <w:rsid w:val="00737AC2"/>
    <w:rsid w:val="0074598C"/>
    <w:rsid w:val="00766367"/>
    <w:rsid w:val="00782379"/>
    <w:rsid w:val="00786925"/>
    <w:rsid w:val="00786ADB"/>
    <w:rsid w:val="00792DAB"/>
    <w:rsid w:val="007B0756"/>
    <w:rsid w:val="007B3283"/>
    <w:rsid w:val="007C6ECA"/>
    <w:rsid w:val="007E188D"/>
    <w:rsid w:val="007E486D"/>
    <w:rsid w:val="007E5BA7"/>
    <w:rsid w:val="00804EA4"/>
    <w:rsid w:val="00806667"/>
    <w:rsid w:val="00812040"/>
    <w:rsid w:val="00821B8F"/>
    <w:rsid w:val="008437DE"/>
    <w:rsid w:val="00845CF5"/>
    <w:rsid w:val="00847CE1"/>
    <w:rsid w:val="00855379"/>
    <w:rsid w:val="008B507F"/>
    <w:rsid w:val="008C5FA4"/>
    <w:rsid w:val="008F5C60"/>
    <w:rsid w:val="00904B07"/>
    <w:rsid w:val="00910FF3"/>
    <w:rsid w:val="009166EF"/>
    <w:rsid w:val="0092305C"/>
    <w:rsid w:val="009248BA"/>
    <w:rsid w:val="0093447D"/>
    <w:rsid w:val="009438FD"/>
    <w:rsid w:val="00946FB6"/>
    <w:rsid w:val="00950317"/>
    <w:rsid w:val="00962494"/>
    <w:rsid w:val="00971198"/>
    <w:rsid w:val="0097676C"/>
    <w:rsid w:val="0099113B"/>
    <w:rsid w:val="00993F22"/>
    <w:rsid w:val="00997C98"/>
    <w:rsid w:val="009B042A"/>
    <w:rsid w:val="009B4984"/>
    <w:rsid w:val="009C527D"/>
    <w:rsid w:val="00A10BB9"/>
    <w:rsid w:val="00A422BB"/>
    <w:rsid w:val="00A4767F"/>
    <w:rsid w:val="00A65E20"/>
    <w:rsid w:val="00AB2469"/>
    <w:rsid w:val="00AF7380"/>
    <w:rsid w:val="00B02AAB"/>
    <w:rsid w:val="00B25BC9"/>
    <w:rsid w:val="00B30D13"/>
    <w:rsid w:val="00B552BB"/>
    <w:rsid w:val="00B62793"/>
    <w:rsid w:val="00B83E66"/>
    <w:rsid w:val="00B94268"/>
    <w:rsid w:val="00BB1497"/>
    <w:rsid w:val="00BC2528"/>
    <w:rsid w:val="00BF2216"/>
    <w:rsid w:val="00C00323"/>
    <w:rsid w:val="00C21698"/>
    <w:rsid w:val="00C347F0"/>
    <w:rsid w:val="00C4598D"/>
    <w:rsid w:val="00C46663"/>
    <w:rsid w:val="00C50E76"/>
    <w:rsid w:val="00C51613"/>
    <w:rsid w:val="00C7707B"/>
    <w:rsid w:val="00C804B5"/>
    <w:rsid w:val="00C8585C"/>
    <w:rsid w:val="00C93356"/>
    <w:rsid w:val="00CC773C"/>
    <w:rsid w:val="00CE69A4"/>
    <w:rsid w:val="00CF162E"/>
    <w:rsid w:val="00D0519D"/>
    <w:rsid w:val="00D258B0"/>
    <w:rsid w:val="00D30115"/>
    <w:rsid w:val="00D30376"/>
    <w:rsid w:val="00D33ACF"/>
    <w:rsid w:val="00D433A5"/>
    <w:rsid w:val="00D53D49"/>
    <w:rsid w:val="00D84A94"/>
    <w:rsid w:val="00DB0E35"/>
    <w:rsid w:val="00DB7903"/>
    <w:rsid w:val="00DC06AE"/>
    <w:rsid w:val="00DC2577"/>
    <w:rsid w:val="00DC2CB5"/>
    <w:rsid w:val="00DE0BFA"/>
    <w:rsid w:val="00DE6BD9"/>
    <w:rsid w:val="00DF6F77"/>
    <w:rsid w:val="00DF7C8F"/>
    <w:rsid w:val="00E05B57"/>
    <w:rsid w:val="00E649B6"/>
    <w:rsid w:val="00E66BD8"/>
    <w:rsid w:val="00E967CF"/>
    <w:rsid w:val="00E973A8"/>
    <w:rsid w:val="00EE7339"/>
    <w:rsid w:val="00F417F1"/>
    <w:rsid w:val="00F635F2"/>
    <w:rsid w:val="00F8278A"/>
    <w:rsid w:val="00F942E8"/>
    <w:rsid w:val="00F96D66"/>
    <w:rsid w:val="00FC12A5"/>
    <w:rsid w:val="00FD7683"/>
    <w:rsid w:val="00FE1EC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113B"/>
    <w:pPr>
      <w:jc w:val="both"/>
    </w:pPr>
    <w:rPr>
      <w:rFonts w:ascii="Arial" w:hAnsi="Arial" w:cs="Arial"/>
      <w:spacing w:val="-2"/>
      <w:sz w:val="22"/>
      <w:szCs w:val="22"/>
      <w:lang w:val="fr-FR" w:eastAsia="en-US"/>
    </w:rPr>
  </w:style>
  <w:style w:type="paragraph" w:styleId="Titre1">
    <w:name w:val="heading 1"/>
    <w:basedOn w:val="Normal"/>
    <w:next w:val="Normal"/>
    <w:qFormat/>
    <w:rsid w:val="00A65E20"/>
    <w:pPr>
      <w:keepNext/>
      <w:jc w:val="center"/>
      <w:outlineLvl w:val="0"/>
    </w:pPr>
    <w:rPr>
      <w:b/>
      <w:color w:val="000000"/>
      <w:spacing w:val="0"/>
      <w:sz w:val="40"/>
      <w:szCs w:val="40"/>
      <w:lang w:val="en-US"/>
    </w:rPr>
  </w:style>
  <w:style w:type="paragraph" w:styleId="Titre2">
    <w:name w:val="heading 2"/>
    <w:basedOn w:val="Normal"/>
    <w:next w:val="Normal"/>
    <w:qFormat/>
    <w:rsid w:val="00E967CF"/>
    <w:pPr>
      <w:keepNext/>
      <w:spacing w:before="240" w:after="60"/>
      <w:outlineLvl w:val="1"/>
    </w:pPr>
    <w:rPr>
      <w:b/>
      <w:bCs/>
      <w:i/>
      <w:iCs/>
      <w:sz w:val="28"/>
      <w:szCs w:val="28"/>
    </w:rPr>
  </w:style>
  <w:style w:type="paragraph" w:styleId="Titre3">
    <w:name w:val="heading 3"/>
    <w:basedOn w:val="Normal"/>
    <w:next w:val="Normal"/>
    <w:qFormat/>
    <w:rsid w:val="00A4767F"/>
    <w:pPr>
      <w:keepNext/>
      <w:spacing w:before="240" w:after="60"/>
      <w:outlineLvl w:val="2"/>
    </w:pPr>
    <w:rPr>
      <w:b/>
      <w:bCs/>
      <w:sz w:val="26"/>
      <w:szCs w:val="26"/>
    </w:rPr>
  </w:style>
  <w:style w:type="paragraph" w:styleId="Titre4">
    <w:name w:val="heading 4"/>
    <w:basedOn w:val="Normal"/>
    <w:next w:val="Normal"/>
    <w:qFormat/>
    <w:rsid w:val="00E05B57"/>
    <w:pPr>
      <w:keepNext/>
      <w:spacing w:before="240" w:after="60"/>
      <w:outlineLvl w:val="3"/>
    </w:pPr>
    <w:rPr>
      <w:rFonts w:ascii="Times New Roman" w:hAnsi="Times New Roman" w:cs="Times New Roman"/>
      <w:b/>
      <w:bCs/>
      <w:sz w:val="28"/>
      <w:szCs w:val="28"/>
    </w:rPr>
  </w:style>
  <w:style w:type="paragraph" w:styleId="Titre5">
    <w:name w:val="heading 5"/>
    <w:basedOn w:val="Normal"/>
    <w:next w:val="Normal"/>
    <w:qFormat/>
    <w:rsid w:val="00792DAB"/>
    <w:pPr>
      <w:spacing w:before="240" w:after="60"/>
      <w:outlineLvl w:val="4"/>
    </w:pPr>
    <w:rPr>
      <w:b/>
      <w:bCs/>
      <w:i/>
      <w:iCs/>
      <w:sz w:val="26"/>
      <w:szCs w:val="26"/>
    </w:rPr>
  </w:style>
  <w:style w:type="paragraph" w:styleId="Titre6">
    <w:name w:val="heading 6"/>
    <w:basedOn w:val="Normal"/>
    <w:next w:val="Normal"/>
    <w:qFormat/>
    <w:rsid w:val="00E05B57"/>
    <w:pPr>
      <w:spacing w:before="240" w:after="60"/>
      <w:outlineLvl w:val="5"/>
    </w:pPr>
    <w:rPr>
      <w:rFonts w:ascii="Times New Roman" w:hAnsi="Times New Roman" w:cs="Times New Roman"/>
      <w:b/>
      <w:bCs/>
    </w:rPr>
  </w:style>
  <w:style w:type="character" w:default="1" w:styleId="Policepardfaut">
    <w:name w:val="Default Paragraph Font"/>
    <w:semiHidden/>
    <w:rsid w:val="004A54EE"/>
  </w:style>
  <w:style w:type="table" w:default="1" w:styleId="TableauNormal">
    <w:name w:val="Normal Table"/>
    <w:semiHidden/>
    <w:rsid w:val="004A54EE"/>
    <w:tblPr>
      <w:tblInd w:w="0" w:type="dxa"/>
      <w:tblCellMar>
        <w:top w:w="0" w:type="dxa"/>
        <w:left w:w="108" w:type="dxa"/>
        <w:bottom w:w="0" w:type="dxa"/>
        <w:right w:w="108" w:type="dxa"/>
      </w:tblCellMar>
    </w:tblPr>
  </w:style>
  <w:style w:type="numbering" w:default="1" w:styleId="Aucuneliste">
    <w:name w:val="No List"/>
    <w:semiHidden/>
    <w:rsid w:val="004A54EE"/>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w:hAnsi="Arial"/>
      <w:sz w:val="24"/>
      <w:lang w:val="fr-FR" w:eastAsia="en-US"/>
    </w:rPr>
  </w:style>
  <w:style w:type="paragraph" w:customStyle="1" w:styleId="Style1">
    <w:name w:val="Style1"/>
    <w:basedOn w:val="Normal"/>
    <w:rsid w:val="00057E50"/>
  </w:style>
  <w:style w:type="table" w:styleId="Grilledutableau">
    <w:name w:val="Table Grid"/>
    <w:basedOn w:val="TableauNormal"/>
    <w:rsid w:val="00A65E2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rsid w:val="00A65E20"/>
    <w:pPr>
      <w:ind w:left="284" w:hanging="284"/>
    </w:pPr>
    <w:rPr>
      <w:color w:val="000000"/>
      <w:spacing w:val="0"/>
      <w:lang w:val="en-US"/>
    </w:rPr>
  </w:style>
  <w:style w:type="paragraph" w:styleId="Corpsdetexte2">
    <w:name w:val="Body Text 2"/>
    <w:basedOn w:val="Normal"/>
    <w:rsid w:val="00A65E20"/>
    <w:pPr>
      <w:spacing w:after="120" w:line="480" w:lineRule="auto"/>
    </w:pPr>
  </w:style>
  <w:style w:type="paragraph" w:styleId="Retraitcorpsdetexte2">
    <w:name w:val="Body Text Indent 2"/>
    <w:basedOn w:val="Normal"/>
    <w:rsid w:val="0099113B"/>
    <w:pPr>
      <w:spacing w:after="120" w:line="480" w:lineRule="auto"/>
      <w:ind w:left="283"/>
    </w:pPr>
  </w:style>
  <w:style w:type="paragraph" w:styleId="Retraitcorpsdetexte3">
    <w:name w:val="Body Text Indent 3"/>
    <w:basedOn w:val="Normal"/>
    <w:rsid w:val="0099113B"/>
    <w:pPr>
      <w:spacing w:after="120"/>
      <w:ind w:left="283"/>
    </w:pPr>
    <w:rPr>
      <w:sz w:val="16"/>
      <w:szCs w:val="16"/>
    </w:rPr>
  </w:style>
  <w:style w:type="paragraph" w:styleId="En-tte">
    <w:name w:val="header"/>
    <w:basedOn w:val="Normal"/>
    <w:rsid w:val="000A2CBA"/>
    <w:pPr>
      <w:tabs>
        <w:tab w:val="center" w:pos="4536"/>
        <w:tab w:val="right" w:pos="9072"/>
      </w:tabs>
    </w:pPr>
  </w:style>
  <w:style w:type="character" w:styleId="Numrodepage">
    <w:name w:val="page number"/>
    <w:basedOn w:val="Policepardfaut"/>
    <w:rsid w:val="000A2CBA"/>
  </w:style>
  <w:style w:type="paragraph" w:styleId="Textedebulles">
    <w:name w:val="Balloon Text"/>
    <w:basedOn w:val="Normal"/>
    <w:semiHidden/>
    <w:rsid w:val="00FC12A5"/>
    <w:rPr>
      <w:rFonts w:ascii="Tahoma" w:hAnsi="Tahoma" w:cs="Tahoma"/>
      <w:sz w:val="16"/>
      <w:szCs w:val="16"/>
    </w:rPr>
  </w:style>
  <w:style w:type="paragraph" w:styleId="Corpsdetexte">
    <w:name w:val="Body Text"/>
    <w:basedOn w:val="Normal"/>
    <w:rsid w:val="00E967CF"/>
    <w:pPr>
      <w:spacing w:after="120"/>
    </w:pPr>
  </w:style>
  <w:style w:type="paragraph" w:styleId="Normalcentr">
    <w:name w:val="Block Text"/>
    <w:basedOn w:val="Normal"/>
    <w:rsid w:val="00E967CF"/>
    <w:pPr>
      <w:spacing w:after="360"/>
      <w:ind w:left="2552" w:right="144" w:hanging="284"/>
      <w:jc w:val="left"/>
    </w:pPr>
    <w:rPr>
      <w:rFonts w:ascii="Times New Roman" w:hAnsi="Times New Roman" w:cs="Times New Roman"/>
      <w:color w:val="000000"/>
      <w:spacing w:val="0"/>
      <w:sz w:val="24"/>
      <w:szCs w:val="24"/>
    </w:rPr>
  </w:style>
  <w:style w:type="paragraph" w:styleId="Corpsdetexte3">
    <w:name w:val="Body Text 3"/>
    <w:basedOn w:val="Normal"/>
    <w:rsid w:val="00E05B57"/>
    <w:pPr>
      <w:spacing w:after="120"/>
    </w:pPr>
    <w:rPr>
      <w:sz w:val="16"/>
      <w:szCs w:val="16"/>
    </w:rPr>
  </w:style>
  <w:style w:type="paragraph" w:styleId="Pieddepage">
    <w:name w:val="footer"/>
    <w:basedOn w:val="Normal"/>
    <w:rsid w:val="00DE0BFA"/>
    <w:pPr>
      <w:tabs>
        <w:tab w:val="center" w:pos="4536"/>
        <w:tab w:val="right" w:pos="9072"/>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113B"/>
    <w:pPr>
      <w:jc w:val="both"/>
    </w:pPr>
    <w:rPr>
      <w:rFonts w:ascii="Arial" w:hAnsi="Arial" w:cs="Arial"/>
      <w:spacing w:val="-2"/>
      <w:sz w:val="22"/>
      <w:szCs w:val="22"/>
      <w:lang w:val="fr-FR" w:eastAsia="en-US"/>
    </w:rPr>
  </w:style>
  <w:style w:type="paragraph" w:styleId="Titre1">
    <w:name w:val="heading 1"/>
    <w:basedOn w:val="Normal"/>
    <w:next w:val="Normal"/>
    <w:qFormat/>
    <w:rsid w:val="00A65E20"/>
    <w:pPr>
      <w:keepNext/>
      <w:jc w:val="center"/>
      <w:outlineLvl w:val="0"/>
    </w:pPr>
    <w:rPr>
      <w:b/>
      <w:color w:val="000000"/>
      <w:spacing w:val="0"/>
      <w:sz w:val="40"/>
      <w:szCs w:val="40"/>
      <w:lang w:val="en-US"/>
    </w:rPr>
  </w:style>
  <w:style w:type="paragraph" w:styleId="Titre2">
    <w:name w:val="heading 2"/>
    <w:basedOn w:val="Normal"/>
    <w:next w:val="Normal"/>
    <w:qFormat/>
    <w:rsid w:val="00E967CF"/>
    <w:pPr>
      <w:keepNext/>
      <w:spacing w:before="240" w:after="60"/>
      <w:outlineLvl w:val="1"/>
    </w:pPr>
    <w:rPr>
      <w:b/>
      <w:bCs/>
      <w:i/>
      <w:iCs/>
      <w:sz w:val="28"/>
      <w:szCs w:val="28"/>
    </w:rPr>
  </w:style>
  <w:style w:type="paragraph" w:styleId="Titre3">
    <w:name w:val="heading 3"/>
    <w:basedOn w:val="Normal"/>
    <w:next w:val="Normal"/>
    <w:qFormat/>
    <w:rsid w:val="00A4767F"/>
    <w:pPr>
      <w:keepNext/>
      <w:spacing w:before="240" w:after="60"/>
      <w:outlineLvl w:val="2"/>
    </w:pPr>
    <w:rPr>
      <w:b/>
      <w:bCs/>
      <w:sz w:val="26"/>
      <w:szCs w:val="26"/>
    </w:rPr>
  </w:style>
  <w:style w:type="paragraph" w:styleId="Titre4">
    <w:name w:val="heading 4"/>
    <w:basedOn w:val="Normal"/>
    <w:next w:val="Normal"/>
    <w:qFormat/>
    <w:rsid w:val="00E05B57"/>
    <w:pPr>
      <w:keepNext/>
      <w:spacing w:before="240" w:after="60"/>
      <w:outlineLvl w:val="3"/>
    </w:pPr>
    <w:rPr>
      <w:rFonts w:ascii="Times New Roman" w:hAnsi="Times New Roman" w:cs="Times New Roman"/>
      <w:b/>
      <w:bCs/>
      <w:sz w:val="28"/>
      <w:szCs w:val="28"/>
    </w:rPr>
  </w:style>
  <w:style w:type="paragraph" w:styleId="Titre5">
    <w:name w:val="heading 5"/>
    <w:basedOn w:val="Normal"/>
    <w:next w:val="Normal"/>
    <w:qFormat/>
    <w:rsid w:val="00792DAB"/>
    <w:pPr>
      <w:spacing w:before="240" w:after="60"/>
      <w:outlineLvl w:val="4"/>
    </w:pPr>
    <w:rPr>
      <w:b/>
      <w:bCs/>
      <w:i/>
      <w:iCs/>
      <w:sz w:val="26"/>
      <w:szCs w:val="26"/>
    </w:rPr>
  </w:style>
  <w:style w:type="paragraph" w:styleId="Titre6">
    <w:name w:val="heading 6"/>
    <w:basedOn w:val="Normal"/>
    <w:next w:val="Normal"/>
    <w:qFormat/>
    <w:rsid w:val="00E05B57"/>
    <w:pPr>
      <w:spacing w:before="240" w:after="60"/>
      <w:outlineLvl w:val="5"/>
    </w:pPr>
    <w:rPr>
      <w:rFonts w:ascii="Times New Roman" w:hAnsi="Times New Roman" w:cs="Times New Roman"/>
      <w:b/>
      <w:bCs/>
    </w:rPr>
  </w:style>
  <w:style w:type="character" w:default="1" w:styleId="Policepardfaut">
    <w:name w:val="Default Paragraph Font"/>
    <w:semiHidden/>
    <w:rsid w:val="004A54EE"/>
  </w:style>
  <w:style w:type="table" w:default="1" w:styleId="TableauNormal">
    <w:name w:val="Normal Table"/>
    <w:semiHidden/>
    <w:rsid w:val="004A54EE"/>
    <w:tblPr>
      <w:tblInd w:w="0" w:type="dxa"/>
      <w:tblCellMar>
        <w:top w:w="0" w:type="dxa"/>
        <w:left w:w="108" w:type="dxa"/>
        <w:bottom w:w="0" w:type="dxa"/>
        <w:right w:w="108" w:type="dxa"/>
      </w:tblCellMar>
    </w:tblPr>
  </w:style>
  <w:style w:type="numbering" w:default="1" w:styleId="Aucuneliste">
    <w:name w:val="No List"/>
    <w:semiHidden/>
    <w:rsid w:val="004A54EE"/>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w:hAnsi="Arial"/>
      <w:sz w:val="24"/>
      <w:lang w:val="fr-FR" w:eastAsia="en-US"/>
    </w:rPr>
  </w:style>
  <w:style w:type="paragraph" w:customStyle="1" w:styleId="Style1">
    <w:name w:val="Style1"/>
    <w:basedOn w:val="Normal"/>
    <w:rsid w:val="00057E50"/>
  </w:style>
  <w:style w:type="table" w:styleId="Grilledutableau">
    <w:name w:val="Table Grid"/>
    <w:basedOn w:val="TableauNormal"/>
    <w:rsid w:val="00A65E2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rsid w:val="00A65E20"/>
    <w:pPr>
      <w:ind w:left="284" w:hanging="284"/>
    </w:pPr>
    <w:rPr>
      <w:color w:val="000000"/>
      <w:spacing w:val="0"/>
      <w:lang w:val="en-US"/>
    </w:rPr>
  </w:style>
  <w:style w:type="paragraph" w:styleId="Corpsdetexte2">
    <w:name w:val="Body Text 2"/>
    <w:basedOn w:val="Normal"/>
    <w:rsid w:val="00A65E20"/>
    <w:pPr>
      <w:spacing w:after="120" w:line="480" w:lineRule="auto"/>
    </w:pPr>
  </w:style>
  <w:style w:type="paragraph" w:styleId="Retraitcorpsdetexte2">
    <w:name w:val="Body Text Indent 2"/>
    <w:basedOn w:val="Normal"/>
    <w:rsid w:val="0099113B"/>
    <w:pPr>
      <w:spacing w:after="120" w:line="480" w:lineRule="auto"/>
      <w:ind w:left="283"/>
    </w:pPr>
  </w:style>
  <w:style w:type="paragraph" w:styleId="Retraitcorpsdetexte3">
    <w:name w:val="Body Text Indent 3"/>
    <w:basedOn w:val="Normal"/>
    <w:rsid w:val="0099113B"/>
    <w:pPr>
      <w:spacing w:after="120"/>
      <w:ind w:left="283"/>
    </w:pPr>
    <w:rPr>
      <w:sz w:val="16"/>
      <w:szCs w:val="16"/>
    </w:rPr>
  </w:style>
  <w:style w:type="paragraph" w:styleId="En-tte">
    <w:name w:val="header"/>
    <w:basedOn w:val="Normal"/>
    <w:rsid w:val="000A2CBA"/>
    <w:pPr>
      <w:tabs>
        <w:tab w:val="center" w:pos="4536"/>
        <w:tab w:val="right" w:pos="9072"/>
      </w:tabs>
    </w:pPr>
  </w:style>
  <w:style w:type="character" w:styleId="Numrodepage">
    <w:name w:val="page number"/>
    <w:basedOn w:val="Policepardfaut"/>
    <w:rsid w:val="000A2CBA"/>
  </w:style>
  <w:style w:type="paragraph" w:styleId="Textedebulles">
    <w:name w:val="Balloon Text"/>
    <w:basedOn w:val="Normal"/>
    <w:semiHidden/>
    <w:rsid w:val="00FC12A5"/>
    <w:rPr>
      <w:rFonts w:ascii="Tahoma" w:hAnsi="Tahoma" w:cs="Tahoma"/>
      <w:sz w:val="16"/>
      <w:szCs w:val="16"/>
    </w:rPr>
  </w:style>
  <w:style w:type="paragraph" w:styleId="Corpsdetexte">
    <w:name w:val="Body Text"/>
    <w:basedOn w:val="Normal"/>
    <w:rsid w:val="00E967CF"/>
    <w:pPr>
      <w:spacing w:after="120"/>
    </w:pPr>
  </w:style>
  <w:style w:type="paragraph" w:styleId="Normalcentr">
    <w:name w:val="Block Text"/>
    <w:basedOn w:val="Normal"/>
    <w:rsid w:val="00E967CF"/>
    <w:pPr>
      <w:spacing w:after="360"/>
      <w:ind w:left="2552" w:right="144" w:hanging="284"/>
      <w:jc w:val="left"/>
    </w:pPr>
    <w:rPr>
      <w:rFonts w:ascii="Times New Roman" w:hAnsi="Times New Roman" w:cs="Times New Roman"/>
      <w:color w:val="000000"/>
      <w:spacing w:val="0"/>
      <w:sz w:val="24"/>
      <w:szCs w:val="24"/>
    </w:rPr>
  </w:style>
  <w:style w:type="paragraph" w:styleId="Corpsdetexte3">
    <w:name w:val="Body Text 3"/>
    <w:basedOn w:val="Normal"/>
    <w:rsid w:val="00E05B57"/>
    <w:pPr>
      <w:spacing w:after="120"/>
    </w:pPr>
    <w:rPr>
      <w:sz w:val="16"/>
      <w:szCs w:val="16"/>
    </w:rPr>
  </w:style>
  <w:style w:type="paragraph" w:styleId="Pieddepage">
    <w:name w:val="footer"/>
    <w:basedOn w:val="Normal"/>
    <w:rsid w:val="00DE0BFA"/>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2814">
      <w:bodyDiv w:val="1"/>
      <w:marLeft w:val="0"/>
      <w:marRight w:val="0"/>
      <w:marTop w:val="0"/>
      <w:marBottom w:val="0"/>
      <w:divBdr>
        <w:top w:val="none" w:sz="0" w:space="0" w:color="auto"/>
        <w:left w:val="none" w:sz="0" w:space="0" w:color="auto"/>
        <w:bottom w:val="none" w:sz="0" w:space="0" w:color="auto"/>
        <w:right w:val="none" w:sz="0" w:space="0" w:color="auto"/>
      </w:divBdr>
    </w:div>
    <w:div w:id="279143049">
      <w:bodyDiv w:val="1"/>
      <w:marLeft w:val="0"/>
      <w:marRight w:val="0"/>
      <w:marTop w:val="0"/>
      <w:marBottom w:val="0"/>
      <w:divBdr>
        <w:top w:val="none" w:sz="0" w:space="0" w:color="auto"/>
        <w:left w:val="none" w:sz="0" w:space="0" w:color="auto"/>
        <w:bottom w:val="none" w:sz="0" w:space="0" w:color="auto"/>
        <w:right w:val="none" w:sz="0" w:space="0" w:color="auto"/>
      </w:divBdr>
    </w:div>
    <w:div w:id="283199307">
      <w:bodyDiv w:val="1"/>
      <w:marLeft w:val="0"/>
      <w:marRight w:val="0"/>
      <w:marTop w:val="0"/>
      <w:marBottom w:val="0"/>
      <w:divBdr>
        <w:top w:val="none" w:sz="0" w:space="0" w:color="auto"/>
        <w:left w:val="none" w:sz="0" w:space="0" w:color="auto"/>
        <w:bottom w:val="none" w:sz="0" w:space="0" w:color="auto"/>
        <w:right w:val="none" w:sz="0" w:space="0" w:color="auto"/>
      </w:divBdr>
    </w:div>
    <w:div w:id="316418581">
      <w:bodyDiv w:val="1"/>
      <w:marLeft w:val="0"/>
      <w:marRight w:val="0"/>
      <w:marTop w:val="0"/>
      <w:marBottom w:val="0"/>
      <w:divBdr>
        <w:top w:val="none" w:sz="0" w:space="0" w:color="auto"/>
        <w:left w:val="none" w:sz="0" w:space="0" w:color="auto"/>
        <w:bottom w:val="none" w:sz="0" w:space="0" w:color="auto"/>
        <w:right w:val="none" w:sz="0" w:space="0" w:color="auto"/>
      </w:divBdr>
    </w:div>
    <w:div w:id="386992442">
      <w:bodyDiv w:val="1"/>
      <w:marLeft w:val="0"/>
      <w:marRight w:val="0"/>
      <w:marTop w:val="0"/>
      <w:marBottom w:val="0"/>
      <w:divBdr>
        <w:top w:val="none" w:sz="0" w:space="0" w:color="auto"/>
        <w:left w:val="none" w:sz="0" w:space="0" w:color="auto"/>
        <w:bottom w:val="none" w:sz="0" w:space="0" w:color="auto"/>
        <w:right w:val="none" w:sz="0" w:space="0" w:color="auto"/>
      </w:divBdr>
    </w:div>
    <w:div w:id="590087857">
      <w:bodyDiv w:val="1"/>
      <w:marLeft w:val="0"/>
      <w:marRight w:val="0"/>
      <w:marTop w:val="0"/>
      <w:marBottom w:val="0"/>
      <w:divBdr>
        <w:top w:val="none" w:sz="0" w:space="0" w:color="auto"/>
        <w:left w:val="none" w:sz="0" w:space="0" w:color="auto"/>
        <w:bottom w:val="none" w:sz="0" w:space="0" w:color="auto"/>
        <w:right w:val="none" w:sz="0" w:space="0" w:color="auto"/>
      </w:divBdr>
    </w:div>
    <w:div w:id="656105443">
      <w:bodyDiv w:val="1"/>
      <w:marLeft w:val="0"/>
      <w:marRight w:val="0"/>
      <w:marTop w:val="0"/>
      <w:marBottom w:val="0"/>
      <w:divBdr>
        <w:top w:val="none" w:sz="0" w:space="0" w:color="auto"/>
        <w:left w:val="none" w:sz="0" w:space="0" w:color="auto"/>
        <w:bottom w:val="none" w:sz="0" w:space="0" w:color="auto"/>
        <w:right w:val="none" w:sz="0" w:space="0" w:color="auto"/>
      </w:divBdr>
    </w:div>
    <w:div w:id="742021418">
      <w:bodyDiv w:val="1"/>
      <w:marLeft w:val="0"/>
      <w:marRight w:val="0"/>
      <w:marTop w:val="0"/>
      <w:marBottom w:val="0"/>
      <w:divBdr>
        <w:top w:val="none" w:sz="0" w:space="0" w:color="auto"/>
        <w:left w:val="none" w:sz="0" w:space="0" w:color="auto"/>
        <w:bottom w:val="none" w:sz="0" w:space="0" w:color="auto"/>
        <w:right w:val="none" w:sz="0" w:space="0" w:color="auto"/>
      </w:divBdr>
    </w:div>
    <w:div w:id="1783840087">
      <w:bodyDiv w:val="1"/>
      <w:marLeft w:val="0"/>
      <w:marRight w:val="0"/>
      <w:marTop w:val="0"/>
      <w:marBottom w:val="0"/>
      <w:divBdr>
        <w:top w:val="none" w:sz="0" w:space="0" w:color="auto"/>
        <w:left w:val="none" w:sz="0" w:space="0" w:color="auto"/>
        <w:bottom w:val="none" w:sz="0" w:space="0" w:color="auto"/>
        <w:right w:val="none" w:sz="0" w:space="0" w:color="auto"/>
      </w:divBdr>
    </w:div>
    <w:div w:id="214029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1182</Words>
  <Characters>6501</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Planungs- und Baureglement (PBR)</vt:lpstr>
    </vt:vector>
  </TitlesOfParts>
  <Company>Etat de Fribourg</Company>
  <LinksUpToDate>false</LinksUpToDate>
  <CharactersWithSpaces>7668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Planungs- und Baureglement (PBR)</dc:title>
  <dc:creator>Jacqueline Aebischer</dc:creator>
  <cp:lastModifiedBy>Privet Patricia</cp:lastModifiedBy>
  <cp:revision>2</cp:revision>
  <cp:lastPrinted>2010-07-01T10:14:00Z</cp:lastPrinted>
  <dcterms:created xsi:type="dcterms:W3CDTF">2015-11-24T14:54:00Z</dcterms:created>
  <dcterms:modified xsi:type="dcterms:W3CDTF">2015-11-24T14:54:00Z</dcterms:modified>
</cp:coreProperties>
</file>