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0.12.0 -->
  <w:body>
    <w:p>
      <w:pPr>
        <w:pBdr>
          <w:top w:val="none" w:sz="0" w:space="0" w:color="000000"/>
          <w:left w:val="none" w:sz="0" w:space="0" w:color="000000"/>
          <w:bottom w:val="none" w:sz="0" w:space="0" w:color="000000"/>
          <w:right w:val="none" w:sz="0" w:space="0" w:color="000000"/>
        </w:pBdr>
        <w:tabs>
          <w:tab w:val="end" w:pos="6151"/>
          <w:tab w:val="clear" w:pos="6236"/>
        </w:tabs>
        <w:bidi w:val="0"/>
        <w:spacing w:before="397" w:after="120"/>
        <w:ind w:start="28" w:end="28" w:firstLine="0"/>
        <w:rPr>
          <w:vanish/>
          <w:sz w:val="6"/>
        </w:rPr>
      </w:pPr>
    </w:p>
    <w:p>
      <w:pPr>
        <w:pStyle w:val="TitelArbeitsversion"/>
        <w:bidi w:val="0"/>
      </w:pPr>
      <w:r>
        <w:t>Version mise en consultation, avant-projet DFAC, 04.05.2026</w:t>
      </w:r>
    </w:p>
    <w:p>
      <w:pPr>
        <w:pStyle w:val="Erlasstitel"/>
        <w:bidi w:val="0"/>
      </w:pPr>
      <w:r>
        <w:t>Règlement sur l'école de commerce à plein temps (RECPT)</w:t>
      </w:r>
    </w:p>
    <w:p>
      <w:pPr>
        <w:pStyle w:val="Datum"/>
        <w:bidi w:val="0"/>
      </w:pPr>
      <w:r>
        <w:t>du ... (version entrée en vigueur le ...)</w:t>
      </w:r>
    </w:p>
    <w:p>
      <w:pPr>
        <w:pStyle w:val="Autor"/>
        <w:bidi w:val="0"/>
      </w:pPr>
      <w:r>
        <w:t>Le Conseil d'Etat du canton de Fribourg</w:t>
      </w:r>
    </w:p>
    <w:p>
      <w:pPr>
        <w:pStyle w:val="Grundlage"/>
        <w:bidi w:val="0"/>
      </w:pPr>
      <w:r>
        <w:t>Vu la loi fédérale du 13 décembre 2002 sur la formation professionnelle;</w:t>
      </w:r>
    </w:p>
    <w:p>
      <w:pPr>
        <w:pStyle w:val="Grundlage"/>
        <w:bidi w:val="0"/>
        <w:spacing w:before="0" w:after="80"/>
      </w:pPr>
      <w:r>
        <w:t>Vu l'ordonnance fédérale du 19 novembre 2003 sur la formation professionnelle;</w:t>
      </w:r>
    </w:p>
    <w:p>
      <w:pPr>
        <w:pStyle w:val="Grundlage"/>
        <w:bidi w:val="0"/>
        <w:spacing w:before="0" w:after="80"/>
      </w:pPr>
      <w:r>
        <w:t>Vu l'ordonnance fédérale du 13 juin 2025 sur la maturité professionnelle fédérale;</w:t>
      </w:r>
    </w:p>
    <w:p>
      <w:pPr>
        <w:pStyle w:val="Grundlage"/>
        <w:bidi w:val="0"/>
        <w:spacing w:before="0" w:after="80"/>
      </w:pPr>
      <w:r>
        <w:t>Vu l'ordonnance du Secrétariat d'Etat à la formation, à la recherche et à l'innovation du 16 août 2021 sur la formation professionnelle initiale d'employée de commerce/d'employé de commerce avec certificat fédéral de capacité;</w:t>
      </w:r>
    </w:p>
    <w:p>
      <w:pPr>
        <w:pStyle w:val="Grundlage"/>
        <w:bidi w:val="0"/>
        <w:spacing w:before="0" w:after="80"/>
      </w:pPr>
      <w:r>
        <w:t>Vu la loi du 11 décembre 2018 sur l'enseignement secondaire supérieur, notamment son article 11;</w:t>
      </w:r>
    </w:p>
    <w:p>
      <w:pPr>
        <w:pStyle w:val="Grundlage"/>
        <w:bidi w:val="0"/>
        <w:spacing w:before="0" w:after="80"/>
      </w:pPr>
      <w:r>
        <w:t>Vu le règlement du 26 mai 2021 sur l'enseignement secondaire supérieur, notamment son article 3;</w:t>
      </w:r>
    </w:p>
    <w:p>
      <w:pPr>
        <w:pStyle w:val="Grundlage"/>
        <w:bidi w:val="0"/>
        <w:spacing w:before="0" w:after="80"/>
      </w:pPr>
      <w:r>
        <w:t>Sur la proposition de la Direction de la formation et des affaires culturelles,</w:t>
      </w:r>
    </w:p>
    <w:p>
      <w:pPr>
        <w:pStyle w:val="Aktion"/>
        <w:bidi w:val="0"/>
      </w:pPr>
      <w:r>
        <w:t>Arrête:</w:t>
      </w:r>
    </w:p>
    <w:p>
      <w:pPr>
        <w:pStyle w:val="TitelStufe1"/>
        <w:bidi w:val="0"/>
        <w:outlineLvl w:val="0"/>
        <w:rPr>
          <w:b/>
          <w:bCs/>
        </w:rPr>
      </w:pPr>
      <w:r>
        <w:t>1 Dispositions générales</w:t>
      </w:r>
    </w:p>
    <w:p>
      <w:pPr>
        <w:pStyle w:val="Artikel"/>
        <w:bidi w:val="0"/>
        <w:outlineLvl w:val="5"/>
        <w:rPr>
          <w:vertAlign w:val="superscript"/>
        </w:rPr>
      </w:pPr>
      <w:r>
        <w:rPr>
          <w:b/>
          <w:bCs/>
        </w:rPr>
        <w:t>Art.  1</w:t>
      </w:r>
      <w:r>
        <w:tab/>
        <w:t>But et champ d'application</w:t>
      </w:r>
    </w:p>
    <w:p>
      <w:pPr>
        <w:pStyle w:val="StandardvorAufzhlung"/>
        <w:bidi w:val="0"/>
      </w:pPr>
      <w:r>
        <w:rPr>
          <w:vertAlign w:val="superscript"/>
        </w:rPr>
        <w:t>1</w:t>
      </w:r>
      <w:r>
        <w:t> Le présent règlement fixe les dispositions régissant la formation dans les écoles de commerce à plein temps suivantes:</w:t>
      </w:r>
    </w:p>
    <w:p>
      <w:pPr>
        <w:pStyle w:val="Liste1"/>
        <w:bidi w:val="0"/>
      </w:pPr>
      <w:r>
        <w:t>a)</w:t>
        <w:tab/>
        <w:t>Collège de Gambach;</w:t>
      </w:r>
    </w:p>
    <w:p>
      <w:pPr>
        <w:pStyle w:val="Liste1"/>
        <w:bidi w:val="0"/>
        <w:spacing w:before="0" w:after="80"/>
        <w:rPr>
          <w:b/>
          <w:bCs/>
        </w:rPr>
      </w:pPr>
      <w:r>
        <w:t>b)</w:t>
        <w:tab/>
        <w:t>Collège du Sud.</w:t>
      </w:r>
    </w:p>
    <w:p>
      <w:pPr>
        <w:pStyle w:val="Artikel"/>
        <w:bidi w:val="0"/>
        <w:outlineLvl w:val="5"/>
        <w:rPr>
          <w:vertAlign w:val="superscript"/>
        </w:rPr>
      </w:pPr>
      <w:r>
        <w:rPr>
          <w:b/>
          <w:bCs/>
        </w:rPr>
        <w:t>Art.  2</w:t>
      </w:r>
      <w:r>
        <w:tab/>
        <w:t>Admission</w:t>
      </w:r>
    </w:p>
    <w:p>
      <w:pPr>
        <w:bidi w:val="0"/>
        <w:rPr>
          <w:vertAlign w:val="superscript"/>
        </w:rPr>
      </w:pPr>
      <w:r>
        <w:rPr>
          <w:vertAlign w:val="superscript"/>
        </w:rPr>
        <w:t>1</w:t>
      </w:r>
      <w:r>
        <w:t> Sont admissibles les personnes en formation qui satisfont aux conditions prévues par les dispositions particulières d'admission et de passage des écoles du cycle d'orientation aux écoles secondaires du deuxième degré.</w:t>
      </w:r>
    </w:p>
    <w:p>
      <w:pPr>
        <w:bidi w:val="0"/>
        <w:rPr>
          <w:vertAlign w:val="superscript"/>
        </w:rPr>
      </w:pPr>
      <w:r>
        <w:rPr>
          <w:vertAlign w:val="superscript"/>
        </w:rPr>
        <w:t>2</w:t>
      </w:r>
      <w:r>
        <w:t> Les personnes provenant d'une école publique d'un autre canton sont admises en formation régulière si elles satisfont aux conditions d'entrée dans une filière identique du canton concerné. Sont réservés les accords intercantonaux.</w:t>
      </w:r>
    </w:p>
    <w:p>
      <w:pPr>
        <w:bidi w:val="0"/>
        <w:rPr>
          <w:vertAlign w:val="superscript"/>
        </w:rPr>
      </w:pPr>
      <w:r>
        <w:rPr>
          <w:vertAlign w:val="superscript"/>
        </w:rPr>
        <w:t>3</w:t>
      </w:r>
      <w:r>
        <w:t> Si les circonstances le justifient, le directeur ou la directrice peut admettre exceptionnellement des personnes en première, deuxième ou troisième année, sur présentation et acceptation d'un dossier.</w:t>
      </w:r>
    </w:p>
    <w:p>
      <w:pPr>
        <w:bidi w:val="0"/>
        <w:rPr>
          <w:vertAlign w:val="superscript"/>
        </w:rPr>
      </w:pPr>
      <w:r>
        <w:rPr>
          <w:vertAlign w:val="superscript"/>
        </w:rPr>
        <w:t>4</w:t>
      </w:r>
      <w:r>
        <w:t> L'admission peut être limitée en fonction du nombre de places de formation disponibles.</w:t>
      </w:r>
    </w:p>
    <w:p>
      <w:pPr>
        <w:bidi w:val="0"/>
        <w:rPr>
          <w:vertAlign w:val="superscript"/>
        </w:rPr>
      </w:pPr>
      <w:r>
        <w:rPr>
          <w:vertAlign w:val="superscript"/>
        </w:rPr>
        <w:t>5</w:t>
      </w:r>
      <w:r>
        <w:t> Sauf circonstances exceptionnelles, l'entrée se fait au début de l'année scolaire.</w:t>
      </w:r>
    </w:p>
    <w:p>
      <w:pPr>
        <w:bidi w:val="0"/>
        <w:rPr>
          <w:b/>
          <w:bCs/>
        </w:rPr>
      </w:pPr>
      <w:r>
        <w:rPr>
          <w:vertAlign w:val="superscript"/>
        </w:rPr>
        <w:t>6</w:t>
      </w:r>
      <w:r>
        <w:t> Les indications relatives à la procédure d'admission, notamment le délai d'inscription, sont publiées sur le site internet du Service de l'enseignement secondaire du deuxième degré (ci-après: le Service).</w:t>
      </w:r>
    </w:p>
    <w:p>
      <w:pPr>
        <w:pStyle w:val="Artikel"/>
        <w:bidi w:val="0"/>
        <w:outlineLvl w:val="5"/>
        <w:rPr>
          <w:vertAlign w:val="superscript"/>
        </w:rPr>
      </w:pPr>
      <w:r>
        <w:rPr>
          <w:b/>
          <w:bCs/>
        </w:rPr>
        <w:t>Art.  3</w:t>
      </w:r>
      <w:r>
        <w:tab/>
        <w:t>Répartition</w:t>
      </w:r>
    </w:p>
    <w:p>
      <w:pPr>
        <w:pStyle w:val="StandardvorAufzhlung"/>
        <w:bidi w:val="0"/>
      </w:pPr>
      <w:r>
        <w:rPr>
          <w:vertAlign w:val="superscript"/>
        </w:rPr>
        <w:t>1</w:t>
      </w:r>
      <w:r>
        <w:t> En fonction des places disponibles, les personnes admises sont réparties entre les collèges cantonaux de la manière suivante:</w:t>
      </w:r>
    </w:p>
    <w:p>
      <w:pPr>
        <w:pStyle w:val="Liste1"/>
        <w:bidi w:val="0"/>
      </w:pPr>
      <w:r>
        <w:t>a)</w:t>
        <w:tab/>
        <w:t>les personnes de la partie sud du canton fréquentent en principe le Collège du Sud;</w:t>
      </w:r>
    </w:p>
    <w:p>
      <w:pPr>
        <w:pStyle w:val="Liste1"/>
        <w:bidi w:val="0"/>
        <w:spacing w:before="0" w:after="80"/>
        <w:rPr>
          <w:b/>
          <w:bCs/>
        </w:rPr>
      </w:pPr>
      <w:r>
        <w:t>b)</w:t>
        <w:tab/>
        <w:t>les autres personnes fréquentent en principe le Collège de Gambach, collège où l'enseignement est donné dans les deux langues officielles du canton.</w:t>
      </w:r>
    </w:p>
    <w:p>
      <w:pPr>
        <w:pStyle w:val="Artikel"/>
        <w:bidi w:val="0"/>
        <w:outlineLvl w:val="5"/>
        <w:rPr>
          <w:vertAlign w:val="superscript"/>
        </w:rPr>
      </w:pPr>
      <w:r>
        <w:rPr>
          <w:b/>
          <w:bCs/>
        </w:rPr>
        <w:t>Art.  4</w:t>
      </w:r>
      <w:r>
        <w:tab/>
        <w:t>Déroulement de la formation</w:t>
      </w:r>
    </w:p>
    <w:p>
      <w:pPr>
        <w:bidi w:val="0"/>
        <w:rPr>
          <w:b/>
          <w:bCs/>
        </w:rPr>
      </w:pPr>
      <w:r>
        <w:rPr>
          <w:vertAlign w:val="superscript"/>
        </w:rPr>
        <w:t>1</w:t>
      </w:r>
      <w:r>
        <w:t> La formation comprend trois ans de formation en école à plein temps et une année de stage en entreprise (modèle concentré).</w:t>
      </w:r>
    </w:p>
    <w:p>
      <w:pPr>
        <w:pStyle w:val="Artikel"/>
        <w:bidi w:val="0"/>
        <w:outlineLvl w:val="5"/>
        <w:rPr>
          <w:vertAlign w:val="superscript"/>
        </w:rPr>
      </w:pPr>
      <w:r>
        <w:rPr>
          <w:b/>
          <w:bCs/>
        </w:rPr>
        <w:t>Art.  5</w:t>
      </w:r>
      <w:r>
        <w:tab/>
        <w:t>Contenu de la formation</w:t>
      </w:r>
    </w:p>
    <w:p>
      <w:pPr>
        <w:bidi w:val="0"/>
        <w:rPr>
          <w:vertAlign w:val="superscript"/>
        </w:rPr>
      </w:pPr>
      <w:r>
        <w:rPr>
          <w:vertAlign w:val="superscript"/>
        </w:rPr>
        <w:t>1</w:t>
      </w:r>
      <w:r>
        <w:t> La formation est composée de l'enseignement scolaire lié à la maturité professionnelle, de l'enseignement des compétences professionnelles dans le cadre des domaines de compétences opérationnelles (ci-après: DCO) et de la formation à la pratique professionnelle. Elle mène à l'obtention du certificat fédéral de capacité d'employé-e de commerce (ci-après: CFC) et du certificat fédéral de maturité professionnelle (ci-après: MP).</w:t>
      </w:r>
    </w:p>
    <w:p>
      <w:pPr>
        <w:bidi w:val="0"/>
        <w:rPr>
          <w:vertAlign w:val="superscript"/>
        </w:rPr>
      </w:pPr>
      <w:r>
        <w:rPr>
          <w:vertAlign w:val="superscript"/>
        </w:rPr>
        <w:t>2</w:t>
      </w:r>
      <w:r>
        <w:t> Le contenu de l'enseignement scolaire lié à la MP est précisé à l'art. 8 al. 1 let. a à d du présent règlement.</w:t>
      </w:r>
    </w:p>
    <w:p>
      <w:pPr>
        <w:pStyle w:val="StandardvorAufzhlung"/>
        <w:bidi w:val="0"/>
      </w:pPr>
      <w:r>
        <w:rPr>
          <w:vertAlign w:val="superscript"/>
        </w:rPr>
        <w:t>3</w:t>
      </w:r>
      <w:r>
        <w:t> L'enseignement des compétences professionnelles dans le cadre des DCO est composé:</w:t>
      </w:r>
    </w:p>
    <w:p>
      <w:pPr>
        <w:pStyle w:val="Liste1"/>
        <w:bidi w:val="0"/>
      </w:pPr>
      <w:r>
        <w:t>a)</w:t>
        <w:tab/>
        <w:t>de l'enseignement des DCO avec intégration des unités d'exercices pratiques;</w:t>
      </w:r>
    </w:p>
    <w:p>
      <w:pPr>
        <w:pStyle w:val="Liste1"/>
        <w:bidi w:val="0"/>
        <w:spacing w:before="0" w:after="80"/>
        <w:rPr>
          <w:vertAlign w:val="superscript"/>
        </w:rPr>
      </w:pPr>
      <w:r>
        <w:t>b)</w:t>
        <w:tab/>
        <w:t>des mandats pratiques scolaires.</w:t>
      </w:r>
    </w:p>
    <w:p>
      <w:pPr>
        <w:pStyle w:val="StandardvorAufzhlung"/>
        <w:bidi w:val="0"/>
      </w:pPr>
      <w:r>
        <w:rPr>
          <w:vertAlign w:val="superscript"/>
        </w:rPr>
        <w:t>4</w:t>
      </w:r>
      <w:r>
        <w:t> La formation à la pratique professionnelle est composée:</w:t>
      </w:r>
    </w:p>
    <w:p>
      <w:pPr>
        <w:pStyle w:val="Liste1"/>
        <w:bidi w:val="0"/>
      </w:pPr>
      <w:r>
        <w:t>a)</w:t>
        <w:tab/>
        <w:t>d'un stage en entreprise;</w:t>
      </w:r>
    </w:p>
    <w:p>
      <w:pPr>
        <w:pStyle w:val="Liste1"/>
        <w:bidi w:val="0"/>
        <w:spacing w:before="0" w:after="80"/>
        <w:rPr>
          <w:b/>
          <w:bCs/>
        </w:rPr>
      </w:pPr>
      <w:r>
        <w:t>b)</w:t>
        <w:tab/>
        <w:t>des cours interentreprises.</w:t>
      </w:r>
    </w:p>
    <w:p>
      <w:pPr>
        <w:pStyle w:val="Artikel"/>
        <w:bidi w:val="0"/>
        <w:outlineLvl w:val="5"/>
        <w:rPr>
          <w:vertAlign w:val="superscript"/>
        </w:rPr>
      </w:pPr>
      <w:r>
        <w:rPr>
          <w:b/>
          <w:bCs/>
        </w:rPr>
        <w:t>Art.  6</w:t>
      </w:r>
      <w:r>
        <w:tab/>
        <w:t>Contrat d'apprentissage</w:t>
      </w:r>
    </w:p>
    <w:p>
      <w:pPr>
        <w:bidi w:val="0"/>
        <w:rPr>
          <w:vertAlign w:val="superscript"/>
        </w:rPr>
      </w:pPr>
      <w:r>
        <w:rPr>
          <w:vertAlign w:val="superscript"/>
        </w:rPr>
        <w:t>1</w:t>
      </w:r>
      <w:r>
        <w:t> Un contrat d'apprentissage d'une durée de quatre ans est signé entre la personne en formation, et ses représentants légaux si elle est mineure, et l'école.</w:t>
      </w:r>
    </w:p>
    <w:p>
      <w:pPr>
        <w:bidi w:val="0"/>
        <w:rPr>
          <w:vertAlign w:val="superscript"/>
        </w:rPr>
      </w:pPr>
      <w:r>
        <w:rPr>
          <w:vertAlign w:val="superscript"/>
        </w:rPr>
        <w:t>2</w:t>
      </w:r>
      <w:r>
        <w:t> Toute modification ou prolongation du contrat doit se faire par écrit.</w:t>
      </w:r>
    </w:p>
    <w:p>
      <w:pPr>
        <w:bidi w:val="0"/>
        <w:rPr>
          <w:vertAlign w:val="superscript"/>
        </w:rPr>
      </w:pPr>
      <w:r>
        <w:rPr>
          <w:vertAlign w:val="superscript"/>
        </w:rPr>
        <w:t>3</w:t>
      </w:r>
      <w:r>
        <w:t> Le contrat doit être validé par le Service.</w:t>
      </w:r>
    </w:p>
    <w:p>
      <w:pPr>
        <w:bidi w:val="0"/>
        <w:rPr>
          <w:b/>
          <w:bCs/>
        </w:rPr>
      </w:pPr>
      <w:r>
        <w:rPr>
          <w:vertAlign w:val="superscript"/>
        </w:rPr>
        <w:t>4</w:t>
      </w:r>
      <w:r>
        <w:t> Le contrat comporte une période d'essai.</w:t>
      </w:r>
    </w:p>
    <w:p>
      <w:pPr>
        <w:pStyle w:val="Artikel"/>
        <w:bidi w:val="0"/>
        <w:outlineLvl w:val="5"/>
        <w:rPr>
          <w:vertAlign w:val="superscript"/>
        </w:rPr>
      </w:pPr>
      <w:r>
        <w:rPr>
          <w:b/>
          <w:bCs/>
        </w:rPr>
        <w:t>Art.  7</w:t>
      </w:r>
      <w:r>
        <w:tab/>
        <w:t>Période d'essai</w:t>
      </w:r>
    </w:p>
    <w:p>
      <w:pPr>
        <w:bidi w:val="0"/>
        <w:rPr>
          <w:vertAlign w:val="superscript"/>
        </w:rPr>
      </w:pPr>
      <w:r>
        <w:rPr>
          <w:vertAlign w:val="superscript"/>
        </w:rPr>
        <w:t>1</w:t>
      </w:r>
      <w:r>
        <w:t> La période d'essai est d'une durée de trois mois. Elle est renouvelable au maximum une fois, pour une durée identique.</w:t>
      </w:r>
    </w:p>
    <w:p>
      <w:pPr>
        <w:pStyle w:val="StandardvorAufzhlung"/>
        <w:bidi w:val="0"/>
      </w:pPr>
      <w:r>
        <w:rPr>
          <w:vertAlign w:val="superscript"/>
        </w:rPr>
        <w:t>2</w:t>
      </w:r>
      <w:r>
        <w:t> Le renouvellement de la période d'essai est automatique si au moins un des critères ci-dessous est rempli:</w:t>
      </w:r>
    </w:p>
    <w:p>
      <w:pPr>
        <w:pStyle w:val="Liste1"/>
        <w:bidi w:val="0"/>
      </w:pPr>
      <w:r>
        <w:t>a)</w:t>
        <w:tab/>
        <w:t>plus de 10% d'absence (environ 40 périodes sur 3 mois), car la présence en classe est considérée comme insuffisante pour évaluer l'engagement de l'élève;</w:t>
      </w:r>
    </w:p>
    <w:p>
      <w:pPr>
        <w:pStyle w:val="Liste1"/>
        <w:bidi w:val="0"/>
      </w:pPr>
      <w:r>
        <w:t>b)</w:t>
        <w:tab/>
        <w:t>au moins trois échéances non respectées ou travaux non effectués, car l'engagement de l'élève ne correspond pas aux attentes;</w:t>
      </w:r>
    </w:p>
    <w:p>
      <w:pPr>
        <w:pStyle w:val="Liste1"/>
        <w:bidi w:val="0"/>
      </w:pPr>
      <w:r>
        <w:t>c)</w:t>
        <w:tab/>
        <w:t>au moins deux mesures éducatives ou au moins une sanction disciplinaire, car l'attitude de l'élève n'est pas conforme aux attentes;</w:t>
      </w:r>
    </w:p>
    <w:p>
      <w:pPr>
        <w:pStyle w:val="Liste1"/>
        <w:bidi w:val="0"/>
        <w:spacing w:before="0" w:after="80"/>
        <w:rPr>
          <w:vertAlign w:val="superscript"/>
        </w:rPr>
      </w:pPr>
      <w:r>
        <w:t>d)</w:t>
        <w:tab/>
        <w:t>la moyenne de toutes les branches mentionnées à l'art. 8 al. 1 let a à c est inférieure à 3,50.</w:t>
      </w:r>
    </w:p>
    <w:p>
      <w:pPr>
        <w:bidi w:val="0"/>
        <w:rPr>
          <w:vertAlign w:val="superscript"/>
        </w:rPr>
      </w:pPr>
      <w:r>
        <w:rPr>
          <w:vertAlign w:val="superscript"/>
        </w:rPr>
        <w:t>3</w:t>
      </w:r>
      <w:r>
        <w:t> La prolongation de la période d'essai est notifiée à la personne en formation ou à ses parents si elle est mineure par l'envoi d'un courrier qui précise que la formation ne se déroule pas de manière satisfaisante et qu'une résiliation du contrat au terme de la période d'essai est envisagée. Le courrier doit également inviter à une rencontre visant à préciser les griefs et à mettre en place des ajustements.</w:t>
      </w:r>
    </w:p>
    <w:p>
      <w:pPr>
        <w:pStyle w:val="StandardvorAufzhlung"/>
        <w:bidi w:val="0"/>
      </w:pPr>
      <w:r>
        <w:rPr>
          <w:vertAlign w:val="superscript"/>
        </w:rPr>
        <w:t>4</w:t>
      </w:r>
      <w:r>
        <w:t> Le contrat d'apprentissage peut être rompu avec effet immédiat si, malgré la prolongation de la période d'essai, au moins un des critères ci-dessous est rempli:</w:t>
      </w:r>
    </w:p>
    <w:p>
      <w:pPr>
        <w:pStyle w:val="Liste1"/>
        <w:bidi w:val="0"/>
      </w:pPr>
      <w:r>
        <w:t>a)</w:t>
        <w:tab/>
        <w:t>les absences sont trop nombreuses;</w:t>
      </w:r>
    </w:p>
    <w:p>
      <w:pPr>
        <w:pStyle w:val="Liste1"/>
        <w:bidi w:val="0"/>
      </w:pPr>
      <w:r>
        <w:t>b)</w:t>
        <w:tab/>
        <w:t>plusieurs échéances n'ont pas été respectées ou plusieurs travaux non effectués;</w:t>
      </w:r>
    </w:p>
    <w:p>
      <w:pPr>
        <w:pStyle w:val="Liste1"/>
        <w:bidi w:val="0"/>
      </w:pPr>
      <w:r>
        <w:t>c)</w:t>
        <w:tab/>
        <w:t>plusieurs mesures éducatives ou sanctions disciplinaires ont été prononcées contre la personne en formation;</w:t>
      </w:r>
    </w:p>
    <w:p>
      <w:pPr>
        <w:pStyle w:val="Liste1"/>
        <w:bidi w:val="0"/>
        <w:spacing w:before="0" w:after="80"/>
        <w:rPr>
          <w:vertAlign w:val="superscript"/>
        </w:rPr>
      </w:pPr>
      <w:r>
        <w:t>d)</w:t>
        <w:tab/>
        <w:t>la moyenne de toutes les branches mentionnées à l'art. 8 al. 1 let a à c est inférieure à 3,50 (résultat à la fin du semestre).</w:t>
      </w:r>
    </w:p>
    <w:p>
      <w:pPr>
        <w:bidi w:val="0"/>
        <w:rPr>
          <w:vertAlign w:val="superscript"/>
        </w:rPr>
      </w:pPr>
      <w:r>
        <w:rPr>
          <w:vertAlign w:val="superscript"/>
        </w:rPr>
        <w:t>5</w:t>
      </w:r>
      <w:r>
        <w:t> La rupture du contrat d'apprentissage doit être précédée d'une discussion avec la personne en formation et ses parents si elle est mineure. Elle est notifiée à la personne en formation ou à ses parents si elle est mineure par l'envoi d'un courrier qui précise que les conditions pour la poursuite du contrat ne sont plus remplies.</w:t>
      </w:r>
    </w:p>
    <w:p>
      <w:pPr>
        <w:bidi w:val="0"/>
      </w:pPr>
      <w:r>
        <w:rPr>
          <w:vertAlign w:val="superscript"/>
        </w:rPr>
        <w:t>6</w:t>
      </w:r>
      <w:r>
        <w:t> La rupture du contrat d'apprentissage pendant la période d'essai implique l'exclusion de la filière.</w:t>
      </w:r>
    </w:p>
    <w:p>
      <w:pPr>
        <w:pStyle w:val="TitelStufe1"/>
        <w:bidi w:val="0"/>
        <w:outlineLvl w:val="0"/>
        <w:rPr>
          <w:b/>
          <w:bCs/>
        </w:rPr>
      </w:pPr>
      <w:r>
        <w:t>2 Plan d'études et grille horaire</w:t>
      </w:r>
    </w:p>
    <w:p>
      <w:pPr>
        <w:pStyle w:val="Artikel"/>
        <w:bidi w:val="0"/>
        <w:outlineLvl w:val="5"/>
        <w:rPr>
          <w:vertAlign w:val="superscript"/>
        </w:rPr>
      </w:pPr>
      <w:r>
        <w:rPr>
          <w:b/>
          <w:bCs/>
        </w:rPr>
        <w:t>Art.  8</w:t>
      </w:r>
      <w:r>
        <w:tab/>
        <w:t>Plan d'études</w:t>
      </w:r>
    </w:p>
    <w:p>
      <w:pPr>
        <w:pStyle w:val="StandardvorAufzhlung"/>
        <w:bidi w:val="0"/>
      </w:pPr>
      <w:r>
        <w:rPr>
          <w:vertAlign w:val="superscript"/>
        </w:rPr>
        <w:t>1</w:t>
      </w:r>
      <w:r>
        <w:t> Le plan d'études de l'enseignement en école de commerce à plein temps, conçu dans une perspective interdisciplinaire, comprend:</w:t>
      </w:r>
    </w:p>
    <w:p>
      <w:pPr>
        <w:pStyle w:val="Liste1mitUnterelementen"/>
        <w:bidi w:val="0"/>
      </w:pPr>
      <w:r>
        <w:t>a)</w:t>
        <w:tab/>
        <w:t>un domaine fondamental MP composé des branches suivantes:</w:t>
      </w:r>
    </w:p>
    <w:p>
      <w:pPr>
        <w:pStyle w:val="Liste2"/>
        <w:bidi w:val="0"/>
      </w:pPr>
      <w:r>
        <w:t>1.</w:t>
        <w:tab/>
        <w:t>première langue nationale</w:t>
      </w:r>
    </w:p>
    <w:p>
      <w:pPr>
        <w:pStyle w:val="Liste2"/>
        <w:bidi w:val="0"/>
      </w:pPr>
      <w:r>
        <w:t>2.</w:t>
        <w:tab/>
        <w:t>deuxième langue nationale</w:t>
      </w:r>
    </w:p>
    <w:p>
      <w:pPr>
        <w:pStyle w:val="Liste2"/>
        <w:bidi w:val="0"/>
      </w:pPr>
      <w:r>
        <w:t>3.</w:t>
        <w:tab/>
        <w:t>anglais</w:t>
      </w:r>
    </w:p>
    <w:p>
      <w:pPr>
        <w:pStyle w:val="Liste2"/>
        <w:bidi w:val="0"/>
      </w:pPr>
      <w:r>
        <w:t>4.</w:t>
        <w:tab/>
        <w:t>mathématiques;</w:t>
      </w:r>
    </w:p>
    <w:p>
      <w:pPr>
        <w:pStyle w:val="Liste1mitUnterelementen"/>
        <w:bidi w:val="0"/>
      </w:pPr>
      <w:r>
        <w:t>b)</w:t>
        <w:tab/>
        <w:t>un domaine spécifique MP composé des branches suivantes:</w:t>
      </w:r>
    </w:p>
    <w:p>
      <w:pPr>
        <w:pStyle w:val="Liste2"/>
        <w:bidi w:val="0"/>
      </w:pPr>
      <w:r>
        <w:t>1.</w:t>
        <w:tab/>
        <w:t>finances et comptabilité</w:t>
      </w:r>
    </w:p>
    <w:p>
      <w:pPr>
        <w:pStyle w:val="Liste2"/>
        <w:bidi w:val="0"/>
      </w:pPr>
      <w:r>
        <w:t>2.</w:t>
        <w:tab/>
        <w:t>économie et droit;</w:t>
      </w:r>
    </w:p>
    <w:p>
      <w:pPr>
        <w:pStyle w:val="Liste1mitUnterelementen"/>
        <w:bidi w:val="0"/>
      </w:pPr>
      <w:r>
        <w:t>c)</w:t>
        <w:tab/>
        <w:t>un domaine complémentaire MP composé des branches suivantes:</w:t>
      </w:r>
    </w:p>
    <w:p>
      <w:pPr>
        <w:pStyle w:val="Liste2"/>
        <w:bidi w:val="0"/>
      </w:pPr>
      <w:r>
        <w:t>1.</w:t>
        <w:tab/>
        <w:t>histoire et institutions politiques</w:t>
      </w:r>
    </w:p>
    <w:p>
      <w:pPr>
        <w:pStyle w:val="Liste2"/>
        <w:bidi w:val="0"/>
      </w:pPr>
      <w:r>
        <w:t>2.</w:t>
        <w:tab/>
        <w:t>technique et environnement;</w:t>
      </w:r>
    </w:p>
    <w:p>
      <w:pPr>
        <w:pStyle w:val="Liste1"/>
        <w:bidi w:val="0"/>
      </w:pPr>
      <w:r>
        <w:t>d)</w:t>
        <w:tab/>
        <w:t>le travail interdisciplinaire, qui englobe le travail interdisciplinaire dans les branches de tous les domaines d'enseignement de la MP (ci-après: TIB) et le travail interdisciplinaire centré sur un projet (ci-après: TIP) qui se rapporte au monde du travail et à au moins deux branches de l'enseignement de la MP;</w:t>
      </w:r>
    </w:p>
    <w:p>
      <w:pPr>
        <w:pStyle w:val="Liste1mitUnterelementen"/>
        <w:bidi w:val="0"/>
      </w:pPr>
      <w:r>
        <w:t>e)</w:t>
        <w:tab/>
        <w:t>les DCO propres au CFC suivants:</w:t>
      </w:r>
    </w:p>
    <w:p>
      <w:pPr>
        <w:pStyle w:val="Liste2"/>
        <w:bidi w:val="0"/>
      </w:pPr>
      <w:r>
        <w:t>1.</w:t>
        <w:tab/>
        <w:t>travail au sein de structures d'activité et d'organisation dynamiques (DCO A);</w:t>
      </w:r>
    </w:p>
    <w:p>
      <w:pPr>
        <w:pStyle w:val="Liste2"/>
        <w:bidi w:val="0"/>
      </w:pPr>
      <w:r>
        <w:t>2.</w:t>
        <w:tab/>
        <w:t>interaction dans un milieu de travail interconnecté (DCO B);</w:t>
      </w:r>
    </w:p>
    <w:p>
      <w:pPr>
        <w:pStyle w:val="Liste2"/>
        <w:bidi w:val="0"/>
      </w:pPr>
      <w:r>
        <w:t>3.</w:t>
        <w:tab/>
        <w:t>coordination des processus de travail en entreprise (DCO C);</w:t>
      </w:r>
    </w:p>
    <w:p>
      <w:pPr>
        <w:pStyle w:val="Liste2"/>
        <w:bidi w:val="0"/>
      </w:pPr>
      <w:r>
        <w:t>4.</w:t>
        <w:tab/>
        <w:t>gestion des relations avec les clients et les fournisseurs (DCO D);</w:t>
      </w:r>
    </w:p>
    <w:p>
      <w:pPr>
        <w:pStyle w:val="Liste2"/>
        <w:bidi w:val="0"/>
      </w:pPr>
      <w:r>
        <w:t>5.</w:t>
        <w:tab/>
        <w:t>utilisation des technologies numériques du monde du travail (DCO E);</w:t>
      </w:r>
    </w:p>
    <w:p>
      <w:pPr>
        <w:pStyle w:val="Liste1"/>
        <w:bidi w:val="0"/>
      </w:pPr>
      <w:r>
        <w:t>f)</w:t>
        <w:tab/>
        <w:t>la formation à la pratique professionnelle, selon l'article 5 al. 4 du présent règlement;</w:t>
      </w:r>
    </w:p>
    <w:p>
      <w:pPr>
        <w:pStyle w:val="Liste1"/>
        <w:bidi w:val="0"/>
        <w:spacing w:before="0" w:after="80"/>
        <w:rPr>
          <w:vertAlign w:val="superscript"/>
        </w:rPr>
      </w:pPr>
      <w:r>
        <w:t>g)</w:t>
        <w:tab/>
        <w:t>le sport.</w:t>
      </w:r>
    </w:p>
    <w:p>
      <w:pPr>
        <w:bidi w:val="0"/>
        <w:rPr>
          <w:b/>
          <w:bCs/>
        </w:rPr>
      </w:pPr>
      <w:r>
        <w:rPr>
          <w:vertAlign w:val="superscript"/>
        </w:rPr>
        <w:t>2</w:t>
      </w:r>
      <w:r>
        <w:t> Les modalités d'exécution de la branche «travail interdisciplinaire» sont fixées par le Service, conformément aux prescriptions fédérales en matière de formation professionnelle.</w:t>
      </w:r>
    </w:p>
    <w:p>
      <w:pPr>
        <w:pStyle w:val="Artikel"/>
        <w:bidi w:val="0"/>
        <w:outlineLvl w:val="5"/>
        <w:rPr>
          <w:vertAlign w:val="superscript"/>
        </w:rPr>
      </w:pPr>
      <w:r>
        <w:rPr>
          <w:b/>
          <w:bCs/>
        </w:rPr>
        <w:t>Art.  9</w:t>
      </w:r>
      <w:r>
        <w:tab/>
        <w:t>Grille horaire</w:t>
      </w:r>
    </w:p>
    <w:p>
      <w:pPr>
        <w:bidi w:val="0"/>
        <w:rPr>
          <w:b/>
          <w:bCs/>
        </w:rPr>
      </w:pPr>
      <w:r>
        <w:rPr>
          <w:vertAlign w:val="superscript"/>
        </w:rPr>
        <w:t>1</w:t>
      </w:r>
      <w:r>
        <w:t> La Direction de la formation et des affaires culturelles (ci-après: la Direction) établit la grille des leçons hebdomadaires.</w:t>
      </w:r>
    </w:p>
    <w:p>
      <w:pPr>
        <w:pStyle w:val="Artikel"/>
        <w:bidi w:val="0"/>
        <w:outlineLvl w:val="5"/>
        <w:rPr>
          <w:vertAlign w:val="superscript"/>
        </w:rPr>
      </w:pPr>
      <w:r>
        <w:rPr>
          <w:b/>
          <w:bCs/>
        </w:rPr>
        <w:t>Art.  10</w:t>
      </w:r>
      <w:r>
        <w:tab/>
        <w:t>Maturité professionnelle multilingue</w:t>
      </w:r>
    </w:p>
    <w:p>
      <w:pPr>
        <w:bidi w:val="0"/>
        <w:rPr>
          <w:b/>
          <w:bCs/>
        </w:rPr>
      </w:pPr>
      <w:r>
        <w:rPr>
          <w:vertAlign w:val="superscript"/>
        </w:rPr>
        <w:t>1</w:t>
      </w:r>
      <w:r>
        <w:t> Une formation répondant aux critères de l'attribution d'une mention «maturité professionnelle multilingue» peut être offerte aux personnes en formation qui le souhaitent. Les conditions concernant cette formation sont fixées par la Direction.</w:t>
      </w:r>
    </w:p>
    <w:p>
      <w:pPr>
        <w:pStyle w:val="Artikel"/>
        <w:bidi w:val="0"/>
        <w:outlineLvl w:val="5"/>
        <w:rPr>
          <w:vertAlign w:val="superscript"/>
        </w:rPr>
      </w:pPr>
      <w:r>
        <w:rPr>
          <w:b/>
          <w:bCs/>
        </w:rPr>
        <w:t>Art.  11</w:t>
      </w:r>
      <w:r>
        <w:tab/>
        <w:t>Artistes et sportifs de talent</w:t>
      </w:r>
    </w:p>
    <w:p>
      <w:pPr>
        <w:bidi w:val="0"/>
        <w:rPr>
          <w:vertAlign w:val="superscript"/>
        </w:rPr>
      </w:pPr>
      <w:r>
        <w:rPr>
          <w:vertAlign w:val="superscript"/>
        </w:rPr>
        <w:t>1</w:t>
      </w:r>
      <w:r>
        <w:t> Pour les jeunes sportifs et sportives de talent ou les jeunes artistes de talent, des mesures permettant de concilier leur formation scolaire et la pratique d'un art ou d'un sport à haut niveau sont prises par la direction d'école, conformément à la législation sur le sport.</w:t>
      </w:r>
    </w:p>
    <w:p>
      <w:pPr>
        <w:bidi w:val="0"/>
      </w:pPr>
      <w:r>
        <w:rPr>
          <w:vertAlign w:val="superscript"/>
        </w:rPr>
        <w:t>2</w:t>
      </w:r>
      <w:r>
        <w:t> Durant le stage, les règles de l'entreprise de stage s'appliquent.</w:t>
      </w:r>
    </w:p>
    <w:p>
      <w:pPr>
        <w:pStyle w:val="TitelStufe1"/>
        <w:bidi w:val="0"/>
        <w:outlineLvl w:val="0"/>
        <w:rPr>
          <w:b/>
          <w:bCs/>
        </w:rPr>
      </w:pPr>
      <w:r>
        <w:t>3 Promotion</w:t>
      </w:r>
    </w:p>
    <w:p>
      <w:pPr>
        <w:pStyle w:val="Artikel"/>
        <w:bidi w:val="0"/>
        <w:outlineLvl w:val="5"/>
        <w:rPr>
          <w:vertAlign w:val="superscript"/>
        </w:rPr>
      </w:pPr>
      <w:r>
        <w:rPr>
          <w:b/>
          <w:bCs/>
        </w:rPr>
        <w:t>Art.  12</w:t>
      </w:r>
      <w:r>
        <w:tab/>
        <w:t>Principe</w:t>
      </w:r>
    </w:p>
    <w:p>
      <w:pPr>
        <w:bidi w:val="0"/>
        <w:rPr>
          <w:vertAlign w:val="superscript"/>
        </w:rPr>
      </w:pPr>
      <w:r>
        <w:rPr>
          <w:vertAlign w:val="superscript"/>
        </w:rPr>
        <w:t>1</w:t>
      </w:r>
      <w:r>
        <w:t> La personne en formation doit remplir les conditions de promotion des parties CFC et MP.</w:t>
      </w:r>
    </w:p>
    <w:p>
      <w:pPr>
        <w:bidi w:val="0"/>
        <w:rPr>
          <w:b/>
          <w:bCs/>
        </w:rPr>
      </w:pPr>
      <w:r>
        <w:rPr>
          <w:vertAlign w:val="superscript"/>
        </w:rPr>
        <w:t>2</w:t>
      </w:r>
      <w:r>
        <w:t> La personne en formation ne peut pas redoubler une partie (CFC ou MP) réussie.</w:t>
      </w:r>
    </w:p>
    <w:p>
      <w:pPr>
        <w:pStyle w:val="Artikel"/>
        <w:bidi w:val="0"/>
        <w:outlineLvl w:val="5"/>
        <w:rPr>
          <w:vertAlign w:val="superscript"/>
        </w:rPr>
      </w:pPr>
      <w:r>
        <w:rPr>
          <w:b/>
          <w:bCs/>
        </w:rPr>
        <w:t>Art.  13</w:t>
      </w:r>
      <w:r>
        <w:tab/>
        <w:t>Circonstances exceptionnelles</w:t>
      </w:r>
    </w:p>
    <w:p>
      <w:pPr>
        <w:bidi w:val="0"/>
      </w:pPr>
      <w:r>
        <w:rPr>
          <w:vertAlign w:val="superscript"/>
        </w:rPr>
        <w:t>1</w:t>
      </w:r>
      <w:r>
        <w:t> Le directeur ou la directrice de l'école peut accorder la promotion lorsque, pour cause de maladie ou en raison de circonstances indépendantes de la volonté de la personne en formation, les résultats ne répondraient pas aux conditions prévues aux articles 16 ou 22 du présent règlement.</w:t>
      </w:r>
    </w:p>
    <w:p>
      <w:pPr>
        <w:pStyle w:val="TitelStufe2"/>
        <w:bidi w:val="0"/>
        <w:outlineLvl w:val="1"/>
        <w:rPr>
          <w:b/>
          <w:bCs/>
        </w:rPr>
      </w:pPr>
      <w:r>
        <w:t>3.1 Partie CFC</w:t>
      </w:r>
    </w:p>
    <w:p>
      <w:pPr>
        <w:pStyle w:val="Artikel"/>
        <w:bidi w:val="0"/>
        <w:outlineLvl w:val="5"/>
        <w:rPr>
          <w:vertAlign w:val="superscript"/>
        </w:rPr>
      </w:pPr>
      <w:r>
        <w:rPr>
          <w:b/>
          <w:bCs/>
        </w:rPr>
        <w:t>Art.  14</w:t>
      </w:r>
      <w:r>
        <w:tab/>
        <w:t>Contenu</w:t>
      </w:r>
    </w:p>
    <w:p>
      <w:pPr>
        <w:bidi w:val="0"/>
        <w:rPr>
          <w:b/>
          <w:bCs/>
        </w:rPr>
      </w:pPr>
      <w:r>
        <w:rPr>
          <w:vertAlign w:val="superscript"/>
        </w:rPr>
        <w:t>1</w:t>
      </w:r>
      <w:r>
        <w:t> Les personnes en formation sont tenues de documenter dans un portfolio personnel leurs progrès dans l'enseignement des compétences professionnelles dans le cadre des DCO. L'école édicte des directives à ce sujet.</w:t>
      </w:r>
    </w:p>
    <w:p>
      <w:pPr>
        <w:pStyle w:val="Artikel"/>
        <w:bidi w:val="0"/>
        <w:outlineLvl w:val="5"/>
        <w:rPr>
          <w:vertAlign w:val="superscript"/>
        </w:rPr>
      </w:pPr>
      <w:r>
        <w:rPr>
          <w:b/>
          <w:bCs/>
        </w:rPr>
        <w:t>Art.  15</w:t>
      </w:r>
      <w:r>
        <w:tab/>
        <w:t>Evaluation</w:t>
      </w:r>
    </w:p>
    <w:p>
      <w:pPr>
        <w:pStyle w:val="StandardvorAufzhlung"/>
        <w:bidi w:val="0"/>
      </w:pPr>
      <w:r>
        <w:rPr>
          <w:vertAlign w:val="superscript"/>
        </w:rPr>
        <w:t>1</w:t>
      </w:r>
      <w:r>
        <w:t> Le niveau de formation dans l'enseignement des compétences professionnelles est évalué dans le cadre d'un test de compétences. Ce dernier a les caractéristiques principales suivantes:</w:t>
      </w:r>
    </w:p>
    <w:p>
      <w:pPr>
        <w:pStyle w:val="Liste1"/>
        <w:bidi w:val="0"/>
      </w:pPr>
      <w:r>
        <w:t>a)</w:t>
        <w:tab/>
        <w:t>Il évalue les DCO B, C, D et E en s'appuyant sur les objectifs évaluateurs conformément au plan d'études national pour l'enseignement à l'école professionnelle – Employée / Employé de commerce CFC.</w:t>
      </w:r>
    </w:p>
    <w:p>
      <w:pPr>
        <w:pStyle w:val="Liste1"/>
        <w:bidi w:val="0"/>
      </w:pPr>
      <w:r>
        <w:t>b)</w:t>
        <w:tab/>
        <w:t>Il permet d'évaluer aussi bien le travail individuel que le travail d'équipe.</w:t>
      </w:r>
    </w:p>
    <w:p>
      <w:pPr>
        <w:pStyle w:val="Liste1"/>
        <w:bidi w:val="0"/>
      </w:pPr>
      <w:r>
        <w:t>c)</w:t>
        <w:tab/>
        <w:t>La note de chaque DCO est exprimée en note entière ou demi-note.</w:t>
      </w:r>
    </w:p>
    <w:p>
      <w:pPr>
        <w:pStyle w:val="Liste1"/>
        <w:bidi w:val="0"/>
        <w:spacing w:before="0" w:after="80"/>
        <w:rPr>
          <w:vertAlign w:val="superscript"/>
        </w:rPr>
      </w:pPr>
      <w:r>
        <w:t>d)</w:t>
        <w:tab/>
        <w:t>Le test de compétences est considéré comme réussi si la moyenne des notes des quatre DCO est au moins égale à 4.</w:t>
      </w:r>
    </w:p>
    <w:p>
      <w:pPr>
        <w:bidi w:val="0"/>
        <w:rPr>
          <w:b/>
          <w:bCs/>
        </w:rPr>
      </w:pPr>
      <w:r>
        <w:rPr>
          <w:vertAlign w:val="superscript"/>
        </w:rPr>
        <w:t>2</w:t>
      </w:r>
      <w:r>
        <w:t> Si le test de compétences n'est pas réussi, la personne en formation peut être convoquée pour un travail de rattrapage (seuls les DCO non réussis sont répétés). Ce dernier peut également avoir lieu pendant les vacances d'été.</w:t>
      </w:r>
    </w:p>
    <w:p>
      <w:pPr>
        <w:pStyle w:val="Artikel"/>
        <w:bidi w:val="0"/>
        <w:outlineLvl w:val="5"/>
        <w:rPr>
          <w:vertAlign w:val="superscript"/>
        </w:rPr>
      </w:pPr>
      <w:r>
        <w:rPr>
          <w:b/>
          <w:bCs/>
        </w:rPr>
        <w:t>Art.  16</w:t>
      </w:r>
      <w:r>
        <w:tab/>
        <w:t>Conditions de promotion</w:t>
      </w:r>
    </w:p>
    <w:p>
      <w:pPr>
        <w:bidi w:val="0"/>
        <w:rPr>
          <w:vertAlign w:val="superscript"/>
        </w:rPr>
      </w:pPr>
      <w:r>
        <w:rPr>
          <w:vertAlign w:val="superscript"/>
        </w:rPr>
        <w:t>1</w:t>
      </w:r>
      <w:r>
        <w:t> La promotion en fin de première année (deuxième semestre) et de deuxième année (quatrième semestre) est obtenue si le test de compétence est réussi, donc si la moyenne des notes des quatre DCO est au moins égale à 4.</w:t>
      </w:r>
    </w:p>
    <w:p>
      <w:pPr>
        <w:bidi w:val="0"/>
        <w:rPr>
          <w:b/>
          <w:bCs/>
        </w:rPr>
      </w:pPr>
      <w:r>
        <w:rPr>
          <w:vertAlign w:val="superscript"/>
        </w:rPr>
        <w:t>2</w:t>
      </w:r>
      <w:r>
        <w:t> En cas de non-promotion, la personne en formation peut effectuer un travail de rattrapage. En cas d'échec au travail de rattrapage, elle doit redoubler l'année (partie CFC).</w:t>
      </w:r>
    </w:p>
    <w:p>
      <w:pPr>
        <w:pStyle w:val="Artikel"/>
        <w:bidi w:val="0"/>
        <w:outlineLvl w:val="5"/>
        <w:rPr>
          <w:vertAlign w:val="superscript"/>
        </w:rPr>
      </w:pPr>
      <w:r>
        <w:rPr>
          <w:b/>
          <w:bCs/>
        </w:rPr>
        <w:t>Art.  17</w:t>
      </w:r>
      <w:r>
        <w:tab/>
        <w:t>Pouvoir de décision</w:t>
      </w:r>
    </w:p>
    <w:p>
      <w:pPr>
        <w:pStyle w:val="StandardvorAufzhlung"/>
        <w:bidi w:val="0"/>
      </w:pPr>
      <w:r>
        <w:rPr>
          <w:vertAlign w:val="superscript"/>
        </w:rPr>
        <w:t>1</w:t>
      </w:r>
      <w:r>
        <w:t> Sur la base du résultat du test de compétence et du préavis de la conférence des professeur-e-s de la classe, le directeur ou la directrice de l'école décide:</w:t>
      </w:r>
    </w:p>
    <w:p>
      <w:pPr>
        <w:pStyle w:val="Liste1"/>
        <w:bidi w:val="0"/>
      </w:pPr>
      <w:r>
        <w:t>a)</w:t>
        <w:tab/>
        <w:t>de la promotion;</w:t>
      </w:r>
    </w:p>
    <w:p>
      <w:pPr>
        <w:pStyle w:val="Liste1"/>
        <w:bidi w:val="0"/>
      </w:pPr>
      <w:r>
        <w:t>b)</w:t>
        <w:tab/>
        <w:t>de la non-promotion impliquant un redoublement;</w:t>
      </w:r>
    </w:p>
    <w:p>
      <w:pPr>
        <w:pStyle w:val="Liste1"/>
        <w:bidi w:val="0"/>
        <w:spacing w:before="0" w:after="80"/>
        <w:rPr>
          <w:b/>
          <w:bCs/>
        </w:rPr>
      </w:pPr>
      <w:r>
        <w:t>c)</w:t>
        <w:tab/>
        <w:t>de la non-promotion impliquant une exclusion de la filière.</w:t>
      </w:r>
    </w:p>
    <w:p>
      <w:pPr>
        <w:pStyle w:val="Artikel"/>
        <w:bidi w:val="0"/>
        <w:outlineLvl w:val="5"/>
        <w:rPr>
          <w:vertAlign w:val="superscript"/>
        </w:rPr>
      </w:pPr>
      <w:r>
        <w:rPr>
          <w:b/>
          <w:bCs/>
        </w:rPr>
        <w:t>Art.  18</w:t>
      </w:r>
      <w:r>
        <w:tab/>
        <w:t>Redoublement d'une classe</w:t>
      </w:r>
    </w:p>
    <w:p>
      <w:pPr>
        <w:bidi w:val="0"/>
        <w:rPr>
          <w:vertAlign w:val="superscript"/>
        </w:rPr>
      </w:pPr>
      <w:r>
        <w:rPr>
          <w:vertAlign w:val="superscript"/>
        </w:rPr>
        <w:t>1</w:t>
      </w:r>
      <w:r>
        <w:t> Une personne en formation ne peut redoubler une année de formation de la partie CFC qu'une fois.</w:t>
      </w:r>
    </w:p>
    <w:p>
      <w:pPr>
        <w:bidi w:val="0"/>
      </w:pPr>
      <w:r>
        <w:rPr>
          <w:vertAlign w:val="superscript"/>
        </w:rPr>
        <w:t>2</w:t>
      </w:r>
      <w:r>
        <w:t> Le directeur ou la directrice de l'école statue sur les cas de force majeure causés, notamment, par la maladie ou un accident.</w:t>
      </w:r>
    </w:p>
    <w:p>
      <w:pPr>
        <w:pStyle w:val="TitelStufe2"/>
        <w:bidi w:val="0"/>
        <w:outlineLvl w:val="1"/>
        <w:rPr>
          <w:b/>
          <w:bCs/>
        </w:rPr>
      </w:pPr>
      <w:r>
        <w:t>3.2 Partie MP</w:t>
      </w:r>
    </w:p>
    <w:p>
      <w:pPr>
        <w:pStyle w:val="Artikel"/>
        <w:bidi w:val="0"/>
        <w:outlineLvl w:val="5"/>
        <w:rPr>
          <w:vertAlign w:val="superscript"/>
        </w:rPr>
      </w:pPr>
      <w:r>
        <w:rPr>
          <w:b/>
          <w:bCs/>
        </w:rPr>
        <w:t>Art.  19</w:t>
      </w:r>
      <w:r>
        <w:tab/>
        <w:t>Branches d'enseignement</w:t>
      </w:r>
    </w:p>
    <w:p>
      <w:pPr>
        <w:bidi w:val="0"/>
        <w:rPr>
          <w:vertAlign w:val="superscript"/>
        </w:rPr>
      </w:pPr>
      <w:r>
        <w:rPr>
          <w:vertAlign w:val="superscript"/>
        </w:rPr>
        <w:t>1</w:t>
      </w:r>
      <w:r>
        <w:t> Entrent en considération pour la promotion d'un semestre au suivant toutes les branches énumérées à l'article 8 al. 1 let. a à c du présent règlement.</w:t>
      </w:r>
    </w:p>
    <w:p>
      <w:pPr>
        <w:bidi w:val="0"/>
        <w:rPr>
          <w:b/>
          <w:bCs/>
        </w:rPr>
      </w:pPr>
      <w:r>
        <w:rPr>
          <w:vertAlign w:val="superscript"/>
        </w:rPr>
        <w:t>2</w:t>
      </w:r>
      <w:r>
        <w:t> Le sport fait l'objet d'une note figurant dans le bulletin mais ne comptant ni pour la promotion ni pour la moyenne.</w:t>
      </w:r>
    </w:p>
    <w:p>
      <w:pPr>
        <w:pStyle w:val="Artikel"/>
        <w:bidi w:val="0"/>
        <w:outlineLvl w:val="5"/>
        <w:rPr>
          <w:vertAlign w:val="superscript"/>
        </w:rPr>
      </w:pPr>
      <w:r>
        <w:rPr>
          <w:b/>
          <w:bCs/>
        </w:rPr>
        <w:t>Art.  20</w:t>
      </w:r>
      <w:r>
        <w:tab/>
        <w:t>Evaluation</w:t>
      </w:r>
    </w:p>
    <w:p>
      <w:pPr>
        <w:bidi w:val="0"/>
        <w:rPr>
          <w:vertAlign w:val="superscript"/>
        </w:rPr>
      </w:pPr>
      <w:r>
        <w:rPr>
          <w:vertAlign w:val="superscript"/>
        </w:rPr>
        <w:t>1</w:t>
      </w:r>
      <w:r>
        <w:t> Les performances et le travail de la personne en formation sont évalués de façon continue au moyen de notes. La meilleure note est 6; la plus mauvaise est 1. Les notes égales ou supérieures à 4 sont suffisantes; les notes inférieures à 4 sont insuffisantes.</w:t>
      </w:r>
    </w:p>
    <w:p>
      <w:pPr>
        <w:bidi w:val="0"/>
        <w:rPr>
          <w:b/>
          <w:bCs/>
        </w:rPr>
      </w:pPr>
      <w:r>
        <w:rPr>
          <w:vertAlign w:val="superscript"/>
        </w:rPr>
        <w:t>2</w:t>
      </w:r>
      <w:r>
        <w:t> Les branches mentionnées à l'article 8 al. 1 let. a à d du présent règlement font l'objet d'une évaluation notée.</w:t>
      </w:r>
    </w:p>
    <w:p>
      <w:pPr>
        <w:pStyle w:val="Artikel"/>
        <w:bidi w:val="0"/>
        <w:outlineLvl w:val="5"/>
        <w:rPr>
          <w:vertAlign w:val="superscript"/>
        </w:rPr>
      </w:pPr>
      <w:r>
        <w:rPr>
          <w:b/>
          <w:bCs/>
        </w:rPr>
        <w:t>Art.  21</w:t>
      </w:r>
      <w:r>
        <w:tab/>
        <w:t>Note semestrielle</w:t>
      </w:r>
    </w:p>
    <w:p>
      <w:pPr>
        <w:bidi w:val="0"/>
        <w:rPr>
          <w:vertAlign w:val="superscript"/>
        </w:rPr>
      </w:pPr>
      <w:r>
        <w:rPr>
          <w:vertAlign w:val="superscript"/>
        </w:rPr>
        <w:t>1</w:t>
      </w:r>
      <w:r>
        <w:t> Dans chaque branche, la note semestrielle est la moyenne établie sur l'ensemble des résultats obtenus par la personne en formation au cours du semestre. Elle est exprimée en note entière ou en demi-note.</w:t>
      </w:r>
    </w:p>
    <w:p>
      <w:pPr>
        <w:bidi w:val="0"/>
        <w:rPr>
          <w:b/>
          <w:bCs/>
        </w:rPr>
      </w:pPr>
      <w:r>
        <w:rPr>
          <w:vertAlign w:val="superscript"/>
        </w:rPr>
        <w:t>2</w:t>
      </w:r>
      <w:r>
        <w:t> Toutefois, en établissant cette note, l'enseignant ou l'enseignante peut tenir compte de l'évolution des résultats de la personne en formation, de son aptitude à suivre l'enseignement de la classe supérieure et du travail accompli en classe au cours de l'année.</w:t>
      </w:r>
    </w:p>
    <w:p>
      <w:pPr>
        <w:pStyle w:val="Artikel"/>
        <w:bidi w:val="0"/>
        <w:outlineLvl w:val="5"/>
        <w:rPr>
          <w:vertAlign w:val="superscript"/>
        </w:rPr>
      </w:pPr>
      <w:r>
        <w:rPr>
          <w:b/>
          <w:bCs/>
        </w:rPr>
        <w:t>Art.  22</w:t>
      </w:r>
      <w:r>
        <w:tab/>
        <w:t>Conditions de promotion</w:t>
      </w:r>
    </w:p>
    <w:p>
      <w:pPr>
        <w:pStyle w:val="StandardvorAufzhlung"/>
        <w:bidi w:val="0"/>
      </w:pPr>
      <w:r>
        <w:rPr>
          <w:vertAlign w:val="superscript"/>
        </w:rPr>
        <w:t>1</w:t>
      </w:r>
      <w:r>
        <w:t> La promotion en fin de premier, deuxième, troisième, quatrième et cinquième semestre au degré supérieur est obtenue si les conditions cumulatives suivantes sont remplies:</w:t>
      </w:r>
    </w:p>
    <w:p>
      <w:pPr>
        <w:pStyle w:val="Liste1"/>
        <w:bidi w:val="0"/>
      </w:pPr>
      <w:r>
        <w:t>a)</w:t>
        <w:tab/>
        <w:t>la moyenne de toutes les branches mentionnées à l'art. 8 al. 1 let a à c est de 4 au minimum;</w:t>
      </w:r>
    </w:p>
    <w:p>
      <w:pPr>
        <w:pStyle w:val="Liste1"/>
        <w:bidi w:val="0"/>
      </w:pPr>
      <w:r>
        <w:t>b)</w:t>
        <w:tab/>
        <w:t>la personne en formation n'a pas, dans l'ensemble des branches mentionnées à l'art. 8 al. 1 let a à c, plus de deux notes inférieures à 4;</w:t>
      </w:r>
    </w:p>
    <w:p>
      <w:pPr>
        <w:pStyle w:val="Liste1"/>
        <w:bidi w:val="0"/>
        <w:spacing w:before="0" w:after="80"/>
        <w:rPr>
          <w:b/>
          <w:bCs/>
        </w:rPr>
      </w:pPr>
      <w:r>
        <w:t>c)</w:t>
        <w:tab/>
        <w:t>la somme des écarts à 4 des notes insuffisantes des branches mentionnées à l'art. 8 al. 1 let a à c ne dépasse pas 2 points.</w:t>
      </w:r>
    </w:p>
    <w:p>
      <w:pPr>
        <w:pStyle w:val="Artikel"/>
        <w:bidi w:val="0"/>
        <w:outlineLvl w:val="5"/>
        <w:rPr>
          <w:vertAlign w:val="superscript"/>
        </w:rPr>
      </w:pPr>
      <w:r>
        <w:rPr>
          <w:b/>
          <w:bCs/>
        </w:rPr>
        <w:t>Art.  23</w:t>
      </w:r>
      <w:r>
        <w:tab/>
        <w:t>Pouvoir de décision</w:t>
      </w:r>
    </w:p>
    <w:p>
      <w:pPr>
        <w:pStyle w:val="StandardvorAufzhlung"/>
        <w:bidi w:val="0"/>
      </w:pPr>
      <w:r>
        <w:rPr>
          <w:vertAlign w:val="superscript"/>
        </w:rPr>
        <w:t>1</w:t>
      </w:r>
      <w:r>
        <w:t> Sur la base du bulletin semestriel et du préavis de la conférence des professeur-e-s de la classe, le directeur ou la directrice de l'école décide:</w:t>
      </w:r>
    </w:p>
    <w:p>
      <w:pPr>
        <w:pStyle w:val="Liste1"/>
        <w:bidi w:val="0"/>
      </w:pPr>
      <w:r>
        <w:t>a)</w:t>
        <w:tab/>
        <w:t>de la promotion;</w:t>
      </w:r>
    </w:p>
    <w:p>
      <w:pPr>
        <w:pStyle w:val="Liste1"/>
        <w:bidi w:val="0"/>
      </w:pPr>
      <w:r>
        <w:t>b)</w:t>
        <w:tab/>
        <w:t>de la promotion conditionnelle dans le semestre suivant;</w:t>
      </w:r>
    </w:p>
    <w:p>
      <w:pPr>
        <w:pStyle w:val="Liste1"/>
        <w:bidi w:val="0"/>
      </w:pPr>
      <w:r>
        <w:t>c)</w:t>
        <w:tab/>
        <w:t>de la non-promotion impliquant un redoublement;</w:t>
      </w:r>
    </w:p>
    <w:p>
      <w:pPr>
        <w:pStyle w:val="Liste1"/>
        <w:bidi w:val="0"/>
        <w:spacing w:before="0" w:after="80"/>
        <w:rPr>
          <w:b/>
          <w:bCs/>
        </w:rPr>
      </w:pPr>
      <w:r>
        <w:t>d)</w:t>
        <w:tab/>
        <w:t>de la non-promotion impliquant une exclusion de la filière.</w:t>
      </w:r>
    </w:p>
    <w:p>
      <w:pPr>
        <w:pStyle w:val="Artikel"/>
        <w:bidi w:val="0"/>
        <w:outlineLvl w:val="5"/>
        <w:rPr>
          <w:vertAlign w:val="superscript"/>
        </w:rPr>
      </w:pPr>
      <w:r>
        <w:rPr>
          <w:b/>
          <w:bCs/>
        </w:rPr>
        <w:t>Art.  24</w:t>
      </w:r>
      <w:r>
        <w:tab/>
        <w:t>Promotion conditionnelle</w:t>
      </w:r>
    </w:p>
    <w:p>
      <w:pPr>
        <w:bidi w:val="0"/>
        <w:rPr>
          <w:vertAlign w:val="superscript"/>
        </w:rPr>
      </w:pPr>
      <w:r>
        <w:rPr>
          <w:vertAlign w:val="superscript"/>
        </w:rPr>
        <w:t>1</w:t>
      </w:r>
      <w:r>
        <w:t> Le directeur ou la directrice de l'école peut accorder une promotion conditionnelle.</w:t>
      </w:r>
    </w:p>
    <w:p>
      <w:pPr>
        <w:bidi w:val="0"/>
        <w:rPr>
          <w:vertAlign w:val="superscript"/>
        </w:rPr>
      </w:pPr>
      <w:r>
        <w:rPr>
          <w:vertAlign w:val="superscript"/>
        </w:rPr>
        <w:t>2</w:t>
      </w:r>
      <w:r>
        <w:t> La personne en formation ne peut en bénéficier qu'une fois durant ses études.</w:t>
      </w:r>
    </w:p>
    <w:p>
      <w:pPr>
        <w:bidi w:val="0"/>
        <w:rPr>
          <w:b/>
          <w:bCs/>
        </w:rPr>
      </w:pPr>
      <w:r>
        <w:rPr>
          <w:vertAlign w:val="superscript"/>
        </w:rPr>
        <w:t>3</w:t>
      </w:r>
      <w:r>
        <w:t> En cas de nouvelle non-promotion, elle doit répéter les deux derniers semestres (partie MP).</w:t>
      </w:r>
    </w:p>
    <w:p>
      <w:pPr>
        <w:pStyle w:val="Artikel"/>
        <w:bidi w:val="0"/>
        <w:outlineLvl w:val="5"/>
        <w:rPr>
          <w:vertAlign w:val="superscript"/>
        </w:rPr>
      </w:pPr>
      <w:r>
        <w:rPr>
          <w:b/>
          <w:bCs/>
        </w:rPr>
        <w:t>Art.  25</w:t>
      </w:r>
      <w:r>
        <w:tab/>
        <w:t>Redoublement d'une classe</w:t>
      </w:r>
    </w:p>
    <w:p>
      <w:pPr>
        <w:bidi w:val="0"/>
        <w:rPr>
          <w:vertAlign w:val="superscript"/>
        </w:rPr>
      </w:pPr>
      <w:r>
        <w:rPr>
          <w:vertAlign w:val="superscript"/>
        </w:rPr>
        <w:t>1</w:t>
      </w:r>
      <w:r>
        <w:t> Une personne en formation ne peut redoubler les deux semestres qu'une fois durant les cinq premiers semestres d'étude.</w:t>
      </w:r>
    </w:p>
    <w:p>
      <w:pPr>
        <w:bidi w:val="0"/>
        <w:rPr>
          <w:vertAlign w:val="superscript"/>
        </w:rPr>
      </w:pPr>
      <w:r>
        <w:rPr>
          <w:vertAlign w:val="superscript"/>
        </w:rPr>
        <w:t>2</w:t>
      </w:r>
      <w:r>
        <w:t> Le redoublement est refusé dans les cas où la personne en formation obtient une moyenne de toutes les branches mentionnées à l'art. 8 al. 1 let a à c inférieure à 3,50.</w:t>
      </w:r>
    </w:p>
    <w:p>
      <w:pPr>
        <w:bidi w:val="0"/>
      </w:pPr>
      <w:r>
        <w:rPr>
          <w:vertAlign w:val="superscript"/>
        </w:rPr>
        <w:t>3</w:t>
      </w:r>
      <w:r>
        <w:t> Le directeur ou la directrice de l'école statue sur les cas de force majeure causés, notamment, par la maladie ou un accident.</w:t>
      </w:r>
    </w:p>
    <w:p>
      <w:pPr>
        <w:pStyle w:val="TitelStufe1"/>
        <w:bidi w:val="0"/>
        <w:outlineLvl w:val="0"/>
        <w:rPr>
          <w:b/>
          <w:bCs/>
        </w:rPr>
      </w:pPr>
      <w:r>
        <w:t>4 Stage de longue durée</w:t>
      </w:r>
    </w:p>
    <w:p>
      <w:pPr>
        <w:pStyle w:val="Artikel"/>
        <w:bidi w:val="0"/>
        <w:outlineLvl w:val="5"/>
        <w:rPr>
          <w:vertAlign w:val="superscript"/>
        </w:rPr>
      </w:pPr>
      <w:r>
        <w:rPr>
          <w:b/>
          <w:bCs/>
        </w:rPr>
        <w:t>Art.  26</w:t>
      </w:r>
      <w:r>
        <w:tab/>
        <w:t>But et objectif</w:t>
      </w:r>
    </w:p>
    <w:p>
      <w:pPr>
        <w:bidi w:val="0"/>
        <w:rPr>
          <w:vertAlign w:val="superscript"/>
        </w:rPr>
      </w:pPr>
      <w:r>
        <w:rPr>
          <w:vertAlign w:val="superscript"/>
        </w:rPr>
        <w:t>1</w:t>
      </w:r>
      <w:r>
        <w:t> Une fois la formation scolaire terminée, un stage de longue durée en entreprise doit être effectué durant une année (vacances comprises).</w:t>
      </w:r>
    </w:p>
    <w:p>
      <w:pPr>
        <w:bidi w:val="0"/>
        <w:rPr>
          <w:b/>
          <w:bCs/>
        </w:rPr>
      </w:pPr>
      <w:r>
        <w:rPr>
          <w:vertAlign w:val="superscript"/>
        </w:rPr>
        <w:t>2</w:t>
      </w:r>
      <w:r>
        <w:t> Le stage de longue durée a pour objectif de permettre aux personnes en formation de compléter les compétences pratiques professionnelles liées à l'obtention du CFC.</w:t>
      </w:r>
    </w:p>
    <w:p>
      <w:pPr>
        <w:pStyle w:val="Artikel"/>
        <w:bidi w:val="0"/>
        <w:outlineLvl w:val="5"/>
        <w:rPr>
          <w:vertAlign w:val="superscript"/>
        </w:rPr>
      </w:pPr>
      <w:r>
        <w:rPr>
          <w:b/>
          <w:bCs/>
        </w:rPr>
        <w:t>Art.  27</w:t>
      </w:r>
      <w:r>
        <w:tab/>
        <w:t>Lieu de stage de longue durée</w:t>
      </w:r>
    </w:p>
    <w:p>
      <w:pPr>
        <w:bidi w:val="0"/>
        <w:rPr>
          <w:vertAlign w:val="superscript"/>
        </w:rPr>
      </w:pPr>
      <w:r>
        <w:rPr>
          <w:vertAlign w:val="superscript"/>
        </w:rPr>
        <w:t>1</w:t>
      </w:r>
      <w:r>
        <w:t> Les entreprises de stages sont soumises aux dispositions et aux exigences posées aux entreprises formatrices conformément aux prescriptions fédérales en matière de formation professionnelle. Elles doivent disposer d'une autorisation de former.</w:t>
      </w:r>
    </w:p>
    <w:p>
      <w:pPr>
        <w:bidi w:val="0"/>
        <w:rPr>
          <w:b/>
          <w:bCs/>
        </w:rPr>
      </w:pPr>
      <w:r>
        <w:rPr>
          <w:vertAlign w:val="superscript"/>
        </w:rPr>
        <w:t>2</w:t>
      </w:r>
      <w:r>
        <w:t> Le stage en entreprise peut également se dérouler dans un autre canton.</w:t>
      </w:r>
    </w:p>
    <w:p>
      <w:pPr>
        <w:pStyle w:val="Artikel"/>
        <w:bidi w:val="0"/>
        <w:outlineLvl w:val="5"/>
        <w:rPr>
          <w:vertAlign w:val="superscript"/>
        </w:rPr>
      </w:pPr>
      <w:r>
        <w:rPr>
          <w:b/>
          <w:bCs/>
        </w:rPr>
        <w:t>Art.  28</w:t>
      </w:r>
      <w:r>
        <w:tab/>
        <w:t>Moment du stage de longue durée</w:t>
      </w:r>
    </w:p>
    <w:p>
      <w:pPr>
        <w:bidi w:val="0"/>
        <w:rPr>
          <w:b/>
          <w:bCs/>
        </w:rPr>
      </w:pPr>
      <w:r>
        <w:rPr>
          <w:vertAlign w:val="superscript"/>
        </w:rPr>
        <w:t>1</w:t>
      </w:r>
      <w:r>
        <w:t> En cas d'interruption de la formation, le stage de longue durée doit être terminé au plus tard trois ans après la fin de la formation scolaire.</w:t>
      </w:r>
    </w:p>
    <w:p>
      <w:pPr>
        <w:pStyle w:val="Artikel"/>
        <w:bidi w:val="0"/>
        <w:outlineLvl w:val="5"/>
        <w:rPr>
          <w:vertAlign w:val="superscript"/>
        </w:rPr>
      </w:pPr>
      <w:r>
        <w:rPr>
          <w:b/>
          <w:bCs/>
        </w:rPr>
        <w:t>Art.  29</w:t>
      </w:r>
      <w:r>
        <w:tab/>
        <w:t>Places de stage</w:t>
      </w:r>
    </w:p>
    <w:p>
      <w:pPr>
        <w:bidi w:val="0"/>
        <w:rPr>
          <w:vertAlign w:val="superscript"/>
        </w:rPr>
      </w:pPr>
      <w:r>
        <w:rPr>
          <w:vertAlign w:val="superscript"/>
        </w:rPr>
        <w:t>1</w:t>
      </w:r>
      <w:r>
        <w:t> La personne en formation est responsable de trouver une place de stage.</w:t>
      </w:r>
    </w:p>
    <w:p>
      <w:pPr>
        <w:bidi w:val="0"/>
        <w:rPr>
          <w:b/>
          <w:bCs/>
        </w:rPr>
      </w:pPr>
      <w:r>
        <w:rPr>
          <w:vertAlign w:val="superscript"/>
        </w:rPr>
        <w:t>2</w:t>
      </w:r>
      <w:r>
        <w:t> Les écoles de commerce veillent à proposer un nombre de places de stages qui soit en adéquation avec le nombre de personnes en formation.</w:t>
      </w:r>
    </w:p>
    <w:p>
      <w:pPr>
        <w:pStyle w:val="Artikel"/>
        <w:bidi w:val="0"/>
        <w:outlineLvl w:val="5"/>
        <w:rPr>
          <w:vertAlign w:val="superscript"/>
        </w:rPr>
      </w:pPr>
      <w:r>
        <w:rPr>
          <w:b/>
          <w:bCs/>
        </w:rPr>
        <w:t>Art.  30</w:t>
      </w:r>
      <w:r>
        <w:tab/>
        <w:t>Absences répétées ou de longue durée de la personne en formation</w:t>
      </w:r>
    </w:p>
    <w:p>
      <w:pPr>
        <w:bidi w:val="0"/>
        <w:rPr>
          <w:b/>
          <w:bCs/>
        </w:rPr>
      </w:pPr>
      <w:r>
        <w:rPr>
          <w:vertAlign w:val="superscript"/>
        </w:rPr>
        <w:t>1</w:t>
      </w:r>
      <w:r>
        <w:t> Dans les cas d'absences répétées ou de longue durée, le stage ne peut être validé et doit être répété.</w:t>
      </w:r>
    </w:p>
    <w:p>
      <w:pPr>
        <w:pStyle w:val="Artikel"/>
        <w:bidi w:val="0"/>
        <w:outlineLvl w:val="5"/>
        <w:rPr>
          <w:vertAlign w:val="superscript"/>
        </w:rPr>
      </w:pPr>
      <w:r>
        <w:rPr>
          <w:b/>
          <w:bCs/>
        </w:rPr>
        <w:t>Art.  31</w:t>
      </w:r>
      <w:r>
        <w:tab/>
        <w:t>Contrat-cadre relatif au stage de longue durée</w:t>
      </w:r>
    </w:p>
    <w:p>
      <w:pPr>
        <w:bidi w:val="0"/>
        <w:rPr>
          <w:b/>
          <w:bCs/>
        </w:rPr>
      </w:pPr>
      <w:r>
        <w:rPr>
          <w:vertAlign w:val="superscript"/>
        </w:rPr>
        <w:t>1</w:t>
      </w:r>
      <w:r>
        <w:t> Un contrat-cadre relatif au stage de longue durée est signé entre l'entreprise de stage et le Service.</w:t>
      </w:r>
    </w:p>
    <w:p>
      <w:pPr>
        <w:pStyle w:val="Artikel"/>
        <w:bidi w:val="0"/>
        <w:outlineLvl w:val="5"/>
        <w:rPr>
          <w:vertAlign w:val="superscript"/>
        </w:rPr>
      </w:pPr>
      <w:r>
        <w:rPr>
          <w:b/>
          <w:bCs/>
        </w:rPr>
        <w:t>Art.  32</w:t>
      </w:r>
      <w:r>
        <w:tab/>
        <w:t>Contrat de stage de longue durée</w:t>
      </w:r>
    </w:p>
    <w:p>
      <w:pPr>
        <w:bidi w:val="0"/>
        <w:rPr>
          <w:vertAlign w:val="superscript"/>
        </w:rPr>
      </w:pPr>
      <w:r>
        <w:rPr>
          <w:vertAlign w:val="superscript"/>
        </w:rPr>
        <w:t>1</w:t>
      </w:r>
      <w:r>
        <w:t> Un contrat de stage d'une durée d'un an est signé entre la personne en formation, et ses représentants légaux si elle est mineure, l'entreprise de stage et l'école. Durant cette période, la personne en formation est soumise aux règles de l'entreprise.</w:t>
      </w:r>
    </w:p>
    <w:p>
      <w:pPr>
        <w:bidi w:val="0"/>
        <w:rPr>
          <w:vertAlign w:val="superscript"/>
        </w:rPr>
      </w:pPr>
      <w:r>
        <w:rPr>
          <w:vertAlign w:val="superscript"/>
        </w:rPr>
        <w:t>2</w:t>
      </w:r>
      <w:r>
        <w:t> Toute modification ou prolongation du contrat doit se faire par écrit.</w:t>
      </w:r>
    </w:p>
    <w:p>
      <w:pPr>
        <w:bidi w:val="0"/>
        <w:rPr>
          <w:b/>
          <w:bCs/>
        </w:rPr>
      </w:pPr>
      <w:r>
        <w:rPr>
          <w:vertAlign w:val="superscript"/>
        </w:rPr>
        <w:t>3</w:t>
      </w:r>
      <w:r>
        <w:t> Le contrat doit être validé par le Service.</w:t>
      </w:r>
    </w:p>
    <w:p>
      <w:pPr>
        <w:pStyle w:val="Artikel"/>
        <w:bidi w:val="0"/>
        <w:outlineLvl w:val="5"/>
        <w:rPr>
          <w:vertAlign w:val="superscript"/>
        </w:rPr>
      </w:pPr>
      <w:r>
        <w:rPr>
          <w:b/>
          <w:bCs/>
        </w:rPr>
        <w:t>Art.  33</w:t>
      </w:r>
      <w:r>
        <w:tab/>
        <w:t>Cours interentreprises</w:t>
      </w:r>
    </w:p>
    <w:p>
      <w:pPr>
        <w:bidi w:val="0"/>
        <w:rPr>
          <w:b/>
          <w:bCs/>
        </w:rPr>
      </w:pPr>
      <w:r>
        <w:rPr>
          <w:vertAlign w:val="superscript"/>
        </w:rPr>
        <w:t>1</w:t>
      </w:r>
      <w:r>
        <w:t> Durant le stage de longue durée, la personne en formation est tenue de participer aux cours interentreprises organisés par les branches de formation et d'examens commerciales reconnues par le Secrétariat d'Etat à la formation, à la recherche et à l'innovation (ci-après: SEFRI).</w:t>
      </w:r>
    </w:p>
    <w:p>
      <w:pPr>
        <w:pStyle w:val="Artikel"/>
        <w:bidi w:val="0"/>
        <w:outlineLvl w:val="5"/>
        <w:rPr>
          <w:vertAlign w:val="superscript"/>
        </w:rPr>
      </w:pPr>
      <w:r>
        <w:rPr>
          <w:b/>
          <w:bCs/>
        </w:rPr>
        <w:t>Art.  34</w:t>
      </w:r>
      <w:r>
        <w:tab/>
        <w:t>Délivrance des titres</w:t>
      </w:r>
    </w:p>
    <w:p>
      <w:pPr>
        <w:bidi w:val="0"/>
      </w:pPr>
      <w:r>
        <w:rPr>
          <w:vertAlign w:val="superscript"/>
        </w:rPr>
        <w:t>1</w:t>
      </w:r>
      <w:r>
        <w:t> Les titres CFC et/ou MP ne sont délivrés qu'au terme du stage de longue durée.</w:t>
      </w:r>
    </w:p>
    <w:p>
      <w:pPr>
        <w:pStyle w:val="TitelStufe1"/>
        <w:bidi w:val="0"/>
        <w:outlineLvl w:val="0"/>
      </w:pPr>
      <w:r>
        <w:t>5 Examens</w:t>
      </w:r>
    </w:p>
    <w:p>
      <w:pPr>
        <w:pStyle w:val="TitelStufe2nachTitel"/>
        <w:bidi w:val="0"/>
        <w:outlineLvl w:val="1"/>
        <w:rPr>
          <w:b/>
          <w:bCs/>
        </w:rPr>
      </w:pPr>
      <w:r>
        <w:t>5.1 Dispositions générales</w:t>
      </w:r>
    </w:p>
    <w:p>
      <w:pPr>
        <w:pStyle w:val="Artikel"/>
        <w:bidi w:val="0"/>
        <w:outlineLvl w:val="5"/>
        <w:rPr>
          <w:vertAlign w:val="superscript"/>
        </w:rPr>
      </w:pPr>
      <w:r>
        <w:rPr>
          <w:b/>
          <w:bCs/>
        </w:rPr>
        <w:t>Art.  35</w:t>
      </w:r>
    </w:p>
    <w:p>
      <w:pPr>
        <w:bidi w:val="0"/>
      </w:pPr>
      <w:r>
        <w:rPr>
          <w:vertAlign w:val="superscript"/>
        </w:rPr>
        <w:t>1</w:t>
      </w:r>
      <w:r>
        <w:t> L'Etat de Fribourg décerne un CFC et un certificat de MP conformes aux prescriptions fédérales en matière de formation professionnelle.</w:t>
      </w:r>
    </w:p>
    <w:p>
      <w:pPr>
        <w:pStyle w:val="TitelStufe2"/>
        <w:bidi w:val="0"/>
        <w:outlineLvl w:val="1"/>
        <w:rPr>
          <w:b/>
          <w:bCs/>
        </w:rPr>
      </w:pPr>
      <w:r>
        <w:t>5.2 Organisation pour la partie entreprise de l'examen</w:t>
      </w:r>
    </w:p>
    <w:p>
      <w:pPr>
        <w:pStyle w:val="Artikel"/>
        <w:bidi w:val="0"/>
        <w:outlineLvl w:val="5"/>
        <w:rPr>
          <w:vertAlign w:val="superscript"/>
        </w:rPr>
      </w:pPr>
      <w:r>
        <w:rPr>
          <w:b/>
          <w:bCs/>
        </w:rPr>
        <w:t>Art.  36</w:t>
      </w:r>
    </w:p>
    <w:p>
      <w:pPr>
        <w:bidi w:val="0"/>
      </w:pPr>
      <w:r>
        <w:rPr>
          <w:vertAlign w:val="superscript"/>
        </w:rPr>
        <w:t>1</w:t>
      </w:r>
      <w:r>
        <w:t> L'organisation de la partie entreprise de la procédure de qualification est réglée par les branches de formation et d'examens commerciales reconnues par le SEFRI.</w:t>
      </w:r>
    </w:p>
    <w:p>
      <w:pPr>
        <w:pStyle w:val="TitelStufe2"/>
        <w:bidi w:val="0"/>
        <w:outlineLvl w:val="1"/>
        <w:rPr>
          <w:b/>
          <w:bCs/>
        </w:rPr>
      </w:pPr>
      <w:r>
        <w:t>5.3 Organisation pour la partie scolaire de l'examen</w:t>
      </w:r>
    </w:p>
    <w:p>
      <w:pPr>
        <w:pStyle w:val="Artikel"/>
        <w:bidi w:val="0"/>
        <w:outlineLvl w:val="5"/>
        <w:rPr>
          <w:vertAlign w:val="superscript"/>
        </w:rPr>
      </w:pPr>
      <w:r>
        <w:rPr>
          <w:b/>
          <w:bCs/>
        </w:rPr>
        <w:t>Art.  37</w:t>
      </w:r>
      <w:r>
        <w:tab/>
        <w:t>Jury des examens – Constitution et compétences de la présidence</w:t>
      </w:r>
    </w:p>
    <w:p>
      <w:pPr>
        <w:bidi w:val="0"/>
        <w:rPr>
          <w:vertAlign w:val="superscript"/>
        </w:rPr>
      </w:pPr>
      <w:r>
        <w:rPr>
          <w:vertAlign w:val="superscript"/>
        </w:rPr>
        <w:t>1</w:t>
      </w:r>
      <w:r>
        <w:t> Dans chacune des écoles de commerce à plein temps, un jury des examens est constitué, dont le président ou la présidente est désigné-e par la Direction.</w:t>
      </w:r>
    </w:p>
    <w:p>
      <w:pPr>
        <w:pStyle w:val="StandardvorAufzhlung"/>
        <w:bidi w:val="0"/>
      </w:pPr>
      <w:r>
        <w:rPr>
          <w:vertAlign w:val="superscript"/>
        </w:rPr>
        <w:t>2</w:t>
      </w:r>
      <w:r>
        <w:t> Le président ou la présidente du jury:</w:t>
      </w:r>
    </w:p>
    <w:p>
      <w:pPr>
        <w:pStyle w:val="Liste1"/>
        <w:bidi w:val="0"/>
      </w:pPr>
      <w:r>
        <w:t>a)</w:t>
        <w:tab/>
        <w:t>veille à la bonne organisation des examens;</w:t>
      </w:r>
    </w:p>
    <w:p>
      <w:pPr>
        <w:pStyle w:val="Liste1"/>
        <w:bidi w:val="0"/>
      </w:pPr>
      <w:r>
        <w:t>b)</w:t>
        <w:tab/>
        <w:t>choisit, en accord avec le directeur ou la directrice, le ou la secrétaire du jury;</w:t>
      </w:r>
    </w:p>
    <w:p>
      <w:pPr>
        <w:pStyle w:val="Liste1"/>
        <w:bidi w:val="0"/>
      </w:pPr>
      <w:r>
        <w:t>c)</w:t>
        <w:tab/>
        <w:t>procède, en accord avec le directeur ou la directrice, au choix des experts ou expertes;</w:t>
      </w:r>
    </w:p>
    <w:p>
      <w:pPr>
        <w:pStyle w:val="Liste1"/>
        <w:bidi w:val="0"/>
      </w:pPr>
      <w:r>
        <w:t>d)</w:t>
        <w:tab/>
        <w:t>constitue et convoque le jury;</w:t>
      </w:r>
    </w:p>
    <w:p>
      <w:pPr>
        <w:pStyle w:val="Liste1"/>
        <w:bidi w:val="0"/>
        <w:spacing w:before="0" w:after="80"/>
        <w:rPr>
          <w:vertAlign w:val="superscript"/>
        </w:rPr>
      </w:pPr>
      <w:r>
        <w:t>e)</w:t>
        <w:tab/>
        <w:t>adresse à la Direction, à la fin de chaque session, un rapport sur le déroulement des examens.</w:t>
      </w:r>
    </w:p>
    <w:p>
      <w:pPr>
        <w:bidi w:val="0"/>
        <w:rPr>
          <w:b/>
          <w:bCs/>
        </w:rPr>
      </w:pPr>
      <w:r>
        <w:rPr>
          <w:vertAlign w:val="superscript"/>
        </w:rPr>
        <w:t>3</w:t>
      </w:r>
      <w:r>
        <w:t> La Direction désigne une personne suppléant le président ou la présidente du jury, qui peut être choisie parmi les présidents ou présidentes des jurys des autres collèges.</w:t>
      </w:r>
    </w:p>
    <w:p>
      <w:pPr>
        <w:pStyle w:val="Artikel"/>
        <w:bidi w:val="0"/>
        <w:outlineLvl w:val="5"/>
        <w:rPr>
          <w:vertAlign w:val="superscript"/>
        </w:rPr>
      </w:pPr>
      <w:r>
        <w:rPr>
          <w:b/>
          <w:bCs/>
        </w:rPr>
        <w:t>Art.  38</w:t>
      </w:r>
      <w:r>
        <w:tab/>
        <w:t>Jury des examens – Composition</w:t>
      </w:r>
    </w:p>
    <w:p>
      <w:pPr>
        <w:pStyle w:val="StandardvorAufzhlung"/>
        <w:bidi w:val="0"/>
      </w:pPr>
      <w:r>
        <w:rPr>
          <w:vertAlign w:val="superscript"/>
        </w:rPr>
        <w:t>1</w:t>
      </w:r>
      <w:r>
        <w:t> Font partie du jury des examens:</w:t>
      </w:r>
    </w:p>
    <w:p>
      <w:pPr>
        <w:pStyle w:val="Liste1"/>
        <w:bidi w:val="0"/>
      </w:pPr>
      <w:r>
        <w:t>a)</w:t>
        <w:tab/>
        <w:t>le directeur ou la directrice, les proviseur-e-s responsables des classes terminales et le ou la secrétaire;</w:t>
      </w:r>
    </w:p>
    <w:p>
      <w:pPr>
        <w:pStyle w:val="Liste1"/>
        <w:bidi w:val="0"/>
        <w:spacing w:before="0" w:after="80"/>
        <w:rPr>
          <w:b/>
          <w:bCs/>
        </w:rPr>
      </w:pPr>
      <w:r>
        <w:t>b)</w:t>
        <w:tab/>
        <w:t>les examinateurs ou examinatrices et les experts ou expertes de chaque domaine.</w:t>
      </w:r>
    </w:p>
    <w:p>
      <w:pPr>
        <w:pStyle w:val="Artikel"/>
        <w:bidi w:val="0"/>
        <w:outlineLvl w:val="5"/>
        <w:rPr>
          <w:vertAlign w:val="superscript"/>
        </w:rPr>
      </w:pPr>
      <w:r>
        <w:rPr>
          <w:b/>
          <w:bCs/>
        </w:rPr>
        <w:t>Art.  39</w:t>
      </w:r>
      <w:r>
        <w:tab/>
        <w:t>Jury des examens – Choix des examinateurs ou examinatrices et des experts ou expertes</w:t>
      </w:r>
    </w:p>
    <w:p>
      <w:pPr>
        <w:bidi w:val="0"/>
        <w:rPr>
          <w:vertAlign w:val="superscript"/>
        </w:rPr>
      </w:pPr>
      <w:r>
        <w:rPr>
          <w:vertAlign w:val="superscript"/>
        </w:rPr>
        <w:t>1</w:t>
      </w:r>
      <w:r>
        <w:t> L'examinateur ou l'examinatrice est, en principe, le ou la professeur-e qui a donné l'enseignement au cours des deux dernières années d'études.</w:t>
      </w:r>
    </w:p>
    <w:p>
      <w:pPr>
        <w:bidi w:val="0"/>
        <w:rPr>
          <w:b/>
          <w:bCs/>
        </w:rPr>
      </w:pPr>
      <w:r>
        <w:rPr>
          <w:vertAlign w:val="superscript"/>
        </w:rPr>
        <w:t>2</w:t>
      </w:r>
      <w:r>
        <w:t> L'expert ou l'experte est, dans la mesure du possible, soit un ou une professeur-e enseignant la même branche au même niveau dans une autre école officielle du canton, soit une personne compétente dans la branche d'examen.</w:t>
      </w:r>
    </w:p>
    <w:p>
      <w:pPr>
        <w:pStyle w:val="Artikel"/>
        <w:bidi w:val="0"/>
        <w:outlineLvl w:val="5"/>
        <w:rPr>
          <w:vertAlign w:val="superscript"/>
        </w:rPr>
      </w:pPr>
      <w:r>
        <w:rPr>
          <w:b/>
          <w:bCs/>
        </w:rPr>
        <w:t>Art.  40</w:t>
      </w:r>
      <w:r>
        <w:tab/>
        <w:t>Jury des examens – Bureau des examens</w:t>
      </w:r>
    </w:p>
    <w:p>
      <w:pPr>
        <w:bidi w:val="0"/>
        <w:rPr>
          <w:b/>
          <w:bCs/>
        </w:rPr>
      </w:pPr>
      <w:r>
        <w:rPr>
          <w:vertAlign w:val="superscript"/>
        </w:rPr>
        <w:t>1</w:t>
      </w:r>
      <w:r>
        <w:t> Le président ou la présidente du jury, le directeur ou la directrice, les proviseur-e-s responsables des classes concernées et le ou la secrétaire constituent le bureau des examens.</w:t>
      </w:r>
    </w:p>
    <w:p>
      <w:pPr>
        <w:pStyle w:val="Artikel"/>
        <w:bidi w:val="0"/>
        <w:outlineLvl w:val="5"/>
        <w:rPr>
          <w:vertAlign w:val="superscript"/>
        </w:rPr>
      </w:pPr>
      <w:r>
        <w:rPr>
          <w:b/>
          <w:bCs/>
        </w:rPr>
        <w:t>Art.  41</w:t>
      </w:r>
      <w:r>
        <w:tab/>
        <w:t>Jury des examens – Récusation des membres du jury</w:t>
      </w:r>
    </w:p>
    <w:p>
      <w:pPr>
        <w:bidi w:val="0"/>
        <w:rPr>
          <w:vertAlign w:val="superscript"/>
        </w:rPr>
      </w:pPr>
      <w:r>
        <w:rPr>
          <w:vertAlign w:val="superscript"/>
        </w:rPr>
        <w:t>1</w:t>
      </w:r>
      <w:r>
        <w:t> Lorsqu'un membre du jury est parent ou allié d'une personne candidate en ligne directe, ou jusqu'au quatrième degré inclusivement en ligne collatérale, ou qu'il est son curateur ou sa curatrice, il doit se récuser.</w:t>
      </w:r>
    </w:p>
    <w:p>
      <w:pPr>
        <w:bidi w:val="0"/>
        <w:rPr>
          <w:vertAlign w:val="superscript"/>
        </w:rPr>
      </w:pPr>
      <w:r>
        <w:rPr>
          <w:vertAlign w:val="superscript"/>
        </w:rPr>
        <w:t>2</w:t>
      </w:r>
      <w:r>
        <w:t> Lorsque des motifs sérieux rendent douteuse l'impartialité d'un membre du jury, celui-ci peut se récuser.</w:t>
      </w:r>
    </w:p>
    <w:p>
      <w:pPr>
        <w:bidi w:val="0"/>
        <w:rPr>
          <w:vertAlign w:val="superscript"/>
        </w:rPr>
      </w:pPr>
      <w:r>
        <w:rPr>
          <w:vertAlign w:val="superscript"/>
        </w:rPr>
        <w:t>3</w:t>
      </w:r>
      <w:r>
        <w:t> Si un membre du jury se récuse ou ne peut fonctionner, le président ou la présidente désigne un remplaçant ou une remplaçante.</w:t>
      </w:r>
    </w:p>
    <w:p>
      <w:pPr>
        <w:bidi w:val="0"/>
        <w:rPr>
          <w:b/>
          <w:bCs/>
        </w:rPr>
      </w:pPr>
      <w:r>
        <w:rPr>
          <w:vertAlign w:val="superscript"/>
        </w:rPr>
        <w:t>4</w:t>
      </w:r>
      <w:r>
        <w:t> La personne candidate qui entend demander la récusation doit formuler sa requête dès qu'elle a connaissance de la composition du jury.</w:t>
      </w:r>
    </w:p>
    <w:p>
      <w:pPr>
        <w:pStyle w:val="Artikel"/>
        <w:bidi w:val="0"/>
        <w:outlineLvl w:val="5"/>
        <w:rPr>
          <w:vertAlign w:val="superscript"/>
        </w:rPr>
      </w:pPr>
      <w:r>
        <w:rPr>
          <w:b/>
          <w:bCs/>
        </w:rPr>
        <w:t>Art.  42</w:t>
      </w:r>
      <w:r>
        <w:tab/>
        <w:t>Jury des examens – Secret de fonction</w:t>
      </w:r>
    </w:p>
    <w:p>
      <w:pPr>
        <w:bidi w:val="0"/>
        <w:rPr>
          <w:b/>
          <w:bCs/>
        </w:rPr>
      </w:pPr>
      <w:r>
        <w:rPr>
          <w:vertAlign w:val="superscript"/>
        </w:rPr>
        <w:t>1</w:t>
      </w:r>
      <w:r>
        <w:t> Les membres du jury sont tenus de garder le secret sur tout ce qui concerne les examens, notamment les questions des épreuves, les délibérations du jury et les résultats intermédiaires des personnes candidates.</w:t>
      </w:r>
    </w:p>
    <w:p>
      <w:pPr>
        <w:pStyle w:val="Artikel"/>
        <w:bidi w:val="0"/>
        <w:outlineLvl w:val="5"/>
        <w:rPr>
          <w:vertAlign w:val="superscript"/>
        </w:rPr>
      </w:pPr>
      <w:r>
        <w:rPr>
          <w:b/>
          <w:bCs/>
        </w:rPr>
        <w:t>Art.  43</w:t>
      </w:r>
      <w:r>
        <w:tab/>
        <w:t>Session ordinaire – Publication</w:t>
      </w:r>
    </w:p>
    <w:p>
      <w:pPr>
        <w:bidi w:val="0"/>
        <w:rPr>
          <w:b/>
          <w:bCs/>
        </w:rPr>
      </w:pPr>
      <w:r>
        <w:rPr>
          <w:vertAlign w:val="superscript"/>
        </w:rPr>
        <w:t>1</w:t>
      </w:r>
      <w:r>
        <w:t> Les dates de la session annuelle ordinaire d'examens, qui a lieu à la fin du second semestre de l'année scolaire, sont publiées sur le site internet du Service avant le 31 janvier de l'année des examens.</w:t>
      </w:r>
    </w:p>
    <w:p>
      <w:pPr>
        <w:pStyle w:val="Artikel"/>
        <w:bidi w:val="0"/>
        <w:outlineLvl w:val="5"/>
        <w:rPr>
          <w:vertAlign w:val="superscript"/>
        </w:rPr>
      </w:pPr>
      <w:r>
        <w:rPr>
          <w:b/>
          <w:bCs/>
        </w:rPr>
        <w:t>Art.  44</w:t>
      </w:r>
      <w:r>
        <w:tab/>
        <w:t>Session ordinaire – Délai d'inscription</w:t>
      </w:r>
    </w:p>
    <w:p>
      <w:pPr>
        <w:bidi w:val="0"/>
        <w:rPr>
          <w:b/>
          <w:bCs/>
        </w:rPr>
      </w:pPr>
      <w:r>
        <w:rPr>
          <w:vertAlign w:val="superscript"/>
        </w:rPr>
        <w:t>1</w:t>
      </w:r>
      <w:r>
        <w:t> La personne candidate aux examens doit s'inscrire auprès de la direction de son école jusqu'au 15 février de l'année d'examens, au moyen de la formule cantonale.</w:t>
      </w:r>
    </w:p>
    <w:p>
      <w:pPr>
        <w:pStyle w:val="Artikel"/>
        <w:bidi w:val="0"/>
        <w:outlineLvl w:val="5"/>
        <w:rPr>
          <w:vertAlign w:val="superscript"/>
        </w:rPr>
      </w:pPr>
      <w:r>
        <w:rPr>
          <w:b/>
          <w:bCs/>
        </w:rPr>
        <w:t>Art.  45</w:t>
      </w:r>
      <w:r>
        <w:tab/>
        <w:t>Epreuves orales anticipées</w:t>
      </w:r>
    </w:p>
    <w:p>
      <w:pPr>
        <w:bidi w:val="0"/>
        <w:rPr>
          <w:vertAlign w:val="superscript"/>
        </w:rPr>
      </w:pPr>
      <w:r>
        <w:rPr>
          <w:vertAlign w:val="superscript"/>
        </w:rPr>
        <w:t>1</w:t>
      </w:r>
      <w:r>
        <w:t> Lorsque la personne candidate est empêchée de prendre part à tout ou partie des épreuves orales de la session ordinaire, elle peut demander au président ou à la présidente du jury, par écrit, l'anticipation des épreuves orales.</w:t>
      </w:r>
    </w:p>
    <w:p>
      <w:pPr>
        <w:bidi w:val="0"/>
        <w:rPr>
          <w:vertAlign w:val="superscript"/>
        </w:rPr>
      </w:pPr>
      <w:r>
        <w:rPr>
          <w:vertAlign w:val="superscript"/>
        </w:rPr>
        <w:t>2</w:t>
      </w:r>
      <w:r>
        <w:t> La demande éventuelle d'organisation d'une session anticipée d'épreuves orales doit être présentée au plus tard trois semaines avant le début de la session ordinaire.</w:t>
      </w:r>
    </w:p>
    <w:p>
      <w:pPr>
        <w:bidi w:val="0"/>
        <w:rPr>
          <w:b/>
          <w:bCs/>
        </w:rPr>
      </w:pPr>
      <w:r>
        <w:rPr>
          <w:vertAlign w:val="superscript"/>
        </w:rPr>
        <w:t>3</w:t>
      </w:r>
      <w:r>
        <w:t> Le président ou la présidente décide de l'organisation anticipée d'épreuves orales selon le caractère prévisible ou imprévisible (cas de force majeure) du motif invoqué par la personne candidate à l'appui de sa demande.</w:t>
      </w:r>
    </w:p>
    <w:p>
      <w:pPr>
        <w:pStyle w:val="Artikel"/>
        <w:bidi w:val="0"/>
        <w:outlineLvl w:val="5"/>
        <w:rPr>
          <w:vertAlign w:val="superscript"/>
        </w:rPr>
      </w:pPr>
      <w:r>
        <w:rPr>
          <w:b/>
          <w:bCs/>
        </w:rPr>
        <w:t>Art.  46</w:t>
      </w:r>
      <w:r>
        <w:tab/>
        <w:t>Session extraordinaire</w:t>
      </w:r>
    </w:p>
    <w:p>
      <w:pPr>
        <w:bidi w:val="0"/>
        <w:rPr>
          <w:vertAlign w:val="superscript"/>
        </w:rPr>
      </w:pPr>
      <w:r>
        <w:rPr>
          <w:vertAlign w:val="superscript"/>
        </w:rPr>
        <w:t>1</w:t>
      </w:r>
      <w:r>
        <w:t> La personne candidate qui est empêchée pour un motif valable et sérieux de se présenter à une session ordinaire, ou qui a retiré son inscription pour un tel motif, peut, jusqu'au 31 juillet, demander au président ou à la présidente du jury d'organiser une session extraordinaire.</w:t>
      </w:r>
    </w:p>
    <w:p>
      <w:pPr>
        <w:bidi w:val="0"/>
        <w:rPr>
          <w:b/>
          <w:bCs/>
        </w:rPr>
      </w:pPr>
      <w:r>
        <w:rPr>
          <w:vertAlign w:val="superscript"/>
        </w:rPr>
        <w:t>2</w:t>
      </w:r>
      <w:r>
        <w:t> En cas de motif valable d'empêchement, les frais de la session extraordinaire sont mis à la charge de la personne candidate. En cas de force majeure, les frais sont à la charge de l'Etat.</w:t>
      </w:r>
    </w:p>
    <w:p>
      <w:pPr>
        <w:pStyle w:val="Artikel"/>
        <w:bidi w:val="0"/>
        <w:outlineLvl w:val="5"/>
        <w:rPr>
          <w:vertAlign w:val="superscript"/>
        </w:rPr>
      </w:pPr>
      <w:r>
        <w:rPr>
          <w:b/>
          <w:bCs/>
        </w:rPr>
        <w:t>Art.  47</w:t>
      </w:r>
      <w:r>
        <w:tab/>
        <w:t>Lieu des examens</w:t>
      </w:r>
    </w:p>
    <w:p>
      <w:pPr>
        <w:bidi w:val="0"/>
        <w:rPr>
          <w:b/>
          <w:bCs/>
        </w:rPr>
      </w:pPr>
      <w:r>
        <w:rPr>
          <w:vertAlign w:val="superscript"/>
        </w:rPr>
        <w:t>1</w:t>
      </w:r>
      <w:r>
        <w:t> Les personnes candidates passent leurs examens dans l'école de commerce où elles sont scolarisées au moment de la session.</w:t>
      </w:r>
    </w:p>
    <w:p>
      <w:pPr>
        <w:pStyle w:val="Artikel"/>
        <w:bidi w:val="0"/>
        <w:outlineLvl w:val="5"/>
        <w:rPr>
          <w:vertAlign w:val="superscript"/>
        </w:rPr>
      </w:pPr>
      <w:r>
        <w:rPr>
          <w:b/>
          <w:bCs/>
        </w:rPr>
        <w:t>Art.  48</w:t>
      </w:r>
      <w:r>
        <w:tab/>
        <w:t>Conditions d'admission</w:t>
      </w:r>
    </w:p>
    <w:p>
      <w:pPr>
        <w:pStyle w:val="StandardvorAufzhlung"/>
        <w:bidi w:val="0"/>
      </w:pPr>
      <w:r>
        <w:rPr>
          <w:vertAlign w:val="superscript"/>
        </w:rPr>
        <w:t>1</w:t>
      </w:r>
      <w:r>
        <w:t> Pour être admise aux examens, la personne candidate doit:</w:t>
      </w:r>
    </w:p>
    <w:p>
      <w:pPr>
        <w:pStyle w:val="Liste1"/>
        <w:bidi w:val="0"/>
      </w:pPr>
      <w:r>
        <w:t>a)</w:t>
        <w:tab/>
        <w:t>avoir suivi sa formation dans la même école de commerce au moins pendant les deux dernières années d'études; celle qui n'a suivi les cours de l'école où elle veut passer ses examens que pendant la dernière année d'études peut être admise à l'examen, lorsque des circonstances particulières le justifient; dans ce cas, le directeur ou la directrice de l'école se prononce sur l'équivalence de la formation antérieure;</w:t>
      </w:r>
    </w:p>
    <w:p>
      <w:pPr>
        <w:pStyle w:val="Liste1"/>
        <w:bidi w:val="0"/>
        <w:spacing w:before="0" w:after="80"/>
        <w:rPr>
          <w:vertAlign w:val="superscript"/>
        </w:rPr>
      </w:pPr>
      <w:r>
        <w:t>b)</w:t>
        <w:tab/>
        <w:t>avoir suivi régulièrement tous les cours de dernière année.</w:t>
      </w:r>
    </w:p>
    <w:p>
      <w:pPr>
        <w:bidi w:val="0"/>
      </w:pPr>
      <w:r>
        <w:rPr>
          <w:vertAlign w:val="superscript"/>
        </w:rPr>
        <w:t>2</w:t>
      </w:r>
      <w:r>
        <w:t> Le bureau des examens décide des admissions.</w:t>
      </w:r>
    </w:p>
    <w:p>
      <w:pPr>
        <w:pStyle w:val="TitelStufe2"/>
        <w:bidi w:val="0"/>
        <w:outlineLvl w:val="1"/>
        <w:rPr>
          <w:b/>
          <w:bCs/>
        </w:rPr>
      </w:pPr>
      <w:r>
        <w:t>5.4 Dispositions générales pour la partie scolaire de l'examen</w:t>
      </w:r>
    </w:p>
    <w:p>
      <w:pPr>
        <w:pStyle w:val="Artikel"/>
        <w:bidi w:val="0"/>
        <w:outlineLvl w:val="5"/>
        <w:rPr>
          <w:vertAlign w:val="superscript"/>
        </w:rPr>
      </w:pPr>
      <w:r>
        <w:rPr>
          <w:b/>
          <w:bCs/>
        </w:rPr>
        <w:t>Art.  49</w:t>
      </w:r>
      <w:r>
        <w:tab/>
        <w:t>Types d'épreuves et programme</w:t>
      </w:r>
    </w:p>
    <w:p>
      <w:pPr>
        <w:bidi w:val="0"/>
        <w:rPr>
          <w:b/>
          <w:bCs/>
        </w:rPr>
      </w:pPr>
      <w:r>
        <w:rPr>
          <w:vertAlign w:val="superscript"/>
        </w:rPr>
        <w:t>1</w:t>
      </w:r>
      <w:r>
        <w:t> Les examens comprennent des épreuves écrites, des épreuves orales et des épreuves pratiques.</w:t>
      </w:r>
    </w:p>
    <w:p>
      <w:pPr>
        <w:pStyle w:val="Artikel"/>
        <w:bidi w:val="0"/>
        <w:outlineLvl w:val="5"/>
        <w:rPr>
          <w:vertAlign w:val="superscript"/>
        </w:rPr>
      </w:pPr>
      <w:r>
        <w:rPr>
          <w:b/>
          <w:bCs/>
        </w:rPr>
        <w:t>Art.  50</w:t>
      </w:r>
      <w:r>
        <w:tab/>
        <w:t>Nombre d'examinateurs ou examinatrices et d'experts ou expertes</w:t>
      </w:r>
    </w:p>
    <w:p>
      <w:pPr>
        <w:bidi w:val="0"/>
        <w:rPr>
          <w:b/>
          <w:bCs/>
        </w:rPr>
      </w:pPr>
      <w:r>
        <w:rPr>
          <w:vertAlign w:val="superscript"/>
        </w:rPr>
        <w:t>1</w:t>
      </w:r>
      <w:r>
        <w:t> Dans chaque branche soumise à examen, au moins un examinateur ou une examinatrice et un expert ou une experte procèdent à l'évaluation des épreuves écrites et orales de la personne candidate.</w:t>
      </w:r>
    </w:p>
    <w:p>
      <w:pPr>
        <w:pStyle w:val="Artikel"/>
        <w:bidi w:val="0"/>
        <w:outlineLvl w:val="5"/>
        <w:rPr>
          <w:vertAlign w:val="superscript"/>
        </w:rPr>
      </w:pPr>
      <w:r>
        <w:rPr>
          <w:b/>
          <w:bCs/>
        </w:rPr>
        <w:t>Art.  51</w:t>
      </w:r>
      <w:r>
        <w:tab/>
        <w:t>Epreuves écrites – Durée</w:t>
      </w:r>
    </w:p>
    <w:p>
      <w:pPr>
        <w:pStyle w:val="StandardvorAufzhlung"/>
        <w:bidi w:val="0"/>
      </w:pPr>
      <w:r>
        <w:rPr>
          <w:vertAlign w:val="superscript"/>
        </w:rPr>
        <w:t>1</w:t>
      </w:r>
      <w:r>
        <w:t> La durée d'une épreuve écrite de la partie scolaire de la procédure de qualification est de:</w:t>
      </w:r>
    </w:p>
    <w:p>
      <w:pPr>
        <w:pStyle w:val="Liste1"/>
        <w:bidi w:val="0"/>
      </w:pPr>
      <w:r>
        <w:t>a)</w:t>
        <w:tab/>
        <w:t>180 minutes pour la branche «finances et comptabilité»;</w:t>
      </w:r>
    </w:p>
    <w:p>
      <w:pPr>
        <w:pStyle w:val="Liste1"/>
        <w:bidi w:val="0"/>
      </w:pPr>
      <w:r>
        <w:t>b)</w:t>
        <w:tab/>
        <w:t>150 minutes pour la première langue nationale;</w:t>
      </w:r>
    </w:p>
    <w:p>
      <w:pPr>
        <w:pStyle w:val="Liste1"/>
        <w:bidi w:val="0"/>
        <w:spacing w:before="0" w:after="80"/>
        <w:rPr>
          <w:b/>
          <w:bCs/>
        </w:rPr>
      </w:pPr>
      <w:r>
        <w:t>c)</w:t>
        <w:tab/>
        <w:t>120 minutes pour les autres épreuves écrites.</w:t>
      </w:r>
    </w:p>
    <w:p>
      <w:pPr>
        <w:pStyle w:val="Artikel"/>
        <w:bidi w:val="0"/>
        <w:outlineLvl w:val="5"/>
        <w:rPr>
          <w:vertAlign w:val="superscript"/>
        </w:rPr>
      </w:pPr>
      <w:r>
        <w:rPr>
          <w:b/>
          <w:bCs/>
        </w:rPr>
        <w:t>Art.  52</w:t>
      </w:r>
      <w:r>
        <w:tab/>
        <w:t>Epreuves écrites – Nature des sujets</w:t>
      </w:r>
    </w:p>
    <w:p>
      <w:pPr>
        <w:bidi w:val="0"/>
        <w:rPr>
          <w:b/>
          <w:bCs/>
        </w:rPr>
      </w:pPr>
      <w:r>
        <w:rPr>
          <w:vertAlign w:val="superscript"/>
        </w:rPr>
        <w:t>1</w:t>
      </w:r>
      <w:r>
        <w:t> Les épreuves écrites comprennent, pour toutes les branches, des questions ou des problèmes adaptés aux plans d'études. Il est tenu compte du caractère interdisciplinaire de certaines branches.</w:t>
      </w:r>
    </w:p>
    <w:p>
      <w:pPr>
        <w:pStyle w:val="Artikel"/>
        <w:bidi w:val="0"/>
        <w:outlineLvl w:val="5"/>
        <w:rPr>
          <w:vertAlign w:val="superscript"/>
        </w:rPr>
      </w:pPr>
      <w:r>
        <w:rPr>
          <w:b/>
          <w:bCs/>
        </w:rPr>
        <w:t>Art.  53</w:t>
      </w:r>
      <w:r>
        <w:tab/>
        <w:t>Epreuves écrites – Choix des sujets</w:t>
      </w:r>
    </w:p>
    <w:p>
      <w:pPr>
        <w:bidi w:val="0"/>
        <w:rPr>
          <w:b/>
          <w:bCs/>
        </w:rPr>
      </w:pPr>
      <w:r>
        <w:rPr>
          <w:vertAlign w:val="superscript"/>
        </w:rPr>
        <w:t>1</w:t>
      </w:r>
      <w:r>
        <w:t> Les sujets et les questions des épreuves écrites qui ne sont pas conçues à l'échelle nationale ou régionale doivent être identiques au niveau cantonal pour la MP «Economie et services» type «Economie». Le Service édicte des dispositions concernant ces examens en coordination avec le Service de la formation professionnelle.</w:t>
      </w:r>
    </w:p>
    <w:p>
      <w:pPr>
        <w:pStyle w:val="Artikel"/>
        <w:bidi w:val="0"/>
        <w:outlineLvl w:val="5"/>
        <w:rPr>
          <w:vertAlign w:val="superscript"/>
        </w:rPr>
      </w:pPr>
      <w:r>
        <w:rPr>
          <w:b/>
          <w:bCs/>
        </w:rPr>
        <w:t>Art.  54</w:t>
      </w:r>
      <w:r>
        <w:tab/>
        <w:t>Epreuves écrites – Evaluation des épreuves</w:t>
      </w:r>
    </w:p>
    <w:p>
      <w:pPr>
        <w:bidi w:val="0"/>
        <w:rPr>
          <w:vertAlign w:val="superscript"/>
        </w:rPr>
      </w:pPr>
      <w:r>
        <w:rPr>
          <w:vertAlign w:val="superscript"/>
        </w:rPr>
        <w:t>1</w:t>
      </w:r>
      <w:r>
        <w:t> Chaque travail est évalué par deux membres du jury, soit l'examinateur ou l'examinatrice et l'expert ou l'experte, qui en établissent la note.</w:t>
      </w:r>
    </w:p>
    <w:p>
      <w:pPr>
        <w:bidi w:val="0"/>
        <w:rPr>
          <w:b/>
          <w:bCs/>
        </w:rPr>
      </w:pPr>
      <w:r>
        <w:rPr>
          <w:vertAlign w:val="superscript"/>
        </w:rPr>
        <w:t>2</w:t>
      </w:r>
      <w:r>
        <w:t> Il est tenu compte, dans l'évaluation du travail, de l'orthographe, du style et de la présentation.</w:t>
      </w:r>
    </w:p>
    <w:p>
      <w:pPr>
        <w:pStyle w:val="Artikel"/>
        <w:bidi w:val="0"/>
        <w:outlineLvl w:val="5"/>
        <w:rPr>
          <w:vertAlign w:val="superscript"/>
        </w:rPr>
      </w:pPr>
      <w:r>
        <w:rPr>
          <w:b/>
          <w:bCs/>
        </w:rPr>
        <w:t>Art.  55</w:t>
      </w:r>
      <w:r>
        <w:tab/>
        <w:t>Epreuves orales – Durée</w:t>
      </w:r>
    </w:p>
    <w:p>
      <w:pPr>
        <w:bidi w:val="0"/>
        <w:rPr>
          <w:b/>
          <w:bCs/>
        </w:rPr>
      </w:pPr>
      <w:r>
        <w:rPr>
          <w:vertAlign w:val="superscript"/>
        </w:rPr>
        <w:t>1</w:t>
      </w:r>
      <w:r>
        <w:t> La durée de chaque épreuve orale de la partie scolaire de la procédure de qualification est de quinze minutes. La personne candidate dispose d'un temps équivalent pour sa préparation.</w:t>
      </w:r>
    </w:p>
    <w:p>
      <w:pPr>
        <w:pStyle w:val="Artikel"/>
        <w:bidi w:val="0"/>
        <w:outlineLvl w:val="5"/>
        <w:rPr>
          <w:vertAlign w:val="superscript"/>
        </w:rPr>
      </w:pPr>
      <w:r>
        <w:rPr>
          <w:b/>
          <w:bCs/>
        </w:rPr>
        <w:t>Art.  56</w:t>
      </w:r>
      <w:r>
        <w:tab/>
        <w:t>Epreuves orales – Questions</w:t>
      </w:r>
    </w:p>
    <w:p>
      <w:pPr>
        <w:bidi w:val="0"/>
        <w:rPr>
          <w:vertAlign w:val="superscript"/>
        </w:rPr>
      </w:pPr>
      <w:r>
        <w:rPr>
          <w:vertAlign w:val="superscript"/>
        </w:rPr>
        <w:t>1</w:t>
      </w:r>
      <w:r>
        <w:t> Les questions sont préparées par l'examinateur ou l'examinatrice chargé-e de l'interrogation et tirées au sort par la personne candidate. D'autres formes d'examens, adaptées aux objectifs particuliers de certaines branches, peuvent être autorisées par la Commission cantonale.</w:t>
      </w:r>
    </w:p>
    <w:p>
      <w:pPr>
        <w:bidi w:val="0"/>
        <w:rPr>
          <w:b/>
          <w:bCs/>
        </w:rPr>
      </w:pPr>
      <w:r>
        <w:rPr>
          <w:vertAlign w:val="superscript"/>
        </w:rPr>
        <w:t>2</w:t>
      </w:r>
      <w:r>
        <w:t> L'examinateur ou l'examinatrice garde toutefois la possibilité d'interroger durant l'épreuve sur toute la matière d'examen.</w:t>
      </w:r>
    </w:p>
    <w:p>
      <w:pPr>
        <w:pStyle w:val="Artikel"/>
        <w:bidi w:val="0"/>
        <w:outlineLvl w:val="5"/>
        <w:rPr>
          <w:vertAlign w:val="superscript"/>
        </w:rPr>
      </w:pPr>
      <w:r>
        <w:rPr>
          <w:b/>
          <w:bCs/>
        </w:rPr>
        <w:t>Art.  57</w:t>
      </w:r>
      <w:r>
        <w:tab/>
        <w:t>Epreuves orales – Fixation de la note</w:t>
      </w:r>
    </w:p>
    <w:p>
      <w:pPr>
        <w:bidi w:val="0"/>
        <w:rPr>
          <w:b/>
          <w:bCs/>
        </w:rPr>
      </w:pPr>
      <w:r>
        <w:rPr>
          <w:vertAlign w:val="superscript"/>
        </w:rPr>
        <w:t>1</w:t>
      </w:r>
      <w:r>
        <w:t> La note de l'examen oral est fixée d'entente entre les membres du jury qui ont fait passer l'examen.</w:t>
      </w:r>
    </w:p>
    <w:p>
      <w:pPr>
        <w:pStyle w:val="Artikel"/>
        <w:bidi w:val="0"/>
        <w:outlineLvl w:val="5"/>
        <w:rPr>
          <w:vertAlign w:val="superscript"/>
        </w:rPr>
      </w:pPr>
      <w:r>
        <w:rPr>
          <w:b/>
          <w:bCs/>
        </w:rPr>
        <w:t>Art.  58</w:t>
      </w:r>
      <w:r>
        <w:tab/>
        <w:t>Epreuves orales – Procès-verbal</w:t>
      </w:r>
    </w:p>
    <w:p>
      <w:pPr>
        <w:bidi w:val="0"/>
        <w:rPr>
          <w:b/>
          <w:bCs/>
        </w:rPr>
      </w:pPr>
      <w:r>
        <w:rPr>
          <w:vertAlign w:val="superscript"/>
        </w:rPr>
        <w:t>1</w:t>
      </w:r>
      <w:r>
        <w:t> Chacun des membres du jury qui ont fait passer l'examen conserve pendant une année un bref procès-verbal de l'examen oral qui doit notamment indiquer l'heure du début et de la fin de l'examen, les questions posées et une appréciation générale des réponses de la personne candidate.</w:t>
      </w:r>
    </w:p>
    <w:p>
      <w:pPr>
        <w:pStyle w:val="Artikel"/>
        <w:bidi w:val="0"/>
        <w:outlineLvl w:val="5"/>
        <w:rPr>
          <w:vertAlign w:val="superscript"/>
        </w:rPr>
      </w:pPr>
      <w:r>
        <w:rPr>
          <w:b/>
          <w:bCs/>
        </w:rPr>
        <w:t>Art.  59</w:t>
      </w:r>
      <w:r>
        <w:tab/>
        <w:t>Echelle des notes</w:t>
      </w:r>
    </w:p>
    <w:p>
      <w:pPr>
        <w:bidi w:val="0"/>
      </w:pPr>
      <w:r>
        <w:rPr>
          <w:vertAlign w:val="superscript"/>
        </w:rPr>
        <w:t>1</w:t>
      </w:r>
      <w:r>
        <w:t> Les notes sont données selon l'échelle suivante:</w:t>
      </w:r>
    </w:p>
    <w:p>
      <w:pPr>
        <w:bidi w:val="0"/>
      </w:pPr>
      <w:r>
        <w:t>6 = très bien</w:t>
      </w:r>
    </w:p>
    <w:p>
      <w:pPr>
        <w:bidi w:val="0"/>
      </w:pPr>
      <w:r>
        <w:t>5 = bien</w:t>
      </w:r>
    </w:p>
    <w:p>
      <w:pPr>
        <w:bidi w:val="0"/>
      </w:pPr>
      <w:r>
        <w:t>4 = suffisant</w:t>
      </w:r>
    </w:p>
    <w:p>
      <w:pPr>
        <w:bidi w:val="0"/>
      </w:pPr>
      <w:r>
        <w:t>3 = insuffisant</w:t>
      </w:r>
    </w:p>
    <w:p>
      <w:pPr>
        <w:bidi w:val="0"/>
      </w:pPr>
      <w:r>
        <w:t>2 = mauvais</w:t>
      </w:r>
    </w:p>
    <w:p>
      <w:pPr>
        <w:bidi w:val="0"/>
        <w:rPr>
          <w:b/>
          <w:bCs/>
        </w:rPr>
      </w:pPr>
      <w:r>
        <w:t>1 = très mauvais.</w:t>
      </w:r>
    </w:p>
    <w:p>
      <w:pPr>
        <w:pStyle w:val="Artikel"/>
        <w:bidi w:val="0"/>
        <w:outlineLvl w:val="5"/>
        <w:rPr>
          <w:vertAlign w:val="superscript"/>
        </w:rPr>
      </w:pPr>
      <w:r>
        <w:rPr>
          <w:b/>
          <w:bCs/>
        </w:rPr>
        <w:t>Art.  60</w:t>
      </w:r>
      <w:r>
        <w:tab/>
        <w:t>Fraude</w:t>
      </w:r>
    </w:p>
    <w:p>
      <w:pPr>
        <w:bidi w:val="0"/>
        <w:rPr>
          <w:vertAlign w:val="superscript"/>
        </w:rPr>
      </w:pPr>
      <w:r>
        <w:rPr>
          <w:vertAlign w:val="superscript"/>
        </w:rPr>
        <w:t>1</w:t>
      </w:r>
      <w:r>
        <w:t> La personne candidate qui a recours à des moyens frauduleux est exclue de la session par le président ou la présidente du jury.</w:t>
      </w:r>
    </w:p>
    <w:p>
      <w:pPr>
        <w:bidi w:val="0"/>
        <w:rPr>
          <w:b/>
          <w:bCs/>
        </w:rPr>
      </w:pPr>
      <w:r>
        <w:rPr>
          <w:vertAlign w:val="superscript"/>
        </w:rPr>
        <w:t>2</w:t>
      </w:r>
      <w:r>
        <w:t> Cette exclusion est considérée comme un échec.</w:t>
      </w:r>
    </w:p>
    <w:p>
      <w:pPr>
        <w:pStyle w:val="Artikel"/>
        <w:bidi w:val="0"/>
        <w:outlineLvl w:val="5"/>
        <w:rPr>
          <w:vertAlign w:val="superscript"/>
        </w:rPr>
      </w:pPr>
      <w:r>
        <w:rPr>
          <w:b/>
          <w:bCs/>
        </w:rPr>
        <w:t>Art.  61</w:t>
      </w:r>
      <w:r>
        <w:tab/>
        <w:t>Documents officiels</w:t>
      </w:r>
    </w:p>
    <w:p>
      <w:pPr>
        <w:bidi w:val="0"/>
      </w:pPr>
      <w:r>
        <w:rPr>
          <w:vertAlign w:val="superscript"/>
        </w:rPr>
        <w:t>1</w:t>
      </w:r>
      <w:r>
        <w:t> A la fin de chaque session, le président ou la présidente du jury établit et signe pour chaque personne candidate un tableau des résultats obtenus. La remise de ce procès-verbal à la personne candidate constitue la communication des résultats.</w:t>
      </w:r>
    </w:p>
    <w:p>
      <w:pPr>
        <w:pStyle w:val="TitelStufe2"/>
        <w:bidi w:val="0"/>
        <w:outlineLvl w:val="1"/>
        <w:rPr>
          <w:b/>
          <w:bCs/>
        </w:rPr>
      </w:pPr>
      <w:r>
        <w:t>5.5 Procédure de qualification CFC</w:t>
      </w:r>
    </w:p>
    <w:p>
      <w:pPr>
        <w:pStyle w:val="Artikel"/>
        <w:bidi w:val="0"/>
        <w:outlineLvl w:val="5"/>
        <w:rPr>
          <w:vertAlign w:val="superscript"/>
        </w:rPr>
      </w:pPr>
      <w:r>
        <w:rPr>
          <w:b/>
          <w:bCs/>
        </w:rPr>
        <w:t>Art.  62</w:t>
      </w:r>
      <w:r>
        <w:tab/>
        <w:t>Procédure de qualification – Etendue</w:t>
      </w:r>
    </w:p>
    <w:p>
      <w:pPr>
        <w:pStyle w:val="StandardvorAufzhlung"/>
        <w:bidi w:val="0"/>
      </w:pPr>
      <w:r>
        <w:rPr>
          <w:vertAlign w:val="superscript"/>
        </w:rPr>
        <w:t>1</w:t>
      </w:r>
      <w:r>
        <w:t> Les parties du CFC sont:</w:t>
      </w:r>
    </w:p>
    <w:p>
      <w:pPr>
        <w:pStyle w:val="Liste1"/>
        <w:bidi w:val="0"/>
      </w:pPr>
      <w:r>
        <w:t>a)</w:t>
        <w:tab/>
        <w:t>le domaine de qualification «travail pratique» (pondération: 30%): cet examen de 50 minutes, dont la note est arrondie à une note entière ou à une demi-note, est une étude de cas dirigée spécifique à la branche traitée à l'oral et pouvant inclure des tâches partielles écrites;</w:t>
      </w:r>
    </w:p>
    <w:p>
      <w:pPr>
        <w:pStyle w:val="Liste1mitUnterelementen"/>
        <w:bidi w:val="0"/>
      </w:pPr>
      <w:r>
        <w:t>b)</w:t>
        <w:tab/>
        <w:t>le domaine de qualification «connaissance professionnelle et culture générale» (pondération: 30%): cet examen, dont la note est arrondie à la première décimale, est composé des éléments équipondérés suivants:</w:t>
      </w:r>
    </w:p>
    <w:p>
      <w:pPr>
        <w:pStyle w:val="Liste2"/>
        <w:bidi w:val="0"/>
      </w:pPr>
      <w:r>
        <w:t>1.</w:t>
        <w:tab/>
        <w:t>examen écrit de 75 minutes «interaction dans un milieu de travail interconnecté» dont la note est arrondie à une note entière ou à une demi-note;</w:t>
      </w:r>
    </w:p>
    <w:p>
      <w:pPr>
        <w:pStyle w:val="Liste2"/>
        <w:bidi w:val="0"/>
      </w:pPr>
      <w:r>
        <w:t>2.</w:t>
        <w:tab/>
        <w:t>examen écrit de 75 minutes «coordination des processus de travail en entreprise» dont la note est arrondie à une note entière ou à une demi-note;</w:t>
      </w:r>
    </w:p>
    <w:p>
      <w:pPr>
        <w:pStyle w:val="Liste2"/>
        <w:bidi w:val="0"/>
      </w:pPr>
      <w:r>
        <w:t>3.</w:t>
        <w:tab/>
        <w:t>examen oral de 30 minutes «gestion des relations avec les clients et les fournisseurs» dont la note est arrondie à une note entière ou à une demi-note;</w:t>
      </w:r>
    </w:p>
    <w:p>
      <w:pPr>
        <w:pStyle w:val="Liste2"/>
        <w:bidi w:val="0"/>
      </w:pPr>
      <w:r>
        <w:t>4.</w:t>
        <w:tab/>
        <w:t>examen écrit de 75 minutes «utilisation des technologies numériques du monde du travail» dont la note est arrondie à une note entière ou à une demi-note;</w:t>
      </w:r>
    </w:p>
    <w:p>
      <w:pPr>
        <w:pStyle w:val="Liste1mitUnterelementen"/>
        <w:bidi w:val="0"/>
      </w:pPr>
      <w:r>
        <w:t>c)</w:t>
        <w:tab/>
        <w:t>le domaine de qualification «note d'expérience» pour la formation à la pratique professionnelle (pondération 40%): cette note, arrondie à la première décimale, est composée des éléments équipondérés suivants:</w:t>
      </w:r>
    </w:p>
    <w:p>
      <w:pPr>
        <w:pStyle w:val="Liste2"/>
        <w:bidi w:val="0"/>
      </w:pPr>
      <w:r>
        <w:t>1.</w:t>
        <w:tab/>
        <w:t>deux contrôles de compétence de l'entreprise dont la moyenne des notes est arrondie à une note entière ou à une demi-note;</w:t>
      </w:r>
    </w:p>
    <w:p>
      <w:pPr>
        <w:pStyle w:val="Liste2"/>
        <w:bidi w:val="0"/>
        <w:spacing w:before="0" w:after="80"/>
        <w:rPr>
          <w:b/>
          <w:bCs/>
        </w:rPr>
      </w:pPr>
      <w:r>
        <w:t>2.</w:t>
        <w:tab/>
        <w:t>deux contrôles de compétence en cours interentreprise dont la moyenne des notes est arrondie à une note entière ou à une demi-note.</w:t>
      </w:r>
    </w:p>
    <w:p>
      <w:pPr>
        <w:pStyle w:val="Artikel"/>
        <w:bidi w:val="0"/>
        <w:outlineLvl w:val="5"/>
        <w:rPr>
          <w:vertAlign w:val="superscript"/>
        </w:rPr>
      </w:pPr>
      <w:r>
        <w:rPr>
          <w:b/>
          <w:bCs/>
        </w:rPr>
        <w:t>Art.  63</w:t>
      </w:r>
      <w:r>
        <w:tab/>
        <w:t>Contenu formel du certificat</w:t>
      </w:r>
    </w:p>
    <w:p>
      <w:pPr>
        <w:bidi w:val="0"/>
        <w:rPr>
          <w:b/>
          <w:bCs/>
        </w:rPr>
      </w:pPr>
      <w:r>
        <w:rPr>
          <w:vertAlign w:val="superscript"/>
        </w:rPr>
        <w:t>1</w:t>
      </w:r>
      <w:r>
        <w:t> Le CFC doit être conforme, sur le plan formel, aux prescriptions fédérales en la matière.</w:t>
      </w:r>
    </w:p>
    <w:p>
      <w:pPr>
        <w:pStyle w:val="Artikel"/>
        <w:bidi w:val="0"/>
        <w:outlineLvl w:val="5"/>
        <w:rPr>
          <w:vertAlign w:val="superscript"/>
        </w:rPr>
      </w:pPr>
      <w:r>
        <w:rPr>
          <w:b/>
          <w:bCs/>
        </w:rPr>
        <w:t>Art.  64</w:t>
      </w:r>
      <w:r>
        <w:tab/>
        <w:t>Critères de réussite</w:t>
      </w:r>
    </w:p>
    <w:p>
      <w:pPr>
        <w:pStyle w:val="StandardvorAufzhlung"/>
        <w:bidi w:val="0"/>
      </w:pPr>
      <w:r>
        <w:rPr>
          <w:vertAlign w:val="superscript"/>
        </w:rPr>
        <w:t>1</w:t>
      </w:r>
      <w:r>
        <w:t> L'examen du CFC est réussi si les conditions cumulatives suivantes sont remplies:</w:t>
      </w:r>
    </w:p>
    <w:p>
      <w:pPr>
        <w:pStyle w:val="Liste1"/>
        <w:bidi w:val="0"/>
      </w:pPr>
      <w:r>
        <w:t>a)</w:t>
        <w:tab/>
        <w:t>la note du domaine de qualification «travail pratique» est supérieure ou égale à 4;</w:t>
      </w:r>
    </w:p>
    <w:p>
      <w:pPr>
        <w:pStyle w:val="Liste1"/>
        <w:bidi w:val="0"/>
      </w:pPr>
      <w:r>
        <w:t>b)</w:t>
        <w:tab/>
        <w:t>la note du domaine de qualification «connaissances professionnelles et culture générale» est supérieure ou égale à 4;</w:t>
      </w:r>
    </w:p>
    <w:p>
      <w:pPr>
        <w:pStyle w:val="Liste1"/>
        <w:bidi w:val="0"/>
        <w:spacing w:before="0" w:after="80"/>
        <w:rPr>
          <w:b/>
          <w:bCs/>
        </w:rPr>
      </w:pPr>
      <w:r>
        <w:t>c)</w:t>
        <w:tab/>
        <w:t>la note globale, qui est arrondie à la première décimale, est supérieure ou égale à 4.</w:t>
      </w:r>
    </w:p>
    <w:p>
      <w:pPr>
        <w:pStyle w:val="Artikel"/>
        <w:bidi w:val="0"/>
        <w:outlineLvl w:val="5"/>
        <w:rPr>
          <w:vertAlign w:val="superscript"/>
        </w:rPr>
      </w:pPr>
      <w:r>
        <w:rPr>
          <w:b/>
          <w:bCs/>
        </w:rPr>
        <w:t>Art.  65</w:t>
      </w:r>
      <w:r>
        <w:tab/>
        <w:t>Répétition</w:t>
      </w:r>
    </w:p>
    <w:p>
      <w:pPr>
        <w:bidi w:val="0"/>
        <w:rPr>
          <w:vertAlign w:val="superscript"/>
        </w:rPr>
      </w:pPr>
      <w:r>
        <w:rPr>
          <w:vertAlign w:val="superscript"/>
        </w:rPr>
        <w:t>1</w:t>
      </w:r>
      <w:r>
        <w:t> La personne candidate qui échoue à l'examen du CFC peut se représenter deux fois.</w:t>
      </w:r>
    </w:p>
    <w:p>
      <w:pPr>
        <w:bidi w:val="0"/>
        <w:rPr>
          <w:vertAlign w:val="superscript"/>
        </w:rPr>
      </w:pPr>
      <w:r>
        <w:rPr>
          <w:vertAlign w:val="superscript"/>
        </w:rPr>
        <w:t>2</w:t>
      </w:r>
      <w:r>
        <w:t> Les parties réussies ne doivent pas être répétées.</w:t>
      </w:r>
    </w:p>
    <w:p>
      <w:pPr>
        <w:bidi w:val="0"/>
        <w:rPr>
          <w:vertAlign w:val="superscript"/>
        </w:rPr>
      </w:pPr>
      <w:r>
        <w:rPr>
          <w:vertAlign w:val="superscript"/>
        </w:rPr>
        <w:t>3</w:t>
      </w:r>
      <w:r>
        <w:t> Si la note du domaine de qualification «travail pratique» est insuffisante, le domaine de qualification doit être répété dans sa globalité.</w:t>
      </w:r>
    </w:p>
    <w:p>
      <w:pPr>
        <w:bidi w:val="0"/>
        <w:rPr>
          <w:vertAlign w:val="superscript"/>
        </w:rPr>
      </w:pPr>
      <w:r>
        <w:rPr>
          <w:vertAlign w:val="superscript"/>
        </w:rPr>
        <w:t>4</w:t>
      </w:r>
      <w:r>
        <w:t> Si la note du domaine de qualification «connaissances professionnelles et culture générale» est insuffisante, seuls les points d'appréciation dont la note est insuffisante doivent être répétés.</w:t>
      </w:r>
    </w:p>
    <w:p>
      <w:pPr>
        <w:bidi w:val="0"/>
        <w:rPr>
          <w:vertAlign w:val="superscript"/>
        </w:rPr>
      </w:pPr>
      <w:r>
        <w:rPr>
          <w:vertAlign w:val="superscript"/>
        </w:rPr>
        <w:t>5</w:t>
      </w:r>
      <w:r>
        <w:t> Si la note du domaine de qualification «note d'expérience» doit être remédiée, seuls les points d'appréciation (les deux «Contrôles de compétence en entreprise» ou les deux «Contrôles de compétence en cours interentreprises») dont la note est insuffisante doivent être répétés.</w:t>
      </w:r>
    </w:p>
    <w:p>
      <w:pPr>
        <w:bidi w:val="0"/>
      </w:pPr>
      <w:r>
        <w:rPr>
          <w:vertAlign w:val="superscript"/>
        </w:rPr>
        <w:t>6</w:t>
      </w:r>
      <w:r>
        <w:t> Lorsqu'un domaine de qualification est répété, ce sont les nouvelles notes qui comptent.</w:t>
      </w:r>
    </w:p>
    <w:p>
      <w:pPr>
        <w:pStyle w:val="TitelStufe2"/>
        <w:bidi w:val="0"/>
        <w:outlineLvl w:val="1"/>
        <w:rPr>
          <w:b/>
          <w:bCs/>
        </w:rPr>
      </w:pPr>
      <w:r>
        <w:t>5.6 Procédure de qualification MP</w:t>
      </w:r>
    </w:p>
    <w:p>
      <w:pPr>
        <w:pStyle w:val="Artikel"/>
        <w:bidi w:val="0"/>
        <w:outlineLvl w:val="5"/>
        <w:rPr>
          <w:vertAlign w:val="superscript"/>
        </w:rPr>
      </w:pPr>
      <w:r>
        <w:rPr>
          <w:b/>
          <w:bCs/>
        </w:rPr>
        <w:t>Art.  66</w:t>
      </w:r>
      <w:r>
        <w:tab/>
        <w:t>Procédure de qualification – Etendue</w:t>
      </w:r>
    </w:p>
    <w:p>
      <w:pPr>
        <w:pStyle w:val="StandardvorAufzhlung"/>
        <w:bidi w:val="0"/>
      </w:pPr>
      <w:r>
        <w:rPr>
          <w:vertAlign w:val="superscript"/>
        </w:rPr>
        <w:t>1</w:t>
      </w:r>
      <w:r>
        <w:t> Les branches de MP sont:</w:t>
      </w:r>
    </w:p>
    <w:p>
      <w:pPr>
        <w:pStyle w:val="Liste1"/>
        <w:bidi w:val="0"/>
      </w:pPr>
      <w:r>
        <w:t>a)</w:t>
        <w:tab/>
        <w:t>les quatre branches du domaine fondamental;</w:t>
      </w:r>
    </w:p>
    <w:p>
      <w:pPr>
        <w:pStyle w:val="Liste1"/>
        <w:bidi w:val="0"/>
      </w:pPr>
      <w:r>
        <w:t>b)</w:t>
        <w:tab/>
        <w:t>les deux branches du domaine spécifique;</w:t>
      </w:r>
    </w:p>
    <w:p>
      <w:pPr>
        <w:pStyle w:val="Liste1"/>
        <w:bidi w:val="0"/>
      </w:pPr>
      <w:r>
        <w:t>c)</w:t>
        <w:tab/>
        <w:t>les deux branches du domaine complémentaire (notes d'expérience);</w:t>
      </w:r>
    </w:p>
    <w:p>
      <w:pPr>
        <w:pStyle w:val="Liste1"/>
        <w:bidi w:val="0"/>
        <w:spacing w:before="0" w:after="80"/>
        <w:rPr>
          <w:b/>
          <w:bCs/>
        </w:rPr>
      </w:pPr>
      <w:r>
        <w:t>d)</w:t>
        <w:tab/>
        <w:t>le travail interdisciplinaire.</w:t>
      </w:r>
    </w:p>
    <w:p>
      <w:pPr>
        <w:pStyle w:val="Artikel"/>
        <w:bidi w:val="0"/>
        <w:outlineLvl w:val="5"/>
        <w:rPr>
          <w:vertAlign w:val="superscript"/>
        </w:rPr>
      </w:pPr>
      <w:r>
        <w:rPr>
          <w:b/>
          <w:bCs/>
        </w:rPr>
        <w:t>Art.  67</w:t>
      </w:r>
      <w:r>
        <w:tab/>
        <w:t>Procédure de qualification – Branches soumises à examen</w:t>
      </w:r>
    </w:p>
    <w:p>
      <w:pPr>
        <w:bidi w:val="0"/>
        <w:rPr>
          <w:vertAlign w:val="superscript"/>
        </w:rPr>
      </w:pPr>
      <w:r>
        <w:rPr>
          <w:vertAlign w:val="superscript"/>
        </w:rPr>
        <w:t>1</w:t>
      </w:r>
      <w:r>
        <w:t> Les examens doivent être conformes aux objectifs définis par les plans d'études.</w:t>
      </w:r>
    </w:p>
    <w:p>
      <w:pPr>
        <w:pStyle w:val="StandardvorAufzhlung"/>
        <w:bidi w:val="0"/>
      </w:pPr>
      <w:r>
        <w:rPr>
          <w:vertAlign w:val="superscript"/>
        </w:rPr>
        <w:t>2</w:t>
      </w:r>
      <w:r>
        <w:t> Les examens portent sur les six branches suivantes:</w:t>
      </w:r>
    </w:p>
    <w:p>
      <w:pPr>
        <w:pStyle w:val="Liste1"/>
        <w:bidi w:val="0"/>
      </w:pPr>
      <w:r>
        <w:t>a)</w:t>
        <w:tab/>
        <w:t>première langue nationale (épreuves écrite et orale);</w:t>
      </w:r>
    </w:p>
    <w:p>
      <w:pPr>
        <w:pStyle w:val="Liste1"/>
        <w:bidi w:val="0"/>
      </w:pPr>
      <w:r>
        <w:t>b)</w:t>
        <w:tab/>
        <w:t>deuxième langue nationale (épreuves écrite et orale);</w:t>
      </w:r>
    </w:p>
    <w:p>
      <w:pPr>
        <w:pStyle w:val="Liste1"/>
        <w:bidi w:val="0"/>
      </w:pPr>
      <w:r>
        <w:t>c)</w:t>
        <w:tab/>
        <w:t>anglais (épreuves écrite et orale);</w:t>
      </w:r>
    </w:p>
    <w:p>
      <w:pPr>
        <w:pStyle w:val="Liste1"/>
        <w:bidi w:val="0"/>
      </w:pPr>
      <w:r>
        <w:t>d)</w:t>
        <w:tab/>
        <w:t>mathématiques (épreuve écrite);</w:t>
      </w:r>
    </w:p>
    <w:p>
      <w:pPr>
        <w:pStyle w:val="Liste1"/>
        <w:bidi w:val="0"/>
      </w:pPr>
      <w:r>
        <w:t>e)</w:t>
        <w:tab/>
        <w:t>finances et comptabilité (épreuve écrite);</w:t>
      </w:r>
    </w:p>
    <w:p>
      <w:pPr>
        <w:pStyle w:val="Liste1"/>
        <w:bidi w:val="0"/>
        <w:spacing w:before="0" w:after="80"/>
        <w:rPr>
          <w:b/>
          <w:bCs/>
        </w:rPr>
      </w:pPr>
      <w:r>
        <w:t>f)</w:t>
        <w:tab/>
        <w:t>économie et droit (épreuve écrite).</w:t>
      </w:r>
    </w:p>
    <w:p>
      <w:pPr>
        <w:pStyle w:val="Artikel"/>
        <w:bidi w:val="0"/>
        <w:outlineLvl w:val="5"/>
        <w:rPr>
          <w:vertAlign w:val="superscript"/>
        </w:rPr>
      </w:pPr>
      <w:r>
        <w:rPr>
          <w:b/>
          <w:bCs/>
        </w:rPr>
        <w:t>Art.  68</w:t>
      </w:r>
      <w:r>
        <w:tab/>
        <w:t>Calcul des notes</w:t>
      </w:r>
    </w:p>
    <w:p>
      <w:pPr>
        <w:bidi w:val="0"/>
        <w:rPr>
          <w:vertAlign w:val="superscript"/>
        </w:rPr>
      </w:pPr>
      <w:r>
        <w:rPr>
          <w:vertAlign w:val="superscript"/>
        </w:rPr>
        <w:t>1</w:t>
      </w:r>
      <w:r>
        <w:t> Dans les branches où des examens finals ont lieu, la note se compose, à parts égales, de la note d'examen et de la note d'expérience.</w:t>
      </w:r>
    </w:p>
    <w:p>
      <w:pPr>
        <w:bidi w:val="0"/>
        <w:rPr>
          <w:vertAlign w:val="superscript"/>
        </w:rPr>
      </w:pPr>
      <w:r>
        <w:rPr>
          <w:vertAlign w:val="superscript"/>
        </w:rPr>
        <w:t>2</w:t>
      </w:r>
      <w:r>
        <w:t> La note d'examen correspond à la prestation notée ou à la moyenne des prestations d'examen dans la branche considérée.</w:t>
      </w:r>
    </w:p>
    <w:p>
      <w:pPr>
        <w:bidi w:val="0"/>
        <w:rPr>
          <w:vertAlign w:val="superscript"/>
        </w:rPr>
      </w:pPr>
      <w:r>
        <w:rPr>
          <w:vertAlign w:val="superscript"/>
        </w:rPr>
        <w:t>3</w:t>
      </w:r>
      <w:r>
        <w:t> La note d'expérience correspond à la moyenne des notes des bulletins semestriels obtenues dans la branche concernée ou pour le travail interdisciplinaire.</w:t>
      </w:r>
    </w:p>
    <w:p>
      <w:pPr>
        <w:bidi w:val="0"/>
        <w:rPr>
          <w:vertAlign w:val="superscript"/>
        </w:rPr>
      </w:pPr>
      <w:r>
        <w:rPr>
          <w:vertAlign w:val="superscript"/>
        </w:rPr>
        <w:t>4</w:t>
      </w:r>
      <w:r>
        <w:t> Les notes attribuées dans les branches du domaine complémentaire correspondent aux notes d'expérience.</w:t>
      </w:r>
    </w:p>
    <w:p>
      <w:pPr>
        <w:bidi w:val="0"/>
        <w:rPr>
          <w:vertAlign w:val="superscript"/>
        </w:rPr>
      </w:pPr>
      <w:r>
        <w:rPr>
          <w:vertAlign w:val="superscript"/>
        </w:rPr>
        <w:t>5</w:t>
      </w:r>
      <w:r>
        <w:t> Dans le travail interdisciplinaire, la note se compose, à parts égales, de la note du TIP et de la note du TIB.</w:t>
      </w:r>
    </w:p>
    <w:p>
      <w:pPr>
        <w:bidi w:val="0"/>
        <w:rPr>
          <w:b/>
          <w:bCs/>
        </w:rPr>
      </w:pPr>
      <w:r>
        <w:rPr>
          <w:vertAlign w:val="superscript"/>
        </w:rPr>
        <w:t>6</w:t>
      </w:r>
      <w:r>
        <w:t> La note du TIP correspond à l'appréciation du processus d'élaboration, du produit final et de la présentation.</w:t>
      </w:r>
    </w:p>
    <w:p>
      <w:pPr>
        <w:pStyle w:val="Artikel"/>
        <w:bidi w:val="0"/>
        <w:outlineLvl w:val="5"/>
        <w:rPr>
          <w:vertAlign w:val="superscript"/>
        </w:rPr>
      </w:pPr>
      <w:r>
        <w:rPr>
          <w:b/>
          <w:bCs/>
        </w:rPr>
        <w:t>Art.  69</w:t>
      </w:r>
      <w:r>
        <w:tab/>
        <w:t>Arrondis</w:t>
      </w:r>
    </w:p>
    <w:p>
      <w:pPr>
        <w:bidi w:val="0"/>
        <w:rPr>
          <w:vertAlign w:val="superscript"/>
        </w:rPr>
      </w:pPr>
      <w:r>
        <w:rPr>
          <w:vertAlign w:val="superscript"/>
        </w:rPr>
        <w:t>1</w:t>
      </w:r>
      <w:r>
        <w:t> Si l'examen final dans une branche consiste en une prestation, la note d'examen est arrondie à une note entière ou à une demi-note. Si l'examen final dans une branche est constitué de plusieurs prestations, la moyenne des notes des prestations est arrondie à la première décimale.</w:t>
      </w:r>
    </w:p>
    <w:p>
      <w:pPr>
        <w:bidi w:val="0"/>
        <w:rPr>
          <w:vertAlign w:val="superscript"/>
        </w:rPr>
      </w:pPr>
      <w:r>
        <w:rPr>
          <w:vertAlign w:val="superscript"/>
        </w:rPr>
        <w:t>2</w:t>
      </w:r>
      <w:r>
        <w:t> La note d'expérience est arrondie à la première décimale.</w:t>
      </w:r>
    </w:p>
    <w:p>
      <w:pPr>
        <w:bidi w:val="0"/>
        <w:rPr>
          <w:vertAlign w:val="superscript"/>
        </w:rPr>
      </w:pPr>
      <w:r>
        <w:rPr>
          <w:vertAlign w:val="superscript"/>
        </w:rPr>
        <w:t>3</w:t>
      </w:r>
      <w:r>
        <w:t> La note du TIP est arrondie à une note entière ou à une demi-note.</w:t>
      </w:r>
    </w:p>
    <w:p>
      <w:pPr>
        <w:bidi w:val="0"/>
        <w:rPr>
          <w:vertAlign w:val="superscript"/>
        </w:rPr>
      </w:pPr>
      <w:r>
        <w:rPr>
          <w:vertAlign w:val="superscript"/>
        </w:rPr>
        <w:t>4</w:t>
      </w:r>
      <w:r>
        <w:t> La note du TIB est arrondie à la première décimale.</w:t>
      </w:r>
    </w:p>
    <w:p>
      <w:pPr>
        <w:bidi w:val="0"/>
        <w:rPr>
          <w:vertAlign w:val="superscript"/>
        </w:rPr>
      </w:pPr>
      <w:r>
        <w:rPr>
          <w:vertAlign w:val="superscript"/>
        </w:rPr>
        <w:t>5</w:t>
      </w:r>
      <w:r>
        <w:t> La note finale dans les branches et la note finale du travail interdisciplinaire sont arrondies à une note entière ou à une demi-note.</w:t>
      </w:r>
    </w:p>
    <w:p>
      <w:pPr>
        <w:bidi w:val="0"/>
        <w:rPr>
          <w:b/>
          <w:bCs/>
        </w:rPr>
      </w:pPr>
      <w:r>
        <w:rPr>
          <w:vertAlign w:val="superscript"/>
        </w:rPr>
        <w:t>6</w:t>
      </w:r>
      <w:r>
        <w:t> La note globale de l'examen de MP correspond à la moyenne, arrondie à la première décimale, de toutes les notes prises en compte.</w:t>
      </w:r>
    </w:p>
    <w:p>
      <w:pPr>
        <w:pStyle w:val="Artikel"/>
        <w:bidi w:val="0"/>
        <w:outlineLvl w:val="5"/>
        <w:rPr>
          <w:vertAlign w:val="superscript"/>
        </w:rPr>
      </w:pPr>
      <w:r>
        <w:rPr>
          <w:b/>
          <w:bCs/>
        </w:rPr>
        <w:t>Art.  70</w:t>
      </w:r>
      <w:r>
        <w:tab/>
        <w:t>Contenu formel du certificat</w:t>
      </w:r>
    </w:p>
    <w:p>
      <w:pPr>
        <w:bidi w:val="0"/>
        <w:rPr>
          <w:b/>
          <w:bCs/>
        </w:rPr>
      </w:pPr>
      <w:r>
        <w:rPr>
          <w:vertAlign w:val="superscript"/>
        </w:rPr>
        <w:t>1</w:t>
      </w:r>
      <w:r>
        <w:t> Le certificat de MP doit être conforme, sur le plan formel, aux prescriptions fédérales en la matière.</w:t>
      </w:r>
    </w:p>
    <w:p>
      <w:pPr>
        <w:pStyle w:val="Artikel"/>
        <w:bidi w:val="0"/>
        <w:outlineLvl w:val="5"/>
        <w:rPr>
          <w:vertAlign w:val="superscript"/>
        </w:rPr>
      </w:pPr>
      <w:r>
        <w:rPr>
          <w:b/>
          <w:bCs/>
        </w:rPr>
        <w:t>Art.  71</w:t>
      </w:r>
      <w:r>
        <w:tab/>
        <w:t>Critères de réussite</w:t>
      </w:r>
    </w:p>
    <w:p>
      <w:pPr>
        <w:pStyle w:val="StandardvorAufzhlung"/>
        <w:bidi w:val="0"/>
      </w:pPr>
      <w:r>
        <w:rPr>
          <w:vertAlign w:val="superscript"/>
        </w:rPr>
        <w:t>1</w:t>
      </w:r>
      <w:r>
        <w:t> L'examen de MP est réussi si les conditions cumulatives suivantes sont remplies:</w:t>
      </w:r>
    </w:p>
    <w:p>
      <w:pPr>
        <w:pStyle w:val="Liste1"/>
        <w:bidi w:val="0"/>
      </w:pPr>
      <w:r>
        <w:t>a)</w:t>
        <w:tab/>
        <w:t>la note globale est égale ou supérieure à 4;</w:t>
      </w:r>
    </w:p>
    <w:p>
      <w:pPr>
        <w:pStyle w:val="Liste1"/>
        <w:bidi w:val="0"/>
      </w:pPr>
      <w:r>
        <w:t>b)</w:t>
        <w:tab/>
        <w:t>deux notes de branche au maximum sont inférieures à 4;</w:t>
      </w:r>
    </w:p>
    <w:p>
      <w:pPr>
        <w:pStyle w:val="Liste1"/>
        <w:bidi w:val="0"/>
        <w:spacing w:before="0" w:after="80"/>
        <w:rPr>
          <w:b/>
          <w:bCs/>
        </w:rPr>
      </w:pPr>
      <w:r>
        <w:t>c)</w:t>
        <w:tab/>
        <w:t>la somme des écarts entre les notes de branche insuffisantes et la note 4 est inférieure ou égale à 2.</w:t>
      </w:r>
    </w:p>
    <w:p>
      <w:pPr>
        <w:pStyle w:val="Artikel"/>
        <w:bidi w:val="0"/>
        <w:outlineLvl w:val="5"/>
        <w:rPr>
          <w:vertAlign w:val="superscript"/>
        </w:rPr>
      </w:pPr>
      <w:r>
        <w:rPr>
          <w:b/>
          <w:bCs/>
        </w:rPr>
        <w:t>Art.  72</w:t>
      </w:r>
      <w:r>
        <w:tab/>
        <w:t>Répétition</w:t>
      </w:r>
    </w:p>
    <w:p>
      <w:pPr>
        <w:bidi w:val="0"/>
        <w:rPr>
          <w:vertAlign w:val="superscript"/>
        </w:rPr>
      </w:pPr>
      <w:r>
        <w:rPr>
          <w:vertAlign w:val="superscript"/>
        </w:rPr>
        <w:t>1</w:t>
      </w:r>
      <w:r>
        <w:t> La personne qui échoue à l'examen de MP peut se représenter une fois.</w:t>
      </w:r>
    </w:p>
    <w:p>
      <w:pPr>
        <w:bidi w:val="0"/>
        <w:rPr>
          <w:vertAlign w:val="superscript"/>
        </w:rPr>
      </w:pPr>
      <w:r>
        <w:rPr>
          <w:vertAlign w:val="superscript"/>
        </w:rPr>
        <w:t>2</w:t>
      </w:r>
      <w:r>
        <w:t> Toutes les branches dont les résultats sont insuffisants font l'objet d'un nouvel examen à l'occasion de la prochaine session d'examens. Les branches dont les résultats sont suffisants ne font pas l'objet d'une répétition.</w:t>
      </w:r>
    </w:p>
    <w:p>
      <w:pPr>
        <w:pStyle w:val="StandardvorAufzhlung"/>
        <w:bidi w:val="0"/>
      </w:pPr>
      <w:r>
        <w:rPr>
          <w:vertAlign w:val="superscript"/>
        </w:rPr>
        <w:t>3</w:t>
      </w:r>
      <w:r>
        <w:t> Si une personne suit l'enseignement pendant deux semestres en vue de se représenter à l'examen, les notes ci-après sont prises en compte dans le calcul de la note finale:</w:t>
      </w:r>
    </w:p>
    <w:p>
      <w:pPr>
        <w:pStyle w:val="Liste1"/>
        <w:bidi w:val="0"/>
      </w:pPr>
      <w:r>
        <w:t>a)</w:t>
        <w:tab/>
        <w:t>dans les branches du domaine fondamental et du domaine spécifique, la nouvelle note d'expérience et la note du nouvel examen;</w:t>
      </w:r>
    </w:p>
    <w:p>
      <w:pPr>
        <w:pStyle w:val="Liste1"/>
        <w:bidi w:val="0"/>
        <w:spacing w:before="0" w:after="80"/>
        <w:rPr>
          <w:vertAlign w:val="superscript"/>
        </w:rPr>
      </w:pPr>
      <w:r>
        <w:t>b)</w:t>
        <w:tab/>
        <w:t>dans les branches du domaine complémentaire, la nouvelle note d'expérience uniquement.</w:t>
      </w:r>
    </w:p>
    <w:p>
      <w:pPr>
        <w:pStyle w:val="StandardvorAufzhlung"/>
        <w:bidi w:val="0"/>
      </w:pPr>
      <w:r>
        <w:rPr>
          <w:vertAlign w:val="superscript"/>
        </w:rPr>
        <w:t>4</w:t>
      </w:r>
      <w:r>
        <w:t> Si une personne ne suit pas l'enseignement en vue de se représenter à l'examen, les notes ci-après sont prises en compte dans le calcul de la note finale:</w:t>
      </w:r>
    </w:p>
    <w:p>
      <w:pPr>
        <w:pStyle w:val="Liste1"/>
        <w:bidi w:val="0"/>
      </w:pPr>
      <w:r>
        <w:t>a)</w:t>
        <w:tab/>
        <w:t>dans les branches du domaine fondamental et du domaine spécifique, la note du nouvel examen; l'ancienne note d'expérience n'est pas prise en compte;</w:t>
      </w:r>
    </w:p>
    <w:p>
      <w:pPr>
        <w:pStyle w:val="Liste1"/>
        <w:bidi w:val="0"/>
        <w:spacing w:before="0" w:after="80"/>
        <w:rPr>
          <w:vertAlign w:val="superscript"/>
        </w:rPr>
      </w:pPr>
      <w:r>
        <w:t>b)</w:t>
        <w:tab/>
        <w:t>dans les branches du domaine complémentaire, un examen oral ou écrit doit être passé; seule la note d'examen compte.</w:t>
      </w:r>
    </w:p>
    <w:p>
      <w:pPr>
        <w:pStyle w:val="StandardvorAufzhlung"/>
        <w:bidi w:val="0"/>
      </w:pPr>
      <w:r>
        <w:rPr>
          <w:vertAlign w:val="superscript"/>
        </w:rPr>
        <w:t>5</w:t>
      </w:r>
      <w:r>
        <w:t> Si la note du travail interdisciplinaire est insuffisante, les règles suivantes s'appliquent à la répétition:</w:t>
      </w:r>
    </w:p>
    <w:p>
      <w:pPr>
        <w:pStyle w:val="Liste1"/>
        <w:bidi w:val="0"/>
      </w:pPr>
      <w:r>
        <w:t>a)</w:t>
        <w:tab/>
        <w:t>le TIP doit être remanié s'il est jugé insuffisant; pour le calcul de la nouvelle note du travail interdisciplinaire, seule la nouvelle note compte;</w:t>
      </w:r>
    </w:p>
    <w:p>
      <w:pPr>
        <w:pStyle w:val="Liste1"/>
        <w:bidi w:val="0"/>
        <w:spacing w:before="0" w:after="80"/>
        <w:rPr>
          <w:b/>
          <w:bCs/>
        </w:rPr>
      </w:pPr>
      <w:r>
        <w:t>b)</w:t>
        <w:tab/>
        <w:t>le TIB doit faire l'objet d'un examen oral si la note d'expérience est insuffisante; pour le calcul de la nouvelle note du travail interdisciplinaire, seule la nouvelle note compte.</w:t>
      </w:r>
    </w:p>
    <w:p>
      <w:pPr>
        <w:pStyle w:val="Artikel"/>
        <w:bidi w:val="0"/>
        <w:outlineLvl w:val="5"/>
        <w:rPr>
          <w:vertAlign w:val="superscript"/>
        </w:rPr>
      </w:pPr>
      <w:r>
        <w:rPr>
          <w:b/>
          <w:bCs/>
        </w:rPr>
        <w:t>Art.  73</w:t>
      </w:r>
      <w:r>
        <w:tab/>
        <w:t>Conséquence en cas d'échec à l'examen</w:t>
      </w:r>
    </w:p>
    <w:p>
      <w:pPr>
        <w:bidi w:val="0"/>
      </w:pPr>
      <w:r>
        <w:rPr>
          <w:vertAlign w:val="superscript"/>
        </w:rPr>
        <w:t>1</w:t>
      </w:r>
      <w:r>
        <w:t> La personne qui échoue à l'examen de MP reçoit le CFC, à la condition qu'elle remplisse les conditions requises pour l'obtenir.</w:t>
      </w:r>
    </w:p>
    <w:p>
      <w:pPr>
        <w:pStyle w:val="TitelStufe2"/>
        <w:bidi w:val="0"/>
        <w:outlineLvl w:val="1"/>
        <w:rPr>
          <w:b/>
          <w:bCs/>
        </w:rPr>
      </w:pPr>
      <w:r>
        <w:t>5.7 Cas d'échec</w:t>
      </w:r>
    </w:p>
    <w:p>
      <w:pPr>
        <w:pStyle w:val="Artikel"/>
        <w:bidi w:val="0"/>
        <w:outlineLvl w:val="5"/>
        <w:rPr>
          <w:vertAlign w:val="superscript"/>
        </w:rPr>
      </w:pPr>
      <w:r>
        <w:rPr>
          <w:b/>
          <w:bCs/>
        </w:rPr>
        <w:t>Art.  74</w:t>
      </w:r>
    </w:p>
    <w:p>
      <w:pPr>
        <w:bidi w:val="0"/>
      </w:pPr>
      <w:r>
        <w:rPr>
          <w:vertAlign w:val="superscript"/>
        </w:rPr>
        <w:t>1</w:t>
      </w:r>
      <w:r>
        <w:t> Dans tous les cas d'échec, une discussion doit avoir lieu entre la personne en formation et la direction de l'école.</w:t>
      </w:r>
    </w:p>
    <w:p>
      <w:pPr>
        <w:pStyle w:val="TitelStufe1"/>
        <w:bidi w:val="0"/>
        <w:outlineLvl w:val="0"/>
        <w:rPr>
          <w:b/>
          <w:bCs/>
        </w:rPr>
      </w:pPr>
      <w:r>
        <w:t>6 Voies de droit</w:t>
      </w:r>
    </w:p>
    <w:p>
      <w:pPr>
        <w:pStyle w:val="Artikel"/>
        <w:bidi w:val="0"/>
        <w:outlineLvl w:val="5"/>
        <w:rPr>
          <w:vertAlign w:val="superscript"/>
        </w:rPr>
      </w:pPr>
      <w:r>
        <w:rPr>
          <w:b/>
          <w:bCs/>
        </w:rPr>
        <w:t>Art.  75</w:t>
      </w:r>
      <w:r>
        <w:tab/>
        <w:t>Décision concernant l'admission</w:t>
      </w:r>
    </w:p>
    <w:p>
      <w:pPr>
        <w:bidi w:val="0"/>
        <w:rPr>
          <w:vertAlign w:val="superscript"/>
        </w:rPr>
      </w:pPr>
      <w:r>
        <w:rPr>
          <w:vertAlign w:val="superscript"/>
        </w:rPr>
        <w:t>1</w:t>
      </w:r>
      <w:r>
        <w:t> La décision refusant l'admission de la personne candidate (art. 2 du présent règlement) peut, dans les dix jours dès sa communication, faire l'objet d'une réclamation auprès du directeur ou de la directrice de l'école.</w:t>
      </w:r>
    </w:p>
    <w:p>
      <w:pPr>
        <w:bidi w:val="0"/>
        <w:rPr>
          <w:b/>
          <w:bCs/>
        </w:rPr>
      </w:pPr>
      <w:r>
        <w:rPr>
          <w:vertAlign w:val="superscript"/>
        </w:rPr>
        <w:t>2</w:t>
      </w:r>
      <w:r>
        <w:t> La nouvelle décision du directeur ou de la directrice de l'école peut, dans les dix jours dès sa communication, faire l'objet d'un recours à la Direction.</w:t>
      </w:r>
    </w:p>
    <w:p>
      <w:pPr>
        <w:pStyle w:val="Artikel"/>
        <w:bidi w:val="0"/>
        <w:outlineLvl w:val="5"/>
        <w:rPr>
          <w:vertAlign w:val="superscript"/>
        </w:rPr>
      </w:pPr>
      <w:r>
        <w:rPr>
          <w:b/>
          <w:bCs/>
        </w:rPr>
        <w:t>Art.  76</w:t>
      </w:r>
      <w:r>
        <w:tab/>
        <w:t>Décision de rupture du contrat d'apprentissage</w:t>
      </w:r>
    </w:p>
    <w:p>
      <w:pPr>
        <w:bidi w:val="0"/>
        <w:rPr>
          <w:vertAlign w:val="superscript"/>
        </w:rPr>
      </w:pPr>
      <w:r>
        <w:rPr>
          <w:vertAlign w:val="superscript"/>
        </w:rPr>
        <w:t>1</w:t>
      </w:r>
      <w:r>
        <w:t> La décision de rupture du contrat d'apprentissage peut, dans les dix jours dès sa communication, faire l'objet d'une réclamation auprès du directeur ou de la directrice de l'école.</w:t>
      </w:r>
    </w:p>
    <w:p>
      <w:pPr>
        <w:bidi w:val="0"/>
        <w:rPr>
          <w:b/>
          <w:bCs/>
        </w:rPr>
      </w:pPr>
      <w:r>
        <w:rPr>
          <w:vertAlign w:val="superscript"/>
        </w:rPr>
        <w:t>2</w:t>
      </w:r>
      <w:r>
        <w:t> La nouvelle décision du directeur ou de la directrice de l'école peut, dans les dix jours dès sa communication, faire l'objet d'un recours à la Direction.</w:t>
      </w:r>
    </w:p>
    <w:p>
      <w:pPr>
        <w:pStyle w:val="Artikel"/>
        <w:bidi w:val="0"/>
        <w:outlineLvl w:val="5"/>
        <w:rPr>
          <w:vertAlign w:val="superscript"/>
        </w:rPr>
      </w:pPr>
      <w:r>
        <w:rPr>
          <w:b/>
          <w:bCs/>
        </w:rPr>
        <w:t>Art.  77</w:t>
      </w:r>
      <w:r>
        <w:tab/>
        <w:t>Décision refusant la promotion</w:t>
      </w:r>
    </w:p>
    <w:p>
      <w:pPr>
        <w:bidi w:val="0"/>
        <w:rPr>
          <w:vertAlign w:val="superscript"/>
        </w:rPr>
      </w:pPr>
      <w:r>
        <w:rPr>
          <w:vertAlign w:val="superscript"/>
        </w:rPr>
        <w:t>1</w:t>
      </w:r>
      <w:r>
        <w:t> La décision refusant la promotion à la fin du semestre peut, dans les dix jours dès sa communication, faire l'objet d'une réclamation auprès du directeur ou de la directrice de l'école.</w:t>
      </w:r>
    </w:p>
    <w:p>
      <w:pPr>
        <w:bidi w:val="0"/>
        <w:rPr>
          <w:b/>
          <w:bCs/>
        </w:rPr>
      </w:pPr>
      <w:r>
        <w:rPr>
          <w:vertAlign w:val="superscript"/>
        </w:rPr>
        <w:t>2</w:t>
      </w:r>
      <w:r>
        <w:t> La nouvelle décision du directeur ou de la directrice de l'école peut, dans les dix jours dès sa communication, faire l'objet d'un recours à la Direction.</w:t>
      </w:r>
    </w:p>
    <w:p>
      <w:pPr>
        <w:pStyle w:val="Artikel"/>
        <w:bidi w:val="0"/>
        <w:outlineLvl w:val="5"/>
        <w:rPr>
          <w:vertAlign w:val="superscript"/>
        </w:rPr>
      </w:pPr>
      <w:r>
        <w:rPr>
          <w:b/>
          <w:bCs/>
        </w:rPr>
        <w:t>Art.  78</w:t>
      </w:r>
      <w:r>
        <w:tab/>
        <w:t>Décision refusant le certificat – Réclamation</w:t>
      </w:r>
    </w:p>
    <w:p>
      <w:pPr>
        <w:bidi w:val="0"/>
        <w:rPr>
          <w:vertAlign w:val="superscript"/>
        </w:rPr>
      </w:pPr>
      <w:r>
        <w:rPr>
          <w:vertAlign w:val="superscript"/>
        </w:rPr>
        <w:t>1</w:t>
      </w:r>
      <w:r>
        <w:t> Le refus du CFC et/ou du certificat de MP et l'exclusion de la session peuvent, dans un délai de cinq jours dès la communication des résultats, faire l'objet d'une réclamation écrite et motivée adressée au président ou à la présidente du jury.</w:t>
      </w:r>
    </w:p>
    <w:p>
      <w:pPr>
        <w:bidi w:val="0"/>
        <w:rPr>
          <w:b/>
          <w:bCs/>
        </w:rPr>
      </w:pPr>
      <w:r>
        <w:rPr>
          <w:vertAlign w:val="superscript"/>
        </w:rPr>
        <w:t>2</w:t>
      </w:r>
      <w:r>
        <w:t> A moins de circonstances spéciales, dont le réclamant ou la réclamante doit être avisé</w:t>
      </w:r>
      <w:r>
        <w:noBreakHyphen/>
        <w:t>e, le président ou la présidente du jury rend sa nouvelle décision dans un délai de vingt jours, après avoir consulté les examinateurs ou examinatrices et les experts ou expertes concernés.</w:t>
      </w:r>
    </w:p>
    <w:p>
      <w:pPr>
        <w:pStyle w:val="Artikel"/>
        <w:bidi w:val="0"/>
        <w:outlineLvl w:val="5"/>
        <w:rPr>
          <w:vertAlign w:val="superscript"/>
        </w:rPr>
      </w:pPr>
      <w:r>
        <w:rPr>
          <w:b/>
          <w:bCs/>
        </w:rPr>
        <w:t>Art.  79</w:t>
      </w:r>
      <w:r>
        <w:tab/>
        <w:t>Décision refusant le certificat – Recours</w:t>
      </w:r>
    </w:p>
    <w:p>
      <w:pPr>
        <w:bidi w:val="0"/>
        <w:rPr>
          <w:vertAlign w:val="superscript"/>
        </w:rPr>
      </w:pPr>
      <w:r>
        <w:rPr>
          <w:vertAlign w:val="superscript"/>
        </w:rPr>
        <w:t>1</w:t>
      </w:r>
      <w:r>
        <w:t> La décision sur réclamation du président ou de la présidente du jury peut, dans les dix jours dès sa communication, faire l'objet d'un recours à la Direction.</w:t>
      </w:r>
    </w:p>
    <w:p>
      <w:pPr>
        <w:bidi w:val="0"/>
      </w:pPr>
      <w:r>
        <w:rPr>
          <w:vertAlign w:val="superscript"/>
        </w:rPr>
        <w:t>2</w:t>
      </w:r>
      <w:r>
        <w:t> La décision de la Direction peut, dans les trente jours dès sa communication, faire l'objet d'un recours au Tribunal cantonal.</w:t>
      </w:r>
    </w:p>
    <w:p>
      <w:pPr>
        <w:pStyle w:val="TitelStufe1"/>
        <w:bidi w:val="0"/>
        <w:outlineLvl w:val="0"/>
        <w:rPr>
          <w:b/>
          <w:bCs/>
        </w:rPr>
      </w:pPr>
      <w:r>
        <w:t>7 Dispositions transitoires</w:t>
      </w:r>
    </w:p>
    <w:p>
      <w:pPr>
        <w:pStyle w:val="Artikel"/>
        <w:bidi w:val="0"/>
        <w:outlineLvl w:val="5"/>
        <w:rPr>
          <w:vertAlign w:val="superscript"/>
        </w:rPr>
      </w:pPr>
      <w:r>
        <w:rPr>
          <w:b/>
          <w:bCs/>
        </w:rPr>
        <w:t>Art.  80</w:t>
      </w:r>
      <w:r>
        <w:tab/>
        <w:t>Partie CFC</w:t>
      </w:r>
    </w:p>
    <w:p>
      <w:pPr>
        <w:bidi w:val="0"/>
        <w:rPr>
          <w:b/>
          <w:bCs/>
        </w:rPr>
      </w:pPr>
      <w:r>
        <w:rPr>
          <w:vertAlign w:val="superscript"/>
        </w:rPr>
        <w:t>1</w:t>
      </w:r>
      <w:r>
        <w:t> L'ancien droit s'applique aux personnes qui ont commencé leur formation avant l'année scolaire 2023/24.</w:t>
      </w:r>
    </w:p>
    <w:p>
      <w:pPr>
        <w:pStyle w:val="Artikel"/>
        <w:bidi w:val="0"/>
        <w:outlineLvl w:val="5"/>
        <w:rPr>
          <w:vertAlign w:val="superscript"/>
        </w:rPr>
      </w:pPr>
      <w:r>
        <w:rPr>
          <w:b/>
          <w:bCs/>
        </w:rPr>
        <w:t>Art.  81</w:t>
      </w:r>
      <w:r>
        <w:tab/>
        <w:t>Partie MP</w:t>
      </w:r>
    </w:p>
    <w:p>
      <w:pPr>
        <w:bidi w:val="0"/>
      </w:pPr>
      <w:r>
        <w:rPr>
          <w:vertAlign w:val="superscript"/>
        </w:rPr>
        <w:t>1</w:t>
      </w:r>
      <w:r>
        <w:t> L'ancien droit s'applique aux personnes qui ont commencé leur formation avant l'année scolaire 2026/27.</w:t>
      </w:r>
    </w:p>
    <w:p>
      <w:pPr>
        <w:pStyle w:val="TitelnderungstabelleDatum"/>
        <w:bidi w:val="0"/>
        <w:rPr>
          <w:b/>
          <w:sz w:val="14"/>
          <w:lang w:val="fr-CH"/>
        </w:rPr>
      </w:pPr>
      <w:r>
        <w:t>Tableau des modifications – Par date d'adoption</w:t>
      </w:r>
    </w:p>
    <w:tbl>
      <w:tblPr>
        <w:tblStyle w:val="TableNormal"/>
        <w:tblW w:w="100%" w:type="pct"/>
        <w:tblInd w:w="2.75pt" w:type="dxa"/>
        <w:tblLayout w:type="fixed"/>
        <w:tblCellMar>
          <w:top w:w="0.55pt" w:type="dxa"/>
          <w:start w:w="2.75pt" w:type="dxa"/>
          <w:bottom w:w="0.55pt" w:type="dxa"/>
          <w:end w:w="2.75pt" w:type="dxa"/>
        </w:tblCellMar>
        <w:tblLook w:firstColumn="0" w:firstRow="0" w:lastColumn="0" w:lastRow="0" w:noHBand="0" w:noVBand="0"/>
      </w:tblPr>
      <w:tblGrid>
        <w:gridCol w:w="906"/>
        <w:gridCol w:w="1359"/>
        <w:gridCol w:w="1360"/>
        <w:gridCol w:w="906"/>
        <w:gridCol w:w="1700"/>
      </w:tblGrid>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blHeader/>
        </w:trPr>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Adoption</w:t>
            </w:r>
          </w:p>
        </w:tc>
        <w:tc>
          <w:tcPr>
            <w:tcW w:w="68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Elément touché</w:t>
            </w:r>
          </w:p>
        </w:tc>
        <w:tc>
          <w:tcPr>
            <w:tcW w:w="68.0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Type de modification</w:t>
            </w:r>
          </w:p>
        </w:tc>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Entrée en vigueur</w:t>
            </w:r>
          </w:p>
        </w:tc>
        <w:tc>
          <w:tcPr>
            <w:tcW w:w="85.1pt" w:type="dxa"/>
            <w:tcBorders>
              <w:top w:val="single" w:sz="2" w:space="0" w:color="000000"/>
              <w:start w:val="single" w:sz="2" w:space="0" w:color="000000"/>
              <w:bottom w:val="single" w:sz="2" w:space="0" w:color="000000"/>
              <w:end w:val="single" w:sz="2" w:space="0" w:color="000000"/>
            </w:tcBorders>
            <w:shd w:val="clear" w:color="auto" w:fill="E6E6E6"/>
          </w:tcPr>
          <w:p>
            <w:pPr>
              <w:pStyle w:val="TableContents"/>
              <w:suppressAutoHyphens/>
              <w:bidi w:val="0"/>
              <w:spacing w:before="0" w:after="0" w:line="240" w:lineRule="auto"/>
            </w:pPr>
            <w:r>
              <w:rPr>
                <w:b/>
                <w:sz w:val="14"/>
                <w:lang w:val="fr-CH"/>
              </w:rPr>
              <w:t>Source (ROF depuis 2002)</w:t>
            </w:r>
          </w:p>
        </w:tc>
      </w:tr>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rPr>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w:t>
            </w:r>
          </w:p>
        </w:tc>
        <w:tc>
          <w:tcPr>
            <w:tcW w:w="68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Acte</w:t>
            </w:r>
          </w:p>
        </w:tc>
        <w:tc>
          <w:tcPr>
            <w:tcW w:w="68.0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acte de base</w:t>
            </w:r>
          </w:p>
        </w:tc>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w:t>
            </w:r>
          </w:p>
        </w:tc>
        <w:tc>
          <w:tcPr>
            <w:tcW w:w="85.1pt" w:type="dxa"/>
            <w:tcBorders>
              <w:start w:val="single" w:sz="2" w:space="0" w:color="000000"/>
              <w:bottom w:val="single" w:sz="2" w:space="0" w:color="000000"/>
              <w:end w:val="single" w:sz="2" w:space="0" w:color="000000"/>
            </w:tcBorders>
            <w:shd w:val="clear" w:color="auto" w:fill="auto"/>
          </w:tcPr>
          <w:p>
            <w:pPr>
              <w:pStyle w:val="TableContents"/>
              <w:bidi w:val="0"/>
              <w:spacing w:before="0" w:after="0" w:line="240" w:lineRule="auto"/>
            </w:pPr>
            <w:r>
              <w:rPr>
                <w:sz w:val="14"/>
                <w:lang w:val="fr-CH"/>
              </w:rPr>
              <w:t>     </w:t>
            </w:r>
          </w:p>
        </w:tc>
      </w:tr>
    </w:tbl>
    <w:p>
      <w:pPr>
        <w:pStyle w:val="TitelnderungstabelleElement"/>
        <w:bidi w:val="0"/>
        <w:rPr>
          <w:b/>
          <w:sz w:val="14"/>
          <w:lang w:val="fr-CH"/>
        </w:rPr>
      </w:pPr>
      <w:r>
        <w:t>Tableau des modifications – Par article</w:t>
      </w:r>
    </w:p>
    <w:tbl>
      <w:tblPr>
        <w:tblStyle w:val="TableNormal"/>
        <w:tblW w:w="100%" w:type="pct"/>
        <w:tblInd w:w="2.75pt" w:type="dxa"/>
        <w:tblLayout w:type="fixed"/>
        <w:tblCellMar>
          <w:top w:w="0.55pt" w:type="dxa"/>
          <w:start w:w="2.75pt" w:type="dxa"/>
          <w:bottom w:w="0.55pt" w:type="dxa"/>
          <w:end w:w="2.75pt" w:type="dxa"/>
        </w:tblCellMar>
        <w:tblLook w:firstColumn="0" w:firstRow="0" w:lastColumn="0" w:lastRow="0" w:noHBand="0" w:noVBand="0"/>
      </w:tblPr>
      <w:tblGrid>
        <w:gridCol w:w="1359"/>
        <w:gridCol w:w="1360"/>
        <w:gridCol w:w="906"/>
        <w:gridCol w:w="906"/>
        <w:gridCol w:w="1700"/>
      </w:tblGrid>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blHeader/>
        </w:trPr>
        <w:tc>
          <w:tcPr>
            <w:tcW w:w="68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Elément touché</w:t>
            </w:r>
          </w:p>
        </w:tc>
        <w:tc>
          <w:tcPr>
            <w:tcW w:w="68.0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Type de modification</w:t>
            </w:r>
          </w:p>
        </w:tc>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Adoption</w:t>
            </w:r>
          </w:p>
        </w:tc>
        <w:tc>
          <w:tcPr>
            <w:tcW w:w="45.35pt" w:type="dxa"/>
            <w:tcBorders>
              <w:top w:val="single" w:sz="2" w:space="0" w:color="000000"/>
              <w:start w:val="single" w:sz="2" w:space="0" w:color="000000"/>
              <w:bottom w:val="single" w:sz="2" w:space="0" w:color="000000"/>
            </w:tcBorders>
            <w:shd w:val="clear" w:color="auto" w:fill="E6E6E6"/>
          </w:tcPr>
          <w:p>
            <w:pPr>
              <w:pStyle w:val="TableContents"/>
              <w:suppressAutoHyphens/>
              <w:bidi w:val="0"/>
              <w:spacing w:before="0" w:after="0" w:line="240" w:lineRule="auto"/>
            </w:pPr>
            <w:r>
              <w:rPr>
                <w:b/>
                <w:sz w:val="14"/>
                <w:lang w:val="fr-CH"/>
              </w:rPr>
              <w:t>Entrée en vigueur</w:t>
            </w:r>
          </w:p>
        </w:tc>
        <w:tc>
          <w:tcPr>
            <w:tcW w:w="85.1pt" w:type="dxa"/>
            <w:tcBorders>
              <w:top w:val="single" w:sz="2" w:space="0" w:color="000000"/>
              <w:start w:val="single" w:sz="2" w:space="0" w:color="000000"/>
              <w:bottom w:val="single" w:sz="2" w:space="0" w:color="000000"/>
              <w:end w:val="single" w:sz="2" w:space="0" w:color="000000"/>
            </w:tcBorders>
            <w:shd w:val="clear" w:color="auto" w:fill="E6E6E6"/>
          </w:tcPr>
          <w:p>
            <w:pPr>
              <w:pStyle w:val="TableContents"/>
              <w:suppressAutoHyphens/>
              <w:bidi w:val="0"/>
              <w:spacing w:before="0" w:after="0" w:line="240" w:lineRule="auto"/>
            </w:pPr>
            <w:r>
              <w:rPr>
                <w:b/>
                <w:sz w:val="14"/>
                <w:lang w:val="fr-CH"/>
              </w:rPr>
              <w:t>Source (ROF depuis 2002)</w:t>
            </w:r>
          </w:p>
        </w:tc>
      </w:tr>
      <w:tr>
        <w:tblPrEx>
          <w:tblW w:w="100%" w:type="pct"/>
          <w:tblInd w:w="2.75pt" w:type="dxa"/>
          <w:tblLayout w:type="fixed"/>
          <w:tblCellMar>
            <w:top w:w="0.55pt" w:type="dxa"/>
            <w:start w:w="2.75pt" w:type="dxa"/>
            <w:bottom w:w="0.55pt" w:type="dxa"/>
            <w:end w:w="2.75pt" w:type="dxa"/>
          </w:tblCellMar>
          <w:tblLook w:firstColumn="0" w:firstRow="0" w:lastColumn="0" w:lastRow="0" w:noHBand="0" w:noVBand="0"/>
        </w:tblPrEx>
        <w:trPr>
          <w:cantSplit/>
        </w:trPr>
        <w:tc>
          <w:tcPr>
            <w:tcW w:w="68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Acte</w:t>
            </w:r>
          </w:p>
        </w:tc>
        <w:tc>
          <w:tcPr>
            <w:tcW w:w="68.0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acte de base</w:t>
            </w:r>
          </w:p>
        </w:tc>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w:t>
            </w:r>
          </w:p>
        </w:tc>
        <w:tc>
          <w:tcPr>
            <w:tcW w:w="45.35pt" w:type="dxa"/>
            <w:tcBorders>
              <w:start w:val="single" w:sz="2" w:space="0" w:color="000000"/>
              <w:bottom w:val="single" w:sz="2" w:space="0" w:color="000000"/>
            </w:tcBorders>
            <w:shd w:val="clear" w:color="auto" w:fill="auto"/>
          </w:tcPr>
          <w:p>
            <w:pPr>
              <w:pStyle w:val="TableContents"/>
              <w:bidi w:val="0"/>
              <w:spacing w:before="0" w:after="0" w:line="240" w:lineRule="auto"/>
            </w:pPr>
            <w:r>
              <w:rPr>
                <w:sz w:val="14"/>
                <w:lang w:val="fr-CH"/>
              </w:rPr>
              <w:t>...</w:t>
            </w:r>
          </w:p>
        </w:tc>
        <w:tc>
          <w:tcPr>
            <w:tcW w:w="85.1pt" w:type="dxa"/>
            <w:tcBorders>
              <w:start w:val="single" w:sz="2" w:space="0" w:color="000000"/>
              <w:bottom w:val="single" w:sz="2" w:space="0" w:color="000000"/>
              <w:end w:val="single" w:sz="2" w:space="0" w:color="000000"/>
            </w:tcBorders>
            <w:shd w:val="clear" w:color="auto" w:fill="auto"/>
          </w:tcPr>
          <w:p>
            <w:pPr>
              <w:pStyle w:val="TableContents"/>
              <w:bidi w:val="0"/>
              <w:spacing w:before="0" w:after="0" w:line="240" w:lineRule="auto"/>
            </w:pPr>
            <w:r>
              <w:rPr>
                <w:sz w:val="14"/>
                <w:lang w:val="fr-CH"/>
              </w:rPr>
              <w:t>     </w:t>
            </w:r>
          </w:p>
        </w:tc>
      </w:tr>
    </w:tbl>
    <w:p>
      <w:pPr>
        <w:keepLines/>
        <w:widowControl w:val="0"/>
        <w:suppressAutoHyphens w:val="0"/>
        <w:bidi w:val="0"/>
        <w:spacing w:before="0" w:after="0" w:line="220" w:lineRule="exact"/>
        <w:jc w:val="both"/>
      </w:pPr>
    </w:p>
    <w:sectPr>
      <w:headerReference w:type="default" r:id="rId4"/>
      <w:footerReference w:type="default" r:id="rId5"/>
      <w:headerReference w:type="first" r:id="rId6"/>
      <w:footerReference w:type="first" r:id="rId7"/>
      <w:pgSz w:w="8391" w:h="11906"/>
      <w:pgMar w:top="1134" w:right="1077" w:bottom="1049" w:left="1077" w:header="624" w:footer="567"/>
      <w:pgNumType w:fmt="decimal"/>
      <w:cols w:space="720"/>
      <w:titlePg/>
      <w:textDirection w:val="tb"/>
      <w:bidi w:val="0"/>
      <w:docGrid w:linePitch="245" w:charSpace="9215"/>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0000000000000000000"/>
    <w:family w:val="roman"/>
    <w:pitch w:val="variable"/>
    <w:sig w:usb0="00000000" w:usb1="00000000" w:usb2="00000000" w:usb3="00000000" w:csb0="00000000" w:csb1="00000000"/>
  </w:font>
  <w:font w:name="Symbol">
    <w:panose1 w:val="00000000000000000000"/>
    <w:family w:val="roman"/>
    <w:pitch w:val="variable"/>
    <w:sig w:usb0="00000000" w:usb1="00000000" w:usb2="00000000" w:usb3="00000000" w:csb0="00000000" w:csb1="00000000"/>
  </w:font>
  <w:font w:name="Arial">
    <w:panose1 w:val="00000000000000000000"/>
    <w:charset w:characterSet="iso-8859-1"/>
    <w:family w:val="swiss"/>
    <w:pitch w:val="variable"/>
    <w:sig w:usb0="00000000" w:usb1="00000000" w:usb2="00000000" w:usb3="00000000" w:csb0="00000000" w:csb1="00000000"/>
  </w:font>
  <w:font w:name="Liberation Serif">
    <w:altName w:val="Times New Roman"/>
    <w:panose1 w:val="00000000000000000000"/>
    <w:family w:val="roman"/>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end" w:pos="6236"/>
      </w:tabs>
      <w:bidi w:val="0"/>
      <w:spacing w:before="0" w:after="0"/>
      <w:ind w:start="0" w:end="0" w:firstLine="0"/>
      <w:jc w:val="center"/>
    </w:pPr>
    <w:r>
      <w:rPr>
        <w:position w:val="0"/>
        <w:sz w:val="18"/>
        <w:vertAlign w:val="baseline"/>
      </w:rPr>
      <w:fldChar w:fldCharType="begin"/>
    </w:r>
    <w:r>
      <w:rPr>
        <w:position w:val="0"/>
        <w:sz w:val="18"/>
        <w:vertAlign w:val="baseline"/>
      </w:rPr>
      <w:instrText xml:space="preserve"> PAGE </w:instrText>
    </w:r>
    <w:r>
      <w:rPr>
        <w:position w:val="0"/>
        <w:sz w:val="18"/>
        <w:vertAlign w:val="baseline"/>
      </w:rPr>
      <w:fldChar w:fldCharType="separate"/>
    </w:r>
    <w:r>
      <w:rPr>
        <w:position w:val="0"/>
        <w:sz w:val="18"/>
        <w:vertAlign w:val="baseline"/>
      </w:rPr>
      <w:t>22</w:t>
    </w:r>
    <w:r>
      <w:rPr>
        <w:position w:val="0"/>
        <w:sz w:val="18"/>
        <w:vertAlign w:val="baseli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end" w:pos="6236"/>
      </w:tabs>
      <w:bidi w:val="0"/>
      <w:spacing w:before="0" w:after="0"/>
      <w:ind w:start="0" w:end="0" w:firstLine="0"/>
      <w:jc w:val="center"/>
    </w:pPr>
    <w:r>
      <w:rPr>
        <w:position w:val="0"/>
        <w:sz w:val="18"/>
        <w:vertAlign w:val="baseline"/>
      </w:rPr>
      <w:fldChar w:fldCharType="begin"/>
    </w:r>
    <w:r>
      <w:rPr>
        <w:position w:val="0"/>
        <w:sz w:val="18"/>
        <w:vertAlign w:val="baseline"/>
      </w:rPr>
      <w:instrText xml:space="preserve"> PAGE </w:instrText>
    </w:r>
    <w:r>
      <w:rPr>
        <w:position w:val="0"/>
        <w:sz w:val="18"/>
        <w:vertAlign w:val="baseline"/>
      </w:rPr>
      <w:fldChar w:fldCharType="separate"/>
    </w:r>
    <w:r>
      <w:rPr>
        <w:position w:val="0"/>
        <w:sz w:val="18"/>
        <w:vertAlign w:val="baseline"/>
      </w:rPr>
      <w:t>1</w:t>
    </w:r>
    <w:r>
      <w:rPr>
        <w:position w:val="0"/>
        <w:sz w:val="18"/>
        <w:vertAlign w:val="baseli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000000"/>
        <w:left w:val="none" w:sz="0" w:space="0" w:color="000000"/>
        <w:bottom w:val="single" w:sz="4" w:space="0" w:color="000000"/>
        <w:right w:val="none" w:sz="0" w:space="0" w:color="000000"/>
      </w:pBdr>
      <w:tabs>
        <w:tab w:val="end" w:pos="6236"/>
      </w:tabs>
      <w:bidi w:val="0"/>
      <w:spacing w:before="0" w:after="0"/>
      <w:ind w:start="0" w:end="0" w:firstLine="0"/>
      <w:jc w:val="start"/>
    </w:pPr>
    <w:r>
      <w:rPr>
        <w:sz w:val="16"/>
      </w:rPr>
      <w:t xml:space="preserve">Ecole de commerce à plein temps – R </w:t>
      <w:tab/>
      <w:t xml:space="preserve"> </w:t>
    </w:r>
    <w:r>
      <w:rPr>
        <w:b/>
        <w:sz w:val="24"/>
      </w:rPr>
      <w:t>412.3.11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end" w:pos="6236"/>
      </w:tabs>
      <w:bidi w:val="0"/>
      <w:spacing w:before="0" w:after="0"/>
      <w:ind w:start="0" w:end="0" w:firstLine="0"/>
      <w:jc w:val="start"/>
    </w:pPr>
    <w:r>
      <w:tab/>
      <w:t xml:space="preserve"> </w:t>
    </w:r>
    <w:r>
      <w:rPr>
        <w:b/>
        <w:sz w:val="24"/>
      </w:rPr>
      <w:t>412.3.11</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mirrorMargins/>
  <w:stylePaneFormatFilter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revisionView w:comments="1" w:formatting="0" w:inkAnnotations="1" w:insDel="0" w:markup="1"/>
  <w:defaultTabStop w:val="709"/>
  <w:defaultTableStyle w:val="Normal"/>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widowControl w:val="0"/>
      <w:tabs>
        <w:tab w:val="end" w:pos="6236"/>
      </w:tabs>
      <w:suppressAutoHyphens w:val="0"/>
      <w:kinsoku/>
      <w:overflowPunct/>
      <w:autoSpaceDE/>
      <w:bidi w:val="0"/>
      <w:spacing w:before="0" w:after="80" w:line="220" w:lineRule="exact"/>
      <w:jc w:val="both"/>
    </w:pPr>
    <w:rPr>
      <w:rFonts w:ascii="Times New Roman" w:hAnsi="Times New Roman"/>
      <w:color w:val="auto"/>
      <w:sz w:val="20"/>
      <w:lang w:val="fr-CH" w:eastAsia="zh-CN" w:bidi="hi-IN"/>
    </w:rPr>
  </w:style>
  <w:style w:type="character" w:default="1" w:styleId="DefaultParagraphFont">
    <w:name w:val="Default Paragraph Font"/>
    <w:semiHidden/>
  </w:style>
  <w:style w:type="table" w:default="1" w:styleId="TableNormal">
    <w:name w:val="Normal Table"/>
    <w:uiPriority w:val="99"/>
    <w:semiHidden/>
    <w:unhideWhenUsed/>
    <w:qFormat/>
    <w:tblPr>
      <w:tblInd w:w="0pt" w:type="dxa"/>
      <w:tblCellMar>
        <w:top w:w="0pt" w:type="dxa"/>
        <w:start w:w="5.4pt" w:type="dxa"/>
        <w:bottom w:w="0pt" w:type="dxa"/>
        <w:end w:w="5.4pt" w:type="dxa"/>
      </w:tblCellMar>
    </w:tblPr>
  </w:style>
  <w:style w:type="character" w:customStyle="1" w:styleId="Absatz-Standardschriftart">
    <w:name w:val="Absatz-Standardschriftart"/>
  </w:style>
  <w:style w:type="character" w:styleId="FootnoteReference">
    <w:name w:val="footnote reference"/>
    <w:rPr>
      <w:b w:val="0"/>
      <w:shd w:val="clear" w:color="auto" w:fill="auto"/>
      <w:vertAlign w:val="superscript"/>
    </w:rPr>
  </w:style>
  <w:style w:type="character" w:customStyle="1" w:styleId="FootnoteCharacters">
    <w:name w:val="Footnote Characters"/>
    <w:rPr>
      <w:rFonts w:ascii="Times New Roman" w:hAnsi="Times New Roman"/>
      <w:vertAlign w:val="superscript"/>
    </w:rPr>
  </w:style>
  <w:style w:type="paragraph" w:customStyle="1" w:styleId="StandardvorAufzhlung">
    <w:name w:val="Standard vor Aufzählung"/>
    <w:basedOn w:val="Normal"/>
    <w:pPr>
      <w:keepNext/>
    </w:pPr>
  </w:style>
  <w:style w:type="paragraph" w:customStyle="1" w:styleId="StandardnachAufzhlung">
    <w:name w:val="Standard nach Aufzählung"/>
    <w:basedOn w:val="Normal"/>
  </w:style>
  <w:style w:type="paragraph" w:customStyle="1" w:styleId="StandardvorTabelle">
    <w:name w:val="Standard vor Tabelle"/>
    <w:basedOn w:val="Normal"/>
  </w:style>
  <w:style w:type="paragraph" w:customStyle="1" w:styleId="StandardvorBild">
    <w:name w:val="Standard vor Bild"/>
    <w:basedOn w:val="Normal"/>
    <w:pPr>
      <w:keepNext/>
    </w:pPr>
  </w:style>
  <w:style w:type="paragraph" w:customStyle="1" w:styleId="StandardBild">
    <w:name w:val="Standard Bild"/>
    <w:basedOn w:val="Normal"/>
    <w:pPr>
      <w:spacing w:line="240" w:lineRule="auto"/>
      <w:jc w:val="center"/>
    </w:pPr>
  </w:style>
  <w:style w:type="paragraph" w:customStyle="1" w:styleId="HeaderandFooter">
    <w:name w:val="Header and Footer"/>
    <w:basedOn w:val="Normal"/>
    <w:pPr>
      <w:suppressLineNumbers/>
      <w:tabs>
        <w:tab w:val="center" w:pos="4986"/>
        <w:tab w:val="clear" w:pos="6236"/>
        <w:tab w:val="end" w:pos="9972"/>
      </w:tabs>
    </w:pPr>
  </w:style>
  <w:style w:type="paragraph" w:styleId="Header">
    <w:name w:val="header"/>
    <w:pPr>
      <w:widowControl w:val="0"/>
      <w:suppressAutoHyphens/>
      <w:kinsoku/>
      <w:overflowPunct/>
      <w:autoSpaceDE/>
      <w:bidi w:val="0"/>
    </w:pPr>
    <w:rPr>
      <w:rFonts w:ascii="Times New Roman" w:hAnsi="Times New Roman"/>
      <w:color w:val="auto"/>
      <w:sz w:val="18"/>
      <w:lang w:val="fr-CH" w:eastAsia="zh-CN" w:bidi="hi-IN"/>
    </w:rPr>
  </w:style>
  <w:style w:type="paragraph" w:styleId="Footer">
    <w:name w:val="footer"/>
    <w:basedOn w:val="Header"/>
  </w:style>
  <w:style w:type="paragraph" w:customStyle="1" w:styleId="Erlasstitel">
    <w:name w:val="Erlasstitel"/>
    <w:basedOn w:val="Normal"/>
    <w:next w:val="Datum"/>
    <w:pPr>
      <w:keepNext/>
      <w:keepLines/>
      <w:suppressAutoHyphens/>
      <w:spacing w:before="0" w:after="240" w:line="240" w:lineRule="atLeast"/>
      <w:jc w:val="start"/>
      <w:textAlignment w:val="top"/>
    </w:pPr>
    <w:rPr>
      <w:b/>
      <w:sz w:val="24"/>
    </w:rPr>
  </w:style>
  <w:style w:type="paragraph" w:customStyle="1" w:styleId="TitelArbeitsversion">
    <w:name w:val="Titel Arbeitsversion"/>
    <w:basedOn w:val="Erlasstitel"/>
    <w:next w:val="Datum"/>
    <w:pPr>
      <w:keepNext w:val="0"/>
      <w:keepLines w:val="0"/>
      <w:suppressAutoHyphens/>
      <w:spacing w:before="0" w:after="480"/>
      <w:jc w:val="start"/>
    </w:pPr>
    <w:rPr>
      <w:b w:val="0"/>
      <w:i/>
      <w:sz w:val="22"/>
    </w:rPr>
  </w:style>
  <w:style w:type="paragraph" w:customStyle="1" w:styleId="Datum">
    <w:name w:val="Datum"/>
    <w:basedOn w:val="Normal"/>
    <w:next w:val="Autor"/>
    <w:pPr>
      <w:keepNext w:val="0"/>
      <w:keepLines/>
      <w:pBdr>
        <w:top w:val="none" w:sz="0" w:space="0" w:color="000000"/>
        <w:left w:val="none" w:sz="0" w:space="0" w:color="000000"/>
        <w:bottom w:val="single" w:sz="6" w:space="12" w:color="000000"/>
        <w:right w:val="none" w:sz="0" w:space="0" w:color="000000"/>
      </w:pBdr>
      <w:spacing w:before="0" w:after="80" w:line="240" w:lineRule="atLeast"/>
      <w:ind w:start="0" w:end="0" w:firstLine="0"/>
      <w:jc w:val="start"/>
    </w:pPr>
    <w:rPr>
      <w:i/>
      <w:sz w:val="20"/>
    </w:rPr>
  </w:style>
  <w:style w:type="paragraph" w:customStyle="1" w:styleId="Autor">
    <w:name w:val="Autor"/>
    <w:basedOn w:val="Normal"/>
    <w:next w:val="Grundlage"/>
    <w:pPr>
      <w:keepNext w:val="0"/>
      <w:keepLines/>
      <w:spacing w:before="360" w:after="240" w:line="240" w:lineRule="exact"/>
    </w:pPr>
    <w:rPr>
      <w:i/>
      <w:sz w:val="24"/>
    </w:rPr>
  </w:style>
  <w:style w:type="paragraph" w:customStyle="1" w:styleId="Grundlage">
    <w:name w:val="Grundlage"/>
    <w:basedOn w:val="Normal"/>
    <w:next w:val="Aktion"/>
    <w:pPr>
      <w:keepNext w:val="0"/>
      <w:keepLines w:val="0"/>
      <w:spacing w:before="0" w:after="80" w:line="220" w:lineRule="exact"/>
    </w:pPr>
  </w:style>
  <w:style w:type="paragraph" w:customStyle="1" w:styleId="Aktion">
    <w:name w:val="Aktion"/>
    <w:basedOn w:val="Autor"/>
    <w:next w:val="Normal"/>
    <w:pPr>
      <w:keepNext w:val="0"/>
      <w:spacing w:before="280" w:after="120" w:line="240" w:lineRule="exact"/>
    </w:pPr>
    <w:rPr>
      <w:i/>
      <w:sz w:val="24"/>
    </w:rPr>
  </w:style>
  <w:style w:type="paragraph" w:customStyle="1" w:styleId="Schluss">
    <w:name w:val="Schluss"/>
    <w:basedOn w:val="Normal"/>
    <w:pPr>
      <w:tabs>
        <w:tab w:val="start" w:pos="6124"/>
        <w:tab w:val="clear" w:pos="6236"/>
      </w:tabs>
      <w:spacing w:before="480" w:after="40"/>
      <w:ind w:start="3062" w:end="0" w:hanging="3062"/>
      <w:jc w:val="start"/>
    </w:pPr>
  </w:style>
  <w:style w:type="paragraph" w:customStyle="1" w:styleId="TitelnderungstabelleDatum">
    <w:name w:val="Titel Änderungstabelle (Datum)"/>
    <w:basedOn w:val="Normal"/>
    <w:next w:val="Artikel"/>
    <w:pPr>
      <w:keepNext/>
      <w:keepLines/>
      <w:pageBreakBefore/>
      <w:suppressAutoHyphens/>
      <w:spacing w:before="0" w:after="180"/>
      <w:jc w:val="start"/>
    </w:pPr>
    <w:rPr>
      <w:b/>
      <w:sz w:val="16"/>
    </w:rPr>
  </w:style>
  <w:style w:type="paragraph" w:customStyle="1" w:styleId="TitelnderungstabelleElement">
    <w:name w:val="Titel Änderungstabelle (Element)"/>
    <w:basedOn w:val="Normal"/>
    <w:next w:val="Artikel"/>
    <w:pPr>
      <w:keepNext/>
      <w:keepLines/>
      <w:suppressAutoHyphens/>
      <w:spacing w:before="720" w:after="180"/>
      <w:jc w:val="start"/>
    </w:pPr>
    <w:rPr>
      <w:b/>
      <w:sz w:val="16"/>
    </w:rPr>
  </w:style>
  <w:style w:type="paragraph" w:customStyle="1" w:styleId="TitelAnnex">
    <w:name w:val="Titel Annex"/>
    <w:basedOn w:val="TitelnderungstabelleDatum"/>
    <w:pPr>
      <w:pageBreakBefore w:val="0"/>
      <w:spacing w:before="480" w:after="180"/>
    </w:pPr>
    <w:rPr>
      <w:sz w:val="20"/>
    </w:rPr>
  </w:style>
  <w:style w:type="paragraph" w:customStyle="1" w:styleId="TitelStufe1">
    <w:name w:val="Titel Stufe 1"/>
    <w:basedOn w:val="Normal"/>
    <w:next w:val="Artikel"/>
    <w:pPr>
      <w:keepNext/>
      <w:keepLines/>
      <w:numPr>
        <w:ilvl w:val="0"/>
        <w:numId w:val="0"/>
      </w:numPr>
      <w:suppressAutoHyphens/>
      <w:spacing w:before="240" w:after="60" w:line="240" w:lineRule="auto"/>
      <w:ind w:start="312" w:end="0" w:hanging="312"/>
      <w:jc w:val="start"/>
    </w:pPr>
    <w:rPr>
      <w:b/>
      <w:sz w:val="20"/>
    </w:rPr>
  </w:style>
  <w:style w:type="paragraph" w:customStyle="1" w:styleId="TitelStufe2">
    <w:name w:val="Titel Stufe 2"/>
    <w:basedOn w:val="TitelStufe1"/>
    <w:next w:val="Artikel"/>
    <w:pPr>
      <w:keepNext/>
      <w:keepLines/>
      <w:suppressAutoHyphens/>
      <w:spacing w:before="240" w:after="60" w:line="240" w:lineRule="auto"/>
      <w:ind w:start="482" w:end="0" w:hanging="482"/>
      <w:jc w:val="start"/>
    </w:pPr>
    <w:rPr>
      <w:b/>
      <w:i w:val="0"/>
      <w:sz w:val="20"/>
    </w:rPr>
  </w:style>
  <w:style w:type="paragraph" w:customStyle="1" w:styleId="TitelStufe3">
    <w:name w:val="Titel Stufe 3"/>
    <w:basedOn w:val="TitelStufe2"/>
    <w:next w:val="Artikel"/>
    <w:pPr>
      <w:ind w:start="567" w:end="0" w:hanging="567"/>
    </w:pPr>
    <w:rPr>
      <w:b w:val="0"/>
      <w:i/>
      <w:sz w:val="20"/>
    </w:rPr>
  </w:style>
  <w:style w:type="paragraph" w:customStyle="1" w:styleId="TitelStufe4">
    <w:name w:val="Titel Stufe 4"/>
    <w:basedOn w:val="TitelStufe3"/>
    <w:next w:val="Artikel"/>
    <w:pPr>
      <w:ind w:start="765" w:end="0" w:hanging="765"/>
    </w:pPr>
    <w:rPr>
      <w:i w:val="0"/>
    </w:rPr>
  </w:style>
  <w:style w:type="paragraph" w:customStyle="1" w:styleId="TitelStufe5">
    <w:name w:val="Titel Stufe 5"/>
    <w:basedOn w:val="TitelStufe4"/>
    <w:next w:val="Artikel"/>
    <w:pPr>
      <w:ind w:start="992" w:end="0" w:hanging="992"/>
    </w:pPr>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BodyText">
    <w:name w:val="Body Text"/>
    <w:basedOn w:val="Normal"/>
    <w:pPr>
      <w:spacing w:before="0" w:after="140" w:line="276" w:lineRule="auto"/>
    </w:pPr>
  </w:style>
  <w:style w:type="paragraph" w:styleId="CommentText">
    <w:name w:val="annotation text"/>
    <w:basedOn w:val="Normal"/>
    <w:pPr>
      <w:keepNext/>
      <w:keepLines/>
      <w:suppressAutoHyphens w:val="0"/>
      <w:spacing w:line="144" w:lineRule="exact"/>
      <w:jc w:val="start"/>
    </w:pPr>
    <w:rPr>
      <w:sz w:val="14"/>
    </w:rPr>
  </w:style>
  <w:style w:type="paragraph" w:customStyle="1" w:styleId="Artikel">
    <w:name w:val="Artikel"/>
    <w:basedOn w:val="Normal"/>
    <w:next w:val="Normal"/>
    <w:pPr>
      <w:keepNext/>
      <w:keepLines/>
      <w:numPr>
        <w:ilvl w:val="0"/>
        <w:numId w:val="0"/>
      </w:numPr>
      <w:tabs>
        <w:tab w:val="start" w:pos="1275"/>
        <w:tab w:val="start" w:pos="1559"/>
        <w:tab w:val="start" w:pos="1842"/>
        <w:tab w:val="start" w:pos="2126"/>
        <w:tab w:val="start" w:pos="2409"/>
        <w:tab w:val="start" w:pos="2693"/>
        <w:tab w:val="clear" w:pos="6236"/>
      </w:tabs>
      <w:spacing w:before="160" w:after="80" w:line="220" w:lineRule="exact"/>
      <w:ind w:start="992" w:end="0" w:hanging="992"/>
      <w:jc w:val="start"/>
    </w:pPr>
    <w:rPr>
      <w:b w:val="0"/>
      <w:sz w:val="20"/>
    </w:rPr>
  </w:style>
  <w:style w:type="paragraph" w:customStyle="1" w:styleId="Artikelaufgehoben">
    <w:name w:val="Artikel (aufgehoben)"/>
    <w:basedOn w:val="Artikel"/>
    <w:pPr>
      <w:keepNext w:val="0"/>
    </w:pPr>
  </w:style>
  <w:style w:type="paragraph" w:customStyle="1" w:styleId="TableContents">
    <w:name w:val="Table Contents"/>
    <w:basedOn w:val="Normal"/>
    <w:pPr>
      <w:suppressLineNumbers/>
      <w:jc w:val="start"/>
    </w:pPr>
  </w:style>
  <w:style w:type="paragraph" w:customStyle="1" w:styleId="TableHeading">
    <w:name w:val="Table Heading"/>
    <w:basedOn w:val="TableContents"/>
    <w:pPr>
      <w:suppressLineNumbers/>
      <w:jc w:val="center"/>
    </w:pPr>
    <w:rPr>
      <w:b/>
      <w:bCs/>
    </w:rPr>
  </w:style>
  <w:style w:type="paragraph" w:customStyle="1" w:styleId="AnnexListe">
    <w:name w:val="Annex Liste"/>
    <w:basedOn w:val="Normal"/>
    <w:pPr>
      <w:tabs>
        <w:tab w:val="clear" w:pos="6236"/>
      </w:tabs>
      <w:spacing w:before="0" w:after="80" w:line="220" w:lineRule="exact"/>
      <w:ind w:start="1134" w:end="0" w:hanging="1134"/>
    </w:pPr>
  </w:style>
  <w:style w:type="paragraph" w:customStyle="1" w:styleId="Liste1">
    <w:name w:val="Liste 1"/>
    <w:basedOn w:val="Normal"/>
    <w:pPr>
      <w:tabs>
        <w:tab w:val="start" w:pos="511"/>
        <w:tab w:val="start" w:pos="567"/>
        <w:tab w:val="clear" w:pos="6236"/>
      </w:tabs>
      <w:spacing w:before="0" w:after="80" w:line="220" w:lineRule="exact"/>
      <w:ind w:start="454" w:end="0" w:hanging="454"/>
      <w:jc w:val="both"/>
    </w:pPr>
  </w:style>
  <w:style w:type="paragraph" w:customStyle="1" w:styleId="Liste1mitaufeinanderfolgendenAufhebungen">
    <w:name w:val="Liste 1 mit aufeinanderfolgenden Aufhebungen"/>
    <w:basedOn w:val="Liste1"/>
    <w:pPr>
      <w:tabs>
        <w:tab w:val="clear" w:pos="511"/>
        <w:tab w:val="clear" w:pos="567"/>
      </w:tabs>
    </w:pPr>
  </w:style>
  <w:style w:type="paragraph" w:customStyle="1" w:styleId="Liste1mitUnterelementen">
    <w:name w:val="Liste 1 mit Unterelementen"/>
    <w:basedOn w:val="Liste1"/>
    <w:pPr>
      <w:keepNext/>
    </w:pPr>
  </w:style>
  <w:style w:type="paragraph" w:customStyle="1" w:styleId="Liste2">
    <w:name w:val="Liste 2"/>
    <w:basedOn w:val="Liste1"/>
    <w:pPr>
      <w:tabs>
        <w:tab w:val="clear" w:pos="511"/>
        <w:tab w:val="clear" w:pos="567"/>
        <w:tab w:val="start" w:pos="964"/>
        <w:tab w:val="start" w:pos="1020"/>
        <w:tab w:val="end" w:pos="6236"/>
      </w:tabs>
      <w:ind w:start="907" w:end="0" w:hanging="454"/>
    </w:pPr>
  </w:style>
  <w:style w:type="paragraph" w:customStyle="1" w:styleId="Liste2mitaufeinanderfolgendenAufhebungen">
    <w:name w:val="Liste 2 mit aufeinanderfolgenden Aufhebungen"/>
    <w:basedOn w:val="Liste2"/>
    <w:pPr>
      <w:tabs>
        <w:tab w:val="clear" w:pos="964"/>
        <w:tab w:val="clear" w:pos="1020"/>
        <w:tab w:val="clear" w:pos="6236"/>
      </w:tabs>
    </w:pPr>
  </w:style>
  <w:style w:type="paragraph" w:customStyle="1" w:styleId="Liste3">
    <w:name w:val="Liste 3"/>
    <w:basedOn w:val="Liste2"/>
    <w:pPr>
      <w:tabs>
        <w:tab w:val="clear" w:pos="964"/>
        <w:tab w:val="clear" w:pos="1020"/>
        <w:tab w:val="start" w:pos="1418"/>
        <w:tab w:val="start" w:pos="1474"/>
        <w:tab w:val="clear" w:pos="6236"/>
        <w:tab w:val="end" w:pos="6577"/>
      </w:tabs>
      <w:ind w:start="1361" w:end="0" w:hanging="907"/>
    </w:pPr>
  </w:style>
  <w:style w:type="paragraph" w:styleId="FootnoteText">
    <w:name w:val="footnote text"/>
    <w:basedOn w:val="Normal"/>
    <w:pPr>
      <w:keepLines/>
      <w:spacing w:before="0" w:after="0" w:line="188" w:lineRule="exact"/>
      <w:ind w:start="210" w:end="0" w:hanging="210"/>
    </w:pPr>
    <w:rPr>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purl.oclc.org/ooxml/officeDocument/relationships/settings" Target="setting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header" Target="header1.xml" /><Relationship Id="rId5" Type="http://purl.oclc.org/ooxml/officeDocument/relationships/footer" Target="footer1.xml" /><Relationship Id="rId6" Type="http://purl.oclc.org/ooxml/officeDocument/relationships/header" Target="header2.xml" /><Relationship Id="rId7" Type="http://purl.oclc.org/ooxml/officeDocument/relationships/footer" Target="footer2.xml" /><Relationship Id="rId8" Type="http://purl.oclc.org/ooxml/officeDocument/relationships/theme" Target="theme/theme1.xml" /><Relationship Id="rId9" Type="http://purl.oclc.org/ooxml/officeDocument/relationships/styles" Target="styles.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412.3.11 - Règlement sur l'école de commerce à plein temps (RECPT)</dc:title>
  <cp:revision>0</cp:revision>
  <dcterms:created xsi:type="dcterms:W3CDTF">2026-05-05T14:43:28Z</dcterms:created>
</cp:coreProperties>
</file>