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4A8B" w14:textId="19252299" w:rsidR="009E1AF4" w:rsidRPr="00FC7F16" w:rsidRDefault="009E1AF4" w:rsidP="00FC7F16">
      <w:pPr>
        <w:pStyle w:val="05titreprincipalouobjetgras"/>
        <w:tabs>
          <w:tab w:val="right" w:pos="9920"/>
        </w:tabs>
      </w:pPr>
      <w:r>
        <w:t>Rapport</w:t>
      </w:r>
      <w:r w:rsidR="008C064E">
        <w:t xml:space="preserve"> </w:t>
      </w:r>
      <w:r w:rsidR="008705EE">
        <w:t>2026</w:t>
      </w:r>
      <w:r w:rsidR="005312D0">
        <w:t>-</w:t>
      </w:r>
      <w:r w:rsidR="005312D0" w:rsidRPr="008705EE">
        <w:t>DFIN-</w:t>
      </w:r>
      <w:r w:rsidR="00711643">
        <w:t>11</w:t>
      </w:r>
      <w:r w:rsidRPr="00FC7F16">
        <w:tab/>
      </w:r>
      <w:r w:rsidR="00823A4A" w:rsidRPr="008705EE">
        <w:rPr>
          <w:b w:val="0"/>
          <w:bCs/>
          <w:sz w:val="24"/>
          <w:highlight w:val="yellow"/>
        </w:rPr>
        <w:t>XX</w:t>
      </w:r>
      <w:r w:rsidR="004A2A78" w:rsidRPr="008705EE">
        <w:rPr>
          <w:b w:val="0"/>
          <w:bCs/>
          <w:sz w:val="24"/>
          <w:highlight w:val="yellow"/>
        </w:rPr>
        <w:t xml:space="preserve"> </w:t>
      </w:r>
      <w:r w:rsidR="00364782" w:rsidRPr="00364782">
        <w:rPr>
          <w:b w:val="0"/>
          <w:bCs/>
          <w:sz w:val="24"/>
          <w:highlight w:val="yellow"/>
        </w:rPr>
        <w:t>mai</w:t>
      </w:r>
      <w:r w:rsidRPr="004F57AA">
        <w:rPr>
          <w:b w:val="0"/>
          <w:bCs/>
          <w:sz w:val="24"/>
        </w:rPr>
        <w:t xml:space="preserve"> </w:t>
      </w:r>
      <w:r w:rsidR="008705EE">
        <w:rPr>
          <w:b w:val="0"/>
          <w:bCs/>
          <w:sz w:val="24"/>
        </w:rPr>
        <w:t>2026</w:t>
      </w:r>
    </w:p>
    <w:p w14:paraId="0655566B" w14:textId="77777777" w:rsidR="009E1AF4" w:rsidRPr="000000BC" w:rsidRDefault="009E1AF4" w:rsidP="000000BC">
      <w:pPr>
        <w:pStyle w:val="05titreprincipalouobjetgras"/>
      </w:pPr>
      <w:r w:rsidRPr="008A20EE">
        <w:t>—</w:t>
      </w:r>
    </w:p>
    <w:p w14:paraId="12E108E3" w14:textId="56E1B168" w:rsidR="009E1AF4" w:rsidRDefault="00377E0F" w:rsidP="00461369">
      <w:pPr>
        <w:pStyle w:val="04titreprincipalouobjetnormal"/>
      </w:pPr>
      <w:r>
        <w:rPr>
          <w:rFonts w:cs="Arial"/>
        </w:rPr>
        <w:t>Compensation des effets de la progression à froid</w:t>
      </w:r>
    </w:p>
    <w:p w14:paraId="6955B1AC" w14:textId="63AA1C57" w:rsidR="00377E0F" w:rsidRPr="00377E0F" w:rsidRDefault="00364782" w:rsidP="00377E0F">
      <w:pPr>
        <w:pStyle w:val="04titreprincipalouobjetnormal"/>
        <w:spacing w:after="120"/>
        <w:rPr>
          <w:rFonts w:asciiTheme="minorHAnsi" w:eastAsiaTheme="minorHAnsi" w:hAnsiTheme="minorHAnsi" w:cstheme="minorBidi"/>
          <w:i/>
          <w:iCs/>
          <w:sz w:val="21"/>
          <w:szCs w:val="21"/>
          <w:lang w:val="fr-CH" w:eastAsia="en-US"/>
        </w:rPr>
      </w:pPr>
      <w:r w:rsidRPr="00364782">
        <w:rPr>
          <w:rFonts w:asciiTheme="minorHAnsi" w:eastAsiaTheme="minorHAnsi" w:hAnsiTheme="minorHAnsi" w:cstheme="minorBidi"/>
          <w:i/>
          <w:iCs/>
          <w:sz w:val="21"/>
          <w:szCs w:val="21"/>
          <w:lang w:val="fr-CH" w:eastAsia="en-US"/>
        </w:rPr>
        <w:t>Nous vous soumettons en consultation un avant-projet de loi modifiant la loi du 6 juin 2000 sur les impôts cantonaux directs (LICD – RSF 631.1)</w:t>
      </w:r>
      <w:r>
        <w:rPr>
          <w:rFonts w:asciiTheme="minorHAnsi" w:eastAsiaTheme="minorHAnsi" w:hAnsiTheme="minorHAnsi" w:cstheme="minorBidi"/>
          <w:i/>
          <w:iCs/>
          <w:sz w:val="21"/>
          <w:szCs w:val="21"/>
          <w:lang w:val="fr-CH" w:eastAsia="en-US"/>
        </w:rPr>
        <w:t xml:space="preserve"> dans le cadre de</w:t>
      </w:r>
      <w:r w:rsidR="00377E0F" w:rsidRPr="00377E0F">
        <w:rPr>
          <w:rFonts w:asciiTheme="minorHAnsi" w:eastAsiaTheme="minorHAnsi" w:hAnsiTheme="minorHAnsi" w:cstheme="minorBidi"/>
          <w:i/>
          <w:iCs/>
          <w:sz w:val="21"/>
          <w:szCs w:val="21"/>
          <w:lang w:val="fr-CH" w:eastAsia="en-US"/>
        </w:rPr>
        <w:t xml:space="preserve"> la compensation des effets de la progression à froid.</w:t>
      </w:r>
    </w:p>
    <w:p w14:paraId="65BC5068" w14:textId="3687120E" w:rsidR="00377E0F" w:rsidRPr="00377E0F" w:rsidRDefault="00377E0F" w:rsidP="00377E0F">
      <w:pPr>
        <w:pStyle w:val="04titreprincipalouobjetnormal"/>
        <w:spacing w:after="120"/>
        <w:rPr>
          <w:rFonts w:asciiTheme="minorHAnsi" w:eastAsiaTheme="minorHAnsi" w:hAnsiTheme="minorHAnsi" w:cstheme="minorBidi"/>
          <w:i/>
          <w:iCs/>
          <w:sz w:val="21"/>
          <w:szCs w:val="21"/>
          <w:lang w:val="fr-CH" w:eastAsia="en-US"/>
        </w:rPr>
      </w:pPr>
      <w:r w:rsidRPr="00377E0F">
        <w:rPr>
          <w:rFonts w:asciiTheme="minorHAnsi" w:eastAsiaTheme="minorHAnsi" w:hAnsiTheme="minorHAnsi" w:cstheme="minorBidi"/>
          <w:i/>
          <w:iCs/>
          <w:sz w:val="21"/>
          <w:szCs w:val="21"/>
          <w:lang w:val="fr-CH" w:eastAsia="en-US"/>
        </w:rPr>
        <w:t>Conformément aux articles 40 al. 1 et 62a al. 1 de la loi du 6 juin 2000 sur les impôts cantonaux directs (LICD</w:t>
      </w:r>
      <w:r>
        <w:rPr>
          <w:rFonts w:asciiTheme="minorHAnsi" w:eastAsiaTheme="minorHAnsi" w:hAnsiTheme="minorHAnsi" w:cstheme="minorBidi"/>
          <w:i/>
          <w:iCs/>
          <w:sz w:val="21"/>
          <w:szCs w:val="21"/>
          <w:lang w:val="fr-CH" w:eastAsia="en-US"/>
        </w:rPr>
        <w:t xml:space="preserve"> – </w:t>
      </w:r>
      <w:r w:rsidRPr="00377E0F">
        <w:rPr>
          <w:rFonts w:asciiTheme="minorHAnsi" w:eastAsiaTheme="minorHAnsi" w:hAnsiTheme="minorHAnsi" w:cstheme="minorBidi"/>
          <w:i/>
          <w:iCs/>
          <w:sz w:val="21"/>
          <w:szCs w:val="21"/>
          <w:lang w:val="fr-CH" w:eastAsia="en-US"/>
        </w:rPr>
        <w:t>RSF 631.1), les effets de la progression à froid sur l’impôt frappant le revenu et la fortune des personnes physiques doivent être compensés périodiquement, mais au moins tous les trois ans, totalement ou partiellement, par une adaptation du barème et des déductions sociales.</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5810108A" w14:textId="3C716855" w:rsidR="009E1AF4" w:rsidRDefault="009E1AF4" w:rsidP="00377E0F">
          <w:pPr>
            <w:pStyle w:val="En-ttedetabledesmatires"/>
            <w:spacing w:before="360"/>
          </w:pPr>
          <w:r>
            <w:t>Table des matières</w:t>
          </w:r>
        </w:p>
        <w:p w14:paraId="7B576EAC" w14:textId="77777777" w:rsidR="009E1AF4" w:rsidRPr="00EA2538" w:rsidRDefault="009E1AF4" w:rsidP="00FD0818">
          <w:pPr>
            <w:pStyle w:val="Tiret"/>
          </w:pPr>
          <w:r>
            <w:t>—</w:t>
          </w:r>
        </w:p>
        <w:p w14:paraId="69D60EE8" w14:textId="55DED922" w:rsidR="00364782" w:rsidRDefault="009E1AF4">
          <w:pPr>
            <w:pStyle w:val="TM1"/>
            <w:rPr>
              <w:rFonts w:asciiTheme="minorHAnsi" w:eastAsiaTheme="minorEastAsia" w:hAnsiTheme="minorHAnsi"/>
              <w:b w:val="0"/>
              <w:kern w:val="2"/>
              <w:sz w:val="24"/>
              <w:szCs w:val="24"/>
              <w:lang w:eastAsia="fr-CH"/>
              <w14:ligatures w14:val="standardContextual"/>
            </w:rPr>
          </w:pPr>
          <w:r>
            <w:rPr>
              <w:color w:val="009581" w:themeColor="accent3"/>
            </w:rPr>
            <w:fldChar w:fldCharType="begin"/>
          </w:r>
          <w:r>
            <w:instrText xml:space="preserve"> TOC \o "1-3" \h \z \u </w:instrText>
          </w:r>
          <w:r>
            <w:rPr>
              <w:color w:val="009581" w:themeColor="accent3"/>
            </w:rPr>
            <w:fldChar w:fldCharType="separate"/>
          </w:r>
          <w:hyperlink w:anchor="_Toc228197480" w:history="1">
            <w:r w:rsidR="00364782" w:rsidRPr="00E825C2">
              <w:rPr>
                <w:rStyle w:val="Lienhypertexte"/>
              </w:rPr>
              <w:t>1</w:t>
            </w:r>
            <w:r w:rsidR="00364782">
              <w:rPr>
                <w:rFonts w:asciiTheme="minorHAnsi" w:eastAsiaTheme="minorEastAsia" w:hAnsiTheme="minorHAnsi"/>
                <w:b w:val="0"/>
                <w:kern w:val="2"/>
                <w:sz w:val="24"/>
                <w:szCs w:val="24"/>
                <w:lang w:eastAsia="fr-CH"/>
                <w14:ligatures w14:val="standardContextual"/>
              </w:rPr>
              <w:tab/>
            </w:r>
            <w:r w:rsidR="00364782" w:rsidRPr="00E825C2">
              <w:rPr>
                <w:rStyle w:val="Lienhypertexte"/>
              </w:rPr>
              <w:t>Règles sur la progression à froid</w:t>
            </w:r>
            <w:r w:rsidR="00364782">
              <w:rPr>
                <w:webHidden/>
              </w:rPr>
              <w:tab/>
            </w:r>
            <w:r w:rsidR="00364782">
              <w:rPr>
                <w:webHidden/>
              </w:rPr>
              <w:fldChar w:fldCharType="begin"/>
            </w:r>
            <w:r w:rsidR="00364782">
              <w:rPr>
                <w:webHidden/>
              </w:rPr>
              <w:instrText xml:space="preserve"> PAGEREF _Toc228197480 \h </w:instrText>
            </w:r>
            <w:r w:rsidR="00364782">
              <w:rPr>
                <w:webHidden/>
              </w:rPr>
            </w:r>
            <w:r w:rsidR="00364782">
              <w:rPr>
                <w:webHidden/>
              </w:rPr>
              <w:fldChar w:fldCharType="separate"/>
            </w:r>
            <w:r w:rsidR="00364782">
              <w:rPr>
                <w:webHidden/>
              </w:rPr>
              <w:t>2</w:t>
            </w:r>
            <w:r w:rsidR="00364782">
              <w:rPr>
                <w:webHidden/>
              </w:rPr>
              <w:fldChar w:fldCharType="end"/>
            </w:r>
          </w:hyperlink>
        </w:p>
        <w:p w14:paraId="5406D5C3" w14:textId="7613D90D" w:rsidR="00364782" w:rsidRDefault="00364782">
          <w:pPr>
            <w:pStyle w:val="TM1"/>
            <w:rPr>
              <w:rFonts w:asciiTheme="minorHAnsi" w:eastAsiaTheme="minorEastAsia" w:hAnsiTheme="minorHAnsi"/>
              <w:b w:val="0"/>
              <w:kern w:val="2"/>
              <w:sz w:val="24"/>
              <w:szCs w:val="24"/>
              <w:lang w:eastAsia="fr-CH"/>
              <w14:ligatures w14:val="standardContextual"/>
            </w:rPr>
          </w:pPr>
          <w:hyperlink w:anchor="_Toc228197481" w:history="1">
            <w:r w:rsidRPr="00E825C2">
              <w:rPr>
                <w:rStyle w:val="Lienhypertexte"/>
              </w:rPr>
              <w:t>2</w:t>
            </w:r>
            <w:r>
              <w:rPr>
                <w:rFonts w:asciiTheme="minorHAnsi" w:eastAsiaTheme="minorEastAsia" w:hAnsiTheme="minorHAnsi"/>
                <w:b w:val="0"/>
                <w:kern w:val="2"/>
                <w:sz w:val="24"/>
                <w:szCs w:val="24"/>
                <w:lang w:eastAsia="fr-CH"/>
                <w14:ligatures w14:val="standardContextual"/>
              </w:rPr>
              <w:tab/>
            </w:r>
            <w:r w:rsidRPr="00E825C2">
              <w:rPr>
                <w:rStyle w:val="Lienhypertexte"/>
              </w:rPr>
              <w:t>Justification du rapport</w:t>
            </w:r>
            <w:r>
              <w:rPr>
                <w:webHidden/>
              </w:rPr>
              <w:tab/>
            </w:r>
            <w:r>
              <w:rPr>
                <w:webHidden/>
              </w:rPr>
              <w:fldChar w:fldCharType="begin"/>
            </w:r>
            <w:r>
              <w:rPr>
                <w:webHidden/>
              </w:rPr>
              <w:instrText xml:space="preserve"> PAGEREF _Toc228197481 \h </w:instrText>
            </w:r>
            <w:r>
              <w:rPr>
                <w:webHidden/>
              </w:rPr>
            </w:r>
            <w:r>
              <w:rPr>
                <w:webHidden/>
              </w:rPr>
              <w:fldChar w:fldCharType="separate"/>
            </w:r>
            <w:r>
              <w:rPr>
                <w:webHidden/>
              </w:rPr>
              <w:t>2</w:t>
            </w:r>
            <w:r>
              <w:rPr>
                <w:webHidden/>
              </w:rPr>
              <w:fldChar w:fldCharType="end"/>
            </w:r>
          </w:hyperlink>
        </w:p>
        <w:p w14:paraId="254380DE" w14:textId="6C90D29E" w:rsidR="00364782" w:rsidRDefault="00364782">
          <w:pPr>
            <w:pStyle w:val="TM1"/>
            <w:rPr>
              <w:rFonts w:asciiTheme="minorHAnsi" w:eastAsiaTheme="minorEastAsia" w:hAnsiTheme="minorHAnsi"/>
              <w:b w:val="0"/>
              <w:kern w:val="2"/>
              <w:sz w:val="24"/>
              <w:szCs w:val="24"/>
              <w:lang w:eastAsia="fr-CH"/>
              <w14:ligatures w14:val="standardContextual"/>
            </w:rPr>
          </w:pPr>
          <w:hyperlink w:anchor="_Toc228197482" w:history="1">
            <w:r w:rsidRPr="00E825C2">
              <w:rPr>
                <w:rStyle w:val="Lienhypertexte"/>
              </w:rPr>
              <w:t>3</w:t>
            </w:r>
            <w:r>
              <w:rPr>
                <w:rFonts w:asciiTheme="minorHAnsi" w:eastAsiaTheme="minorEastAsia" w:hAnsiTheme="minorHAnsi"/>
                <w:b w:val="0"/>
                <w:kern w:val="2"/>
                <w:sz w:val="24"/>
                <w:szCs w:val="24"/>
                <w:lang w:eastAsia="fr-CH"/>
                <w14:ligatures w14:val="standardContextual"/>
              </w:rPr>
              <w:tab/>
            </w:r>
            <w:r w:rsidRPr="00E825C2">
              <w:rPr>
                <w:rStyle w:val="Lienhypertexte"/>
              </w:rPr>
              <w:t>Déductions sociales après compensation des effets de la progression à froid</w:t>
            </w:r>
            <w:r>
              <w:rPr>
                <w:webHidden/>
              </w:rPr>
              <w:tab/>
            </w:r>
            <w:r>
              <w:rPr>
                <w:webHidden/>
              </w:rPr>
              <w:fldChar w:fldCharType="begin"/>
            </w:r>
            <w:r>
              <w:rPr>
                <w:webHidden/>
              </w:rPr>
              <w:instrText xml:space="preserve"> PAGEREF _Toc228197482 \h </w:instrText>
            </w:r>
            <w:r>
              <w:rPr>
                <w:webHidden/>
              </w:rPr>
            </w:r>
            <w:r>
              <w:rPr>
                <w:webHidden/>
              </w:rPr>
              <w:fldChar w:fldCharType="separate"/>
            </w:r>
            <w:r>
              <w:rPr>
                <w:webHidden/>
              </w:rPr>
              <w:t>3</w:t>
            </w:r>
            <w:r>
              <w:rPr>
                <w:webHidden/>
              </w:rPr>
              <w:fldChar w:fldCharType="end"/>
            </w:r>
          </w:hyperlink>
        </w:p>
        <w:p w14:paraId="29B39520" w14:textId="3C2F0B5F" w:rsidR="00364782" w:rsidRDefault="00364782">
          <w:pPr>
            <w:pStyle w:val="TM1"/>
            <w:rPr>
              <w:rFonts w:asciiTheme="minorHAnsi" w:eastAsiaTheme="minorEastAsia" w:hAnsiTheme="minorHAnsi"/>
              <w:b w:val="0"/>
              <w:kern w:val="2"/>
              <w:sz w:val="24"/>
              <w:szCs w:val="24"/>
              <w:lang w:eastAsia="fr-CH"/>
              <w14:ligatures w14:val="standardContextual"/>
            </w:rPr>
          </w:pPr>
          <w:hyperlink w:anchor="_Toc228197483" w:history="1">
            <w:r w:rsidRPr="00E825C2">
              <w:rPr>
                <w:rStyle w:val="Lienhypertexte"/>
              </w:rPr>
              <w:t>4</w:t>
            </w:r>
            <w:r>
              <w:rPr>
                <w:rFonts w:asciiTheme="minorHAnsi" w:eastAsiaTheme="minorEastAsia" w:hAnsiTheme="minorHAnsi"/>
                <w:b w:val="0"/>
                <w:kern w:val="2"/>
                <w:sz w:val="24"/>
                <w:szCs w:val="24"/>
                <w:lang w:eastAsia="fr-CH"/>
                <w14:ligatures w14:val="standardContextual"/>
              </w:rPr>
              <w:tab/>
            </w:r>
            <w:r w:rsidRPr="00E825C2">
              <w:rPr>
                <w:rStyle w:val="Lienhypertexte"/>
              </w:rPr>
              <w:t>Barèmes</w:t>
            </w:r>
            <w:r>
              <w:rPr>
                <w:webHidden/>
              </w:rPr>
              <w:tab/>
            </w:r>
            <w:r>
              <w:rPr>
                <w:webHidden/>
              </w:rPr>
              <w:fldChar w:fldCharType="begin"/>
            </w:r>
            <w:r>
              <w:rPr>
                <w:webHidden/>
              </w:rPr>
              <w:instrText xml:space="preserve"> PAGEREF _Toc228197483 \h </w:instrText>
            </w:r>
            <w:r>
              <w:rPr>
                <w:webHidden/>
              </w:rPr>
            </w:r>
            <w:r>
              <w:rPr>
                <w:webHidden/>
              </w:rPr>
              <w:fldChar w:fldCharType="separate"/>
            </w:r>
            <w:r>
              <w:rPr>
                <w:webHidden/>
              </w:rPr>
              <w:t>5</w:t>
            </w:r>
            <w:r>
              <w:rPr>
                <w:webHidden/>
              </w:rPr>
              <w:fldChar w:fldCharType="end"/>
            </w:r>
          </w:hyperlink>
        </w:p>
        <w:p w14:paraId="696CA33F" w14:textId="28136896" w:rsidR="00364782" w:rsidRDefault="00364782">
          <w:pPr>
            <w:pStyle w:val="TM1"/>
            <w:rPr>
              <w:rFonts w:asciiTheme="minorHAnsi" w:eastAsiaTheme="minorEastAsia" w:hAnsiTheme="minorHAnsi"/>
              <w:b w:val="0"/>
              <w:kern w:val="2"/>
              <w:sz w:val="24"/>
              <w:szCs w:val="24"/>
              <w:lang w:eastAsia="fr-CH"/>
              <w14:ligatures w14:val="standardContextual"/>
            </w:rPr>
          </w:pPr>
          <w:hyperlink w:anchor="_Toc228197484" w:history="1">
            <w:r w:rsidRPr="00E825C2">
              <w:rPr>
                <w:rStyle w:val="Lienhypertexte"/>
              </w:rPr>
              <w:t>5</w:t>
            </w:r>
            <w:r>
              <w:rPr>
                <w:rFonts w:asciiTheme="minorHAnsi" w:eastAsiaTheme="minorEastAsia" w:hAnsiTheme="minorHAnsi"/>
                <w:b w:val="0"/>
                <w:kern w:val="2"/>
                <w:sz w:val="24"/>
                <w:szCs w:val="24"/>
                <w:lang w:eastAsia="fr-CH"/>
                <w14:ligatures w14:val="standardContextual"/>
              </w:rPr>
              <w:tab/>
            </w:r>
            <w:r w:rsidRPr="00E825C2">
              <w:rPr>
                <w:rStyle w:val="Lienhypertexte"/>
              </w:rPr>
              <w:t>Incidences financières</w:t>
            </w:r>
            <w:r>
              <w:rPr>
                <w:webHidden/>
              </w:rPr>
              <w:tab/>
            </w:r>
            <w:r>
              <w:rPr>
                <w:webHidden/>
              </w:rPr>
              <w:fldChar w:fldCharType="begin"/>
            </w:r>
            <w:r>
              <w:rPr>
                <w:webHidden/>
              </w:rPr>
              <w:instrText xml:space="preserve"> PAGEREF _Toc228197484 \h </w:instrText>
            </w:r>
            <w:r>
              <w:rPr>
                <w:webHidden/>
              </w:rPr>
            </w:r>
            <w:r>
              <w:rPr>
                <w:webHidden/>
              </w:rPr>
              <w:fldChar w:fldCharType="separate"/>
            </w:r>
            <w:r>
              <w:rPr>
                <w:webHidden/>
              </w:rPr>
              <w:t>6</w:t>
            </w:r>
            <w:r>
              <w:rPr>
                <w:webHidden/>
              </w:rPr>
              <w:fldChar w:fldCharType="end"/>
            </w:r>
          </w:hyperlink>
        </w:p>
        <w:p w14:paraId="07BF91B0" w14:textId="180FBEB1" w:rsidR="00364782" w:rsidRDefault="00364782">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8197485" w:history="1">
            <w:r w:rsidRPr="00E825C2">
              <w:rPr>
                <w:rStyle w:val="Lienhypertexte"/>
              </w:rPr>
              <w:t>5.1</w:t>
            </w:r>
            <w:r>
              <w:rPr>
                <w:rFonts w:asciiTheme="minorHAnsi" w:eastAsiaTheme="minorEastAsia" w:hAnsiTheme="minorHAnsi"/>
                <w:b w:val="0"/>
                <w:kern w:val="2"/>
                <w:sz w:val="24"/>
                <w:szCs w:val="24"/>
                <w:lang w:eastAsia="fr-CH"/>
                <w14:ligatures w14:val="standardContextual"/>
              </w:rPr>
              <w:tab/>
            </w:r>
            <w:r w:rsidRPr="00E825C2">
              <w:rPr>
                <w:rStyle w:val="Lienhypertexte"/>
              </w:rPr>
              <w:t>Pour le canton</w:t>
            </w:r>
            <w:r>
              <w:rPr>
                <w:webHidden/>
              </w:rPr>
              <w:tab/>
            </w:r>
            <w:r>
              <w:rPr>
                <w:webHidden/>
              </w:rPr>
              <w:fldChar w:fldCharType="begin"/>
            </w:r>
            <w:r>
              <w:rPr>
                <w:webHidden/>
              </w:rPr>
              <w:instrText xml:space="preserve"> PAGEREF _Toc228197485 \h </w:instrText>
            </w:r>
            <w:r>
              <w:rPr>
                <w:webHidden/>
              </w:rPr>
            </w:r>
            <w:r>
              <w:rPr>
                <w:webHidden/>
              </w:rPr>
              <w:fldChar w:fldCharType="separate"/>
            </w:r>
            <w:r>
              <w:rPr>
                <w:webHidden/>
              </w:rPr>
              <w:t>6</w:t>
            </w:r>
            <w:r>
              <w:rPr>
                <w:webHidden/>
              </w:rPr>
              <w:fldChar w:fldCharType="end"/>
            </w:r>
          </w:hyperlink>
        </w:p>
        <w:p w14:paraId="5B44D2B2" w14:textId="12F52AC6" w:rsidR="00364782" w:rsidRDefault="00364782">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8197486" w:history="1">
            <w:r w:rsidRPr="00E825C2">
              <w:rPr>
                <w:rStyle w:val="Lienhypertexte"/>
              </w:rPr>
              <w:t>5.2</w:t>
            </w:r>
            <w:r>
              <w:rPr>
                <w:rFonts w:asciiTheme="minorHAnsi" w:eastAsiaTheme="minorEastAsia" w:hAnsiTheme="minorHAnsi"/>
                <w:b w:val="0"/>
                <w:kern w:val="2"/>
                <w:sz w:val="24"/>
                <w:szCs w:val="24"/>
                <w:lang w:eastAsia="fr-CH"/>
                <w14:ligatures w14:val="standardContextual"/>
              </w:rPr>
              <w:tab/>
            </w:r>
            <w:r w:rsidRPr="00E825C2">
              <w:rPr>
                <w:rStyle w:val="Lienhypertexte"/>
              </w:rPr>
              <w:t>Pour les communes et les paroisses</w:t>
            </w:r>
            <w:r>
              <w:rPr>
                <w:webHidden/>
              </w:rPr>
              <w:tab/>
            </w:r>
            <w:r>
              <w:rPr>
                <w:webHidden/>
              </w:rPr>
              <w:fldChar w:fldCharType="begin"/>
            </w:r>
            <w:r>
              <w:rPr>
                <w:webHidden/>
              </w:rPr>
              <w:instrText xml:space="preserve"> PAGEREF _Toc228197486 \h </w:instrText>
            </w:r>
            <w:r>
              <w:rPr>
                <w:webHidden/>
              </w:rPr>
            </w:r>
            <w:r>
              <w:rPr>
                <w:webHidden/>
              </w:rPr>
              <w:fldChar w:fldCharType="separate"/>
            </w:r>
            <w:r>
              <w:rPr>
                <w:webHidden/>
              </w:rPr>
              <w:t>6</w:t>
            </w:r>
            <w:r>
              <w:rPr>
                <w:webHidden/>
              </w:rPr>
              <w:fldChar w:fldCharType="end"/>
            </w:r>
          </w:hyperlink>
        </w:p>
        <w:p w14:paraId="7A53D49F" w14:textId="7F623EB0" w:rsidR="00364782" w:rsidRDefault="00364782">
          <w:pPr>
            <w:pStyle w:val="TM1"/>
            <w:rPr>
              <w:rFonts w:asciiTheme="minorHAnsi" w:eastAsiaTheme="minorEastAsia" w:hAnsiTheme="minorHAnsi"/>
              <w:b w:val="0"/>
              <w:kern w:val="2"/>
              <w:sz w:val="24"/>
              <w:szCs w:val="24"/>
              <w:lang w:eastAsia="fr-CH"/>
              <w14:ligatures w14:val="standardContextual"/>
            </w:rPr>
          </w:pPr>
          <w:hyperlink w:anchor="_Toc228197487" w:history="1">
            <w:r w:rsidRPr="00E825C2">
              <w:rPr>
                <w:rStyle w:val="Lienhypertexte"/>
              </w:rPr>
              <w:t>6</w:t>
            </w:r>
            <w:r>
              <w:rPr>
                <w:rFonts w:asciiTheme="minorHAnsi" w:eastAsiaTheme="minorEastAsia" w:hAnsiTheme="minorHAnsi"/>
                <w:b w:val="0"/>
                <w:kern w:val="2"/>
                <w:sz w:val="24"/>
                <w:szCs w:val="24"/>
                <w:lang w:eastAsia="fr-CH"/>
                <w14:ligatures w14:val="standardContextual"/>
              </w:rPr>
              <w:tab/>
            </w:r>
            <w:r w:rsidRPr="00E825C2">
              <w:rPr>
                <w:rStyle w:val="Lienhypertexte"/>
              </w:rPr>
              <w:t>Proposition</w:t>
            </w:r>
            <w:r>
              <w:rPr>
                <w:webHidden/>
              </w:rPr>
              <w:tab/>
            </w:r>
            <w:r>
              <w:rPr>
                <w:webHidden/>
              </w:rPr>
              <w:fldChar w:fldCharType="begin"/>
            </w:r>
            <w:r>
              <w:rPr>
                <w:webHidden/>
              </w:rPr>
              <w:instrText xml:space="preserve"> PAGEREF _Toc228197487 \h </w:instrText>
            </w:r>
            <w:r>
              <w:rPr>
                <w:webHidden/>
              </w:rPr>
            </w:r>
            <w:r>
              <w:rPr>
                <w:webHidden/>
              </w:rPr>
              <w:fldChar w:fldCharType="separate"/>
            </w:r>
            <w:r>
              <w:rPr>
                <w:webHidden/>
              </w:rPr>
              <w:t>6</w:t>
            </w:r>
            <w:r>
              <w:rPr>
                <w:webHidden/>
              </w:rPr>
              <w:fldChar w:fldCharType="end"/>
            </w:r>
          </w:hyperlink>
        </w:p>
        <w:p w14:paraId="69B42A70" w14:textId="7D10CF6B" w:rsidR="009E1AF4" w:rsidRDefault="009E1AF4">
          <w:r>
            <w:fldChar w:fldCharType="end"/>
          </w:r>
        </w:p>
      </w:sdtContent>
    </w:sdt>
    <w:p w14:paraId="3FCCECEB" w14:textId="77777777" w:rsidR="009E1AF4" w:rsidRDefault="009E1AF4" w:rsidP="00FD0818">
      <w:r>
        <w:br w:type="page"/>
      </w:r>
    </w:p>
    <w:p w14:paraId="33A9D23B" w14:textId="17FB276B" w:rsidR="009E1AF4" w:rsidRDefault="00377E0F" w:rsidP="00DC4643">
      <w:pPr>
        <w:pStyle w:val="Titre1"/>
      </w:pPr>
      <w:bookmarkStart w:id="0" w:name="_Toc228197480"/>
      <w:r>
        <w:lastRenderedPageBreak/>
        <w:t>Règles sur la progression à froid</w:t>
      </w:r>
      <w:bookmarkEnd w:id="0"/>
    </w:p>
    <w:p w14:paraId="14F2F9A1" w14:textId="77777777" w:rsidR="009E1AF4" w:rsidRDefault="009E1AF4" w:rsidP="00970383">
      <w:pPr>
        <w:pStyle w:val="Tiret"/>
      </w:pPr>
      <w:r w:rsidRPr="00C17504">
        <w:t>—</w:t>
      </w:r>
    </w:p>
    <w:p w14:paraId="288D22FB" w14:textId="77777777" w:rsidR="00377E0F" w:rsidRPr="00377E0F" w:rsidRDefault="00377E0F" w:rsidP="00377E0F">
      <w:pPr>
        <w:pStyle w:val="Corpsdetexte"/>
      </w:pPr>
      <w:r w:rsidRPr="00377E0F">
        <w:t>La progression à froid est le phénomène de l’augmentation de la charge fiscale réelle, due à l'augmentation du revenu nominal et à l'application d'un barème fiscal rigide. L’augmentation de la charge fiscale résulte du passage dans un échelon supérieur du barème progressif sans qu'il y ait pour autant une amélioration réelle du pouvoir d'achat.</w:t>
      </w:r>
    </w:p>
    <w:p w14:paraId="6DBBDA69" w14:textId="2CF21262" w:rsidR="00377E0F" w:rsidRDefault="00377E0F" w:rsidP="00377E0F">
      <w:pPr>
        <w:pStyle w:val="Corpsdetexte"/>
      </w:pPr>
      <w:r w:rsidRPr="00377E0F">
        <w:t>Il y a lieu de rappeler que les dispositions légales traitant de la compensation des effets de la progression à froid ont été modifiées en 2010, avec effet au 1</w:t>
      </w:r>
      <w:r w:rsidRPr="005E09ED">
        <w:rPr>
          <w:vertAlign w:val="superscript"/>
        </w:rPr>
        <w:t>er</w:t>
      </w:r>
      <w:r w:rsidR="005E09ED">
        <w:t xml:space="preserve"> </w:t>
      </w:r>
      <w:r w:rsidRPr="00377E0F">
        <w:t>janvier 2011. Depuis cette date, les barèmes de l’impôt sur le revenu et de la fortune ainsi que les déductions sociales doivent être adaptés lorsque l’indice suisse des prix à la consommation (IPC) a augmenté d’au moins 5% depuis la dernière adaptation, mais au moins tous les 3 ans</w:t>
      </w:r>
      <w:r w:rsidR="00750DCC">
        <w:t>.</w:t>
      </w:r>
    </w:p>
    <w:p w14:paraId="72154753" w14:textId="67E14FEB" w:rsidR="009E1AF4" w:rsidRDefault="00377E0F" w:rsidP="008756FD">
      <w:pPr>
        <w:pStyle w:val="Titre1"/>
      </w:pPr>
      <w:bookmarkStart w:id="1" w:name="_Toc88574480"/>
      <w:bookmarkStart w:id="2" w:name="_Toc228197481"/>
      <w:r w:rsidRPr="00796813">
        <w:t>Justification du rapport</w:t>
      </w:r>
      <w:bookmarkEnd w:id="1"/>
      <w:bookmarkEnd w:id="2"/>
    </w:p>
    <w:p w14:paraId="46C19ABC" w14:textId="77777777" w:rsidR="008705EE" w:rsidRDefault="00377E0F" w:rsidP="00205456">
      <w:pPr>
        <w:pStyle w:val="Corpsdetexte"/>
      </w:pPr>
      <w:r w:rsidRPr="00377E0F">
        <w:t>La dernière adaptation des effets de la progression à froid a eu lieu en 2022, avec effet au 1</w:t>
      </w:r>
      <w:r w:rsidRPr="00750DCC">
        <w:rPr>
          <w:vertAlign w:val="superscript"/>
        </w:rPr>
        <w:t>er</w:t>
      </w:r>
      <w:r w:rsidR="00750DCC">
        <w:t xml:space="preserve"> </w:t>
      </w:r>
      <w:r w:rsidRPr="00377E0F">
        <w:t xml:space="preserve">janvier 2023. </w:t>
      </w:r>
    </w:p>
    <w:p w14:paraId="37D0C20D" w14:textId="182B2818" w:rsidR="003A6AF7" w:rsidRDefault="008705EE" w:rsidP="00205456">
      <w:pPr>
        <w:pStyle w:val="Corpsdetexte"/>
      </w:pPr>
      <w:r>
        <w:t xml:space="preserve">En 2025, soit 3 ans après la dernière adaptation, le Conseil d’Etat </w:t>
      </w:r>
      <w:r w:rsidR="003A6AF7">
        <w:t xml:space="preserve">a décidé d’intégrer comme mesure du plan d’assainissement des finances de l’Etat (PAFE </w:t>
      </w:r>
      <w:r w:rsidR="003A6AF7" w:rsidRPr="008705EE">
        <w:t>R_18</w:t>
      </w:r>
      <w:r w:rsidR="003A6AF7">
        <w:t>) la non-indexation des barèmes et des déductions lié</w:t>
      </w:r>
      <w:r w:rsidR="00D11E53">
        <w:t>s</w:t>
      </w:r>
      <w:r w:rsidR="003A6AF7">
        <w:t xml:space="preserve"> à la progression à froid. </w:t>
      </w:r>
    </w:p>
    <w:p w14:paraId="3F519C26" w14:textId="1C8028E7" w:rsidR="00205456" w:rsidRDefault="003D66AB" w:rsidP="00205456">
      <w:pPr>
        <w:pStyle w:val="Corpsdetexte"/>
      </w:pPr>
      <w:r w:rsidRPr="00FD738E">
        <w:t>L</w:t>
      </w:r>
      <w:r w:rsidR="00377E0F" w:rsidRPr="00FD738E">
        <w:t xml:space="preserve">’IPC de </w:t>
      </w:r>
      <w:proofErr w:type="gramStart"/>
      <w:r w:rsidR="00377E0F" w:rsidRPr="00FD738E">
        <w:t>référence actuel</w:t>
      </w:r>
      <w:proofErr w:type="gramEnd"/>
      <w:r w:rsidR="00377E0F" w:rsidRPr="00FD738E">
        <w:t xml:space="preserve"> est celui de décembre 2021, à savoir 103,8 points</w:t>
      </w:r>
      <w:r w:rsidR="008705EE" w:rsidRPr="00FD738E">
        <w:t xml:space="preserve"> (indice de base 2005 = 100)</w:t>
      </w:r>
      <w:r w:rsidR="00377E0F" w:rsidRPr="00FD738E">
        <w:t>. Si l’on compare cet indice avec celui de décembre 202</w:t>
      </w:r>
      <w:r w:rsidR="008705EE" w:rsidRPr="00FD738E">
        <w:t>5</w:t>
      </w:r>
      <w:r w:rsidR="00377E0F" w:rsidRPr="00FD738E">
        <w:t>, lequel se monte à 109,3 points</w:t>
      </w:r>
      <w:r w:rsidR="008705EE" w:rsidRPr="00FD738E">
        <w:t xml:space="preserve"> (indice de base 2005 = 100)</w:t>
      </w:r>
      <w:r w:rsidR="00377E0F" w:rsidRPr="00FD738E">
        <w:t>, on constate une augmentation de l’IPC de 5</w:t>
      </w:r>
      <w:r w:rsidR="00970AD0" w:rsidRPr="00FD738E">
        <w:t>,</w:t>
      </w:r>
      <w:r w:rsidR="00377E0F" w:rsidRPr="00FD738E">
        <w:t xml:space="preserve">3%. </w:t>
      </w:r>
      <w:bookmarkStart w:id="3" w:name="_Hlk188869384"/>
      <w:r w:rsidR="00377E0F" w:rsidRPr="00FD738E">
        <w:t xml:space="preserve">Ainsi, </w:t>
      </w:r>
      <w:r w:rsidR="002171BA">
        <w:t>à la suite du refus</w:t>
      </w:r>
      <w:r w:rsidR="00FD738E" w:rsidRPr="00FD738E">
        <w:t xml:space="preserve"> de la LAFE par le peuple </w:t>
      </w:r>
      <w:r w:rsidR="002171BA">
        <w:t xml:space="preserve">le 26 avril </w:t>
      </w:r>
      <w:r w:rsidR="00FD738E" w:rsidRPr="00FD738E">
        <w:t xml:space="preserve">2026, les conditions sont réunies pour </w:t>
      </w:r>
      <w:r w:rsidR="00377E0F" w:rsidRPr="00FD738E">
        <w:t>impose</w:t>
      </w:r>
      <w:r w:rsidR="00FD738E" w:rsidRPr="00FD738E">
        <w:t>r</w:t>
      </w:r>
      <w:r w:rsidR="00377E0F" w:rsidRPr="00FD738E">
        <w:t xml:space="preserve"> au Conseil d’Etat la rédaction du présent rapport. </w:t>
      </w:r>
      <w:r w:rsidR="00FD738E" w:rsidRPr="00FD738E">
        <w:t>Les éventuelles modifications légales qui en résultent entrer</w:t>
      </w:r>
      <w:r w:rsidR="002171BA">
        <w:t>o</w:t>
      </w:r>
      <w:r w:rsidR="00FD738E" w:rsidRPr="00FD738E">
        <w:t>nt en vigueur au 1</w:t>
      </w:r>
      <w:r w:rsidR="00FD738E" w:rsidRPr="00FD738E">
        <w:rPr>
          <w:vertAlign w:val="superscript"/>
        </w:rPr>
        <w:t>er</w:t>
      </w:r>
      <w:r w:rsidR="00FD738E" w:rsidRPr="00FD738E">
        <w:t xml:space="preserve"> janvier 2027. </w:t>
      </w:r>
    </w:p>
    <w:bookmarkEnd w:id="3"/>
    <w:p w14:paraId="48B72563" w14:textId="77777777" w:rsidR="00FD2FDA" w:rsidRDefault="00FD2FDA">
      <w:pPr>
        <w:rPr>
          <w:rFonts w:asciiTheme="majorHAnsi" w:eastAsiaTheme="majorEastAsia" w:hAnsiTheme="majorHAnsi" w:cstheme="majorBidi"/>
          <w:b/>
          <w:bCs/>
          <w:kern w:val="32"/>
          <w:sz w:val="28"/>
          <w:szCs w:val="28"/>
        </w:rPr>
      </w:pPr>
      <w:r>
        <w:br w:type="page"/>
      </w:r>
    </w:p>
    <w:p w14:paraId="26B67461" w14:textId="5F292682" w:rsidR="00377E0F" w:rsidRPr="00377E0F" w:rsidRDefault="00377E0F" w:rsidP="00377E0F">
      <w:pPr>
        <w:pStyle w:val="Titre1"/>
      </w:pPr>
      <w:bookmarkStart w:id="4" w:name="_Toc228197482"/>
      <w:r w:rsidRPr="00377E0F">
        <w:lastRenderedPageBreak/>
        <w:t>D</w:t>
      </w:r>
      <w:r>
        <w:t>éductions sociales après compensation des effets de la progression à froid</w:t>
      </w:r>
      <w:bookmarkEnd w:id="4"/>
      <w:r>
        <w:t xml:space="preserve"> </w:t>
      </w:r>
    </w:p>
    <w:p w14:paraId="2BB6DEDA" w14:textId="2DDEA44D" w:rsidR="00377E0F" w:rsidRDefault="00377E0F" w:rsidP="00377E0F">
      <w:pPr>
        <w:pStyle w:val="Corpsdetexte"/>
      </w:pPr>
      <w:r>
        <w:t xml:space="preserve">Le tableau suivant présente une comparaison entre les déductions sociales actuelles et celles après compensation des effets de la progression à froid sans et avec arrondi à la centaine la plus proche (à l’exception de la déduction modeste </w:t>
      </w:r>
      <w:r w:rsidR="00F20B3A">
        <w:t xml:space="preserve">sur la fortune dont l’arrondi </w:t>
      </w:r>
      <w:r w:rsidR="0085018C">
        <w:t xml:space="preserve">du palier ou du montant </w:t>
      </w:r>
      <w:r w:rsidR="00F20B3A">
        <w:t>a parfois été modifié</w:t>
      </w:r>
      <w:r>
        <w:t xml:space="preserve"> pour des raisons de cohérence des déductions). </w:t>
      </w:r>
    </w:p>
    <w:p w14:paraId="13CFF2A2" w14:textId="77777777" w:rsidR="00377E0F" w:rsidRDefault="00377E0F" w:rsidP="00377E0F">
      <w:pPr>
        <w:pStyle w:val="Corpsdetexte"/>
      </w:pPr>
      <w:r>
        <w:t>Si l’arrondi à la centaine la plus proche a pour conséquence de sur-corriger certains montants, le Conseil d’Etat préconise toutefois cette approche dans le but d’avoir une meilleure lisibilité. En effet, l’adaptation des déductions sans arrondi risquerait de nuire à la lisibilité de la loi pour le contribuable.</w:t>
      </w:r>
    </w:p>
    <w:p w14:paraId="56750E82" w14:textId="77777777" w:rsidR="00FD2FDA" w:rsidRDefault="00FD2FDA" w:rsidP="00377E0F">
      <w:pPr>
        <w:pStyle w:val="Corpsdetexte"/>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78"/>
        <w:gridCol w:w="2837"/>
        <w:gridCol w:w="2835"/>
        <w:gridCol w:w="2840"/>
      </w:tblGrid>
      <w:tr w:rsidR="00DD30E5" w:rsidRPr="00DD30E5" w14:paraId="2EA62EA1" w14:textId="77777777" w:rsidTr="00DD30E5">
        <w:tc>
          <w:tcPr>
            <w:tcW w:w="1978" w:type="dxa"/>
            <w:vAlign w:val="center"/>
          </w:tcPr>
          <w:p w14:paraId="7624CA4D"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Genre de déduction</w:t>
            </w:r>
          </w:p>
        </w:tc>
        <w:tc>
          <w:tcPr>
            <w:tcW w:w="2837" w:type="dxa"/>
            <w:vAlign w:val="center"/>
          </w:tcPr>
          <w:p w14:paraId="7C71D625"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Déduction actuelle</w:t>
            </w:r>
          </w:p>
        </w:tc>
        <w:tc>
          <w:tcPr>
            <w:tcW w:w="2835" w:type="dxa"/>
            <w:vAlign w:val="center"/>
          </w:tcPr>
          <w:p w14:paraId="3631321E"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Déduction avec adaptation sans arrondi</w:t>
            </w:r>
          </w:p>
        </w:tc>
        <w:tc>
          <w:tcPr>
            <w:tcW w:w="2840" w:type="dxa"/>
          </w:tcPr>
          <w:p w14:paraId="185C794D"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Déduction avec adaptation avec arrondi</w:t>
            </w:r>
          </w:p>
        </w:tc>
      </w:tr>
      <w:tr w:rsidR="00DD30E5" w:rsidRPr="00DD30E5" w14:paraId="75C03C4D" w14:textId="77777777" w:rsidTr="00DD30E5">
        <w:tc>
          <w:tcPr>
            <w:tcW w:w="1978" w:type="dxa"/>
          </w:tcPr>
          <w:p w14:paraId="38579E0C"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Déduction pour enfant/orphelin :</w:t>
            </w:r>
          </w:p>
          <w:p w14:paraId="1456F7BF"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Premier et deuxième enfant (maximum)</w:t>
            </w:r>
          </w:p>
          <w:p w14:paraId="676B1581"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Dès le troisième enfant (maximum)</w:t>
            </w:r>
          </w:p>
          <w:p w14:paraId="1224DBC5"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Limite de revenu</w:t>
            </w:r>
          </w:p>
          <w:p w14:paraId="2B0FC93E"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Augmentation de la limite de revenu par enfant</w:t>
            </w:r>
          </w:p>
        </w:tc>
        <w:tc>
          <w:tcPr>
            <w:tcW w:w="2837" w:type="dxa"/>
          </w:tcPr>
          <w:p w14:paraId="17A81D9A"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p>
          <w:p w14:paraId="27845AC3"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p>
          <w:p w14:paraId="1B9ABF10"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p>
          <w:p w14:paraId="1AA08296"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p>
          <w:p w14:paraId="1ABE69B2" w14:textId="03C73FC2"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8</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600</w:t>
            </w:r>
          </w:p>
          <w:p w14:paraId="15E983CB"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3A71CA14" w14:textId="3D48183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9</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600</w:t>
            </w:r>
          </w:p>
          <w:p w14:paraId="3A62381C" w14:textId="3B717095"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62</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700</w:t>
            </w:r>
          </w:p>
          <w:p w14:paraId="650F51A7"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p>
          <w:p w14:paraId="17BC5873"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p>
          <w:p w14:paraId="2F99F305" w14:textId="57629E6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r w:rsidRPr="00DD30E5">
              <w:rPr>
                <w:rFonts w:ascii="Times New Roman" w:eastAsia="Times New Roman" w:hAnsi="Times New Roman" w:cs="Times New Roman"/>
                <w:sz w:val="22"/>
                <w:szCs w:val="22"/>
                <w:lang w:val="fr-FR" w:eastAsia="fr-FR"/>
              </w:rPr>
              <w:t>10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100</w:t>
            </w:r>
          </w:p>
        </w:tc>
        <w:tc>
          <w:tcPr>
            <w:tcW w:w="2835" w:type="dxa"/>
          </w:tcPr>
          <w:p w14:paraId="400CC5FB"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45140CBE"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2D39B7B5"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1A4956B3"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0A8FD07F" w14:textId="1B209054"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9’056</w:t>
            </w:r>
          </w:p>
          <w:p w14:paraId="4A3E45D8"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20A41AA" w14:textId="45F1A8D9"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10’109</w:t>
            </w:r>
          </w:p>
          <w:p w14:paraId="6E85FA8F" w14:textId="5F8866B6"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66’022</w:t>
            </w:r>
          </w:p>
          <w:p w14:paraId="24EA3E0E"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495B6D89"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386016D" w14:textId="588986DF"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10’635</w:t>
            </w:r>
          </w:p>
        </w:tc>
        <w:tc>
          <w:tcPr>
            <w:tcW w:w="2840" w:type="dxa"/>
          </w:tcPr>
          <w:p w14:paraId="56F19893"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0D772169"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2E49831A"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5373AA3"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42D14FEA" w14:textId="5021BDA2"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9’100</w:t>
            </w:r>
          </w:p>
          <w:p w14:paraId="72F38F88"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04D65836" w14:textId="01ADC6F5"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10’100</w:t>
            </w:r>
          </w:p>
          <w:p w14:paraId="2E02B036" w14:textId="4D25BCB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66’000</w:t>
            </w:r>
          </w:p>
          <w:p w14:paraId="382EE1FB"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79A03644"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124ED7FA" w14:textId="158695FD"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10’600</w:t>
            </w:r>
          </w:p>
        </w:tc>
      </w:tr>
      <w:tr w:rsidR="00DD30E5" w:rsidRPr="00DD30E5" w14:paraId="61640E67" w14:textId="77777777" w:rsidTr="00DD30E5">
        <w:tc>
          <w:tcPr>
            <w:tcW w:w="1978" w:type="dxa"/>
          </w:tcPr>
          <w:p w14:paraId="6AD655CC"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Personne nécessiteuse</w:t>
            </w:r>
          </w:p>
        </w:tc>
        <w:tc>
          <w:tcPr>
            <w:tcW w:w="2837" w:type="dxa"/>
          </w:tcPr>
          <w:p w14:paraId="3BA66ED1"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7AF61D91" w14:textId="7E3B5065"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p w14:paraId="4ED9351E"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Le montant a été modifié dès la PF 2023 (5'000 au lieu de 1'000)</w:t>
            </w:r>
          </w:p>
        </w:tc>
        <w:tc>
          <w:tcPr>
            <w:tcW w:w="2835" w:type="dxa"/>
          </w:tcPr>
          <w:p w14:paraId="7DD79A09"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33D38D0" w14:textId="2E345C4B"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5’265</w:t>
            </w:r>
          </w:p>
        </w:tc>
        <w:tc>
          <w:tcPr>
            <w:tcW w:w="2840" w:type="dxa"/>
          </w:tcPr>
          <w:p w14:paraId="6EB972FA"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B7CE4D8" w14:textId="78252DDC"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5’300</w:t>
            </w:r>
          </w:p>
        </w:tc>
      </w:tr>
      <w:tr w:rsidR="00DD30E5" w:rsidRPr="00DD30E5" w14:paraId="1AF94C73" w14:textId="77777777" w:rsidTr="00DD30E5">
        <w:tc>
          <w:tcPr>
            <w:tcW w:w="1978" w:type="dxa"/>
          </w:tcPr>
          <w:p w14:paraId="568980C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Apprenti ou étudiant</w:t>
            </w:r>
          </w:p>
        </w:tc>
        <w:tc>
          <w:tcPr>
            <w:tcW w:w="2837" w:type="dxa"/>
          </w:tcPr>
          <w:p w14:paraId="741D1ED6"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1C34F6D3" w14:textId="0D4E9B49"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3</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600</w:t>
            </w:r>
          </w:p>
        </w:tc>
        <w:tc>
          <w:tcPr>
            <w:tcW w:w="2835" w:type="dxa"/>
          </w:tcPr>
          <w:p w14:paraId="36EDB287"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7E6AF85" w14:textId="50347BCF"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3’791</w:t>
            </w:r>
          </w:p>
        </w:tc>
        <w:tc>
          <w:tcPr>
            <w:tcW w:w="2840" w:type="dxa"/>
          </w:tcPr>
          <w:p w14:paraId="47E87049"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3B287ABC" w14:textId="4C29C049"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3’800</w:t>
            </w:r>
          </w:p>
        </w:tc>
      </w:tr>
      <w:tr w:rsidR="00DD30E5" w:rsidRPr="00DD30E5" w14:paraId="5314022D" w14:textId="77777777" w:rsidTr="00DD30E5">
        <w:tc>
          <w:tcPr>
            <w:tcW w:w="1978" w:type="dxa"/>
          </w:tcPr>
          <w:p w14:paraId="68F69C8F"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Contribuable en fauteuil roulant</w:t>
            </w:r>
          </w:p>
        </w:tc>
        <w:tc>
          <w:tcPr>
            <w:tcW w:w="2837" w:type="dxa"/>
          </w:tcPr>
          <w:p w14:paraId="57E11069" w14:textId="77777777"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703F6CA6" w14:textId="55751FF1" w:rsidR="00DD30E5" w:rsidRPr="00DD30E5"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fr-FR" w:eastAsia="fr-FR"/>
              </w:rPr>
            </w:pPr>
            <w:r w:rsidRPr="00DD30E5">
              <w:rPr>
                <w:rFonts w:ascii="Times New Roman" w:eastAsia="Times New Roman" w:hAnsi="Times New Roman" w:cs="Times New Roman"/>
                <w:sz w:val="22"/>
                <w:szCs w:val="22"/>
                <w:lang w:val="fr-FR" w:eastAsia="fr-FR"/>
              </w:rPr>
              <w:t>2</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500</w:t>
            </w:r>
          </w:p>
        </w:tc>
        <w:tc>
          <w:tcPr>
            <w:tcW w:w="2835" w:type="dxa"/>
          </w:tcPr>
          <w:p w14:paraId="4C381AB5"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1F657C14" w14:textId="25DBEB70"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2’632</w:t>
            </w:r>
          </w:p>
        </w:tc>
        <w:tc>
          <w:tcPr>
            <w:tcW w:w="2840" w:type="dxa"/>
          </w:tcPr>
          <w:p w14:paraId="1355DB71" w14:textId="77777777"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p>
          <w:p w14:paraId="5FD03F29" w14:textId="2F2EC80C" w:rsidR="00DD30E5" w:rsidRPr="008604FF"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2’600</w:t>
            </w:r>
          </w:p>
        </w:tc>
      </w:tr>
      <w:tr w:rsidR="00DD30E5" w:rsidRPr="00DD30E5" w14:paraId="7F492A89" w14:textId="77777777" w:rsidTr="00DD30E5">
        <w:tc>
          <w:tcPr>
            <w:tcW w:w="1978" w:type="dxa"/>
          </w:tcPr>
          <w:p w14:paraId="41A462F9"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Soins à domicile</w:t>
            </w:r>
          </w:p>
        </w:tc>
        <w:tc>
          <w:tcPr>
            <w:tcW w:w="2837" w:type="dxa"/>
          </w:tcPr>
          <w:p w14:paraId="6FF32C11" w14:textId="77777777" w:rsidR="00DD30E5" w:rsidRPr="00DD30E5" w:rsidRDefault="00DD30E5" w:rsidP="00871C88">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Montant effectif</w:t>
            </w:r>
          </w:p>
        </w:tc>
        <w:tc>
          <w:tcPr>
            <w:tcW w:w="5675" w:type="dxa"/>
            <w:gridSpan w:val="2"/>
          </w:tcPr>
          <w:p w14:paraId="5EEE83F5"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r w:rsidRPr="00DD30E5">
              <w:rPr>
                <w:rFonts w:ascii="Times New Roman" w:eastAsia="Times New Roman" w:hAnsi="Times New Roman" w:cs="Times New Roman"/>
                <w:sz w:val="22"/>
                <w:szCs w:val="22"/>
                <w:lang w:val="fr-FR" w:eastAsia="fr-FR"/>
              </w:rPr>
              <w:t>Le montant n’est pas adapté, car il s’agit du montant effectivement reçu.</w:t>
            </w:r>
          </w:p>
        </w:tc>
      </w:tr>
      <w:tr w:rsidR="00DD30E5" w:rsidRPr="00DD30E5" w14:paraId="270705CA" w14:textId="77777777" w:rsidTr="00DD30E5">
        <w:tc>
          <w:tcPr>
            <w:tcW w:w="1978" w:type="dxa"/>
          </w:tcPr>
          <w:p w14:paraId="34F1D67C"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Contribuable à revenu modeste :</w:t>
            </w:r>
          </w:p>
          <w:p w14:paraId="3CBE31AF"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Seul sans enfant</w:t>
            </w:r>
          </w:p>
          <w:p w14:paraId="6784C9DC"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6C40DB1B"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Marié ou seul avec enfant</w:t>
            </w:r>
          </w:p>
          <w:p w14:paraId="0F228104"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Rentier seul sans enfant</w:t>
            </w:r>
          </w:p>
          <w:p w14:paraId="39BC20A3"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 Rentier marié ou seul avec enfant</w:t>
            </w:r>
          </w:p>
        </w:tc>
        <w:tc>
          <w:tcPr>
            <w:tcW w:w="2837" w:type="dxa"/>
          </w:tcPr>
          <w:p w14:paraId="013CF12C"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19FCE44D"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15CF241C" w14:textId="32E38196"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max. 4</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100 / seuil à 20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300</w:t>
            </w:r>
          </w:p>
          <w:p w14:paraId="46A905C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5D4E6217" w14:textId="2A769B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max. 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100 / seuil à 24</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300</w:t>
            </w:r>
          </w:p>
          <w:p w14:paraId="2315EB84"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1AF8F4A8" w14:textId="183F7C55"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max. 9</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100 / seuil à 24</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300</w:t>
            </w:r>
          </w:p>
          <w:p w14:paraId="5BCE925E"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1ED208FA" w14:textId="50EFF475"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max. 11</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100 / seuil à 30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300</w:t>
            </w:r>
          </w:p>
        </w:tc>
        <w:tc>
          <w:tcPr>
            <w:tcW w:w="2835" w:type="dxa"/>
          </w:tcPr>
          <w:p w14:paraId="7AAF16B7"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2A0757A7"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76BA6E2B" w14:textId="60892B29"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4’317 / seuil à 21’376</w:t>
            </w:r>
          </w:p>
          <w:p w14:paraId="692152EB"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3E76DF68" w14:textId="68148D9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5</w:t>
            </w:r>
            <w:r w:rsidR="00F20B3A">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370 / seuil à 25’588</w:t>
            </w:r>
          </w:p>
          <w:p w14:paraId="7165710B"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5BAEB226" w14:textId="31A78438"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9</w:t>
            </w:r>
            <w:r w:rsidR="00F20B3A">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582 / seuil à 25’588</w:t>
            </w:r>
          </w:p>
          <w:p w14:paraId="57F53F15"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7681FC51" w14:textId="5151E454"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11</w:t>
            </w:r>
            <w:r w:rsidR="00F20B3A">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688 / seuil à 31’905</w:t>
            </w:r>
          </w:p>
        </w:tc>
        <w:tc>
          <w:tcPr>
            <w:tcW w:w="2840" w:type="dxa"/>
          </w:tcPr>
          <w:p w14:paraId="73B99AA5"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326EA973"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5A675DD8" w14:textId="1DD8D158"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4’300 / seuil à 21’400</w:t>
            </w:r>
          </w:p>
          <w:p w14:paraId="4A8802BB"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5EDDA2EA" w14:textId="4737AFB0"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5’400 / seuil à 25’600</w:t>
            </w:r>
          </w:p>
          <w:p w14:paraId="77BFC2D2"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12A1EE00" w14:textId="612D42EA"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9’600 / seuil à 25’600</w:t>
            </w:r>
          </w:p>
          <w:p w14:paraId="69342547"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p w14:paraId="1087063D" w14:textId="3F18123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max. 11’700 / seuil à 31’900</w:t>
            </w:r>
          </w:p>
        </w:tc>
      </w:tr>
    </w:tbl>
    <w:p w14:paraId="25E6EEE0" w14:textId="77777777" w:rsidR="00FD2FDA" w:rsidRDefault="00FD2FDA">
      <w:r>
        <w:br w:type="page"/>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78"/>
        <w:gridCol w:w="1417"/>
        <w:gridCol w:w="1420"/>
        <w:gridCol w:w="1347"/>
        <w:gridCol w:w="1488"/>
        <w:gridCol w:w="1347"/>
        <w:gridCol w:w="1493"/>
      </w:tblGrid>
      <w:tr w:rsidR="00DD30E5" w:rsidRPr="00DD30E5" w14:paraId="6F9666B8" w14:textId="77777777" w:rsidTr="00DD30E5">
        <w:tc>
          <w:tcPr>
            <w:tcW w:w="1978" w:type="dxa"/>
            <w:vAlign w:val="center"/>
          </w:tcPr>
          <w:p w14:paraId="5375CFA1" w14:textId="027D8F16"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lastRenderedPageBreak/>
              <w:t>Genre de déduction</w:t>
            </w:r>
          </w:p>
        </w:tc>
        <w:tc>
          <w:tcPr>
            <w:tcW w:w="2837" w:type="dxa"/>
            <w:gridSpan w:val="2"/>
            <w:vAlign w:val="center"/>
          </w:tcPr>
          <w:p w14:paraId="69AB24A2"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Déduction actuelle</w:t>
            </w:r>
          </w:p>
        </w:tc>
        <w:tc>
          <w:tcPr>
            <w:tcW w:w="2835" w:type="dxa"/>
            <w:gridSpan w:val="2"/>
            <w:vAlign w:val="center"/>
          </w:tcPr>
          <w:p w14:paraId="65A9503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Déduction avec adaptation sans arrondi</w:t>
            </w:r>
          </w:p>
        </w:tc>
        <w:tc>
          <w:tcPr>
            <w:tcW w:w="2840" w:type="dxa"/>
            <w:gridSpan w:val="2"/>
          </w:tcPr>
          <w:p w14:paraId="2B762C83"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fr-FR" w:eastAsia="fr-FR"/>
              </w:rPr>
            </w:pPr>
            <w:r w:rsidRPr="00DD30E5">
              <w:rPr>
                <w:rFonts w:ascii="Times New Roman" w:eastAsia="Times New Roman" w:hAnsi="Times New Roman" w:cs="Times New Roman"/>
                <w:b/>
                <w:iCs/>
                <w:sz w:val="22"/>
                <w:szCs w:val="22"/>
                <w:lang w:val="fr-FR" w:eastAsia="fr-FR"/>
              </w:rPr>
              <w:t>Déduction avec adaptation avec arrondi</w:t>
            </w:r>
          </w:p>
        </w:tc>
      </w:tr>
      <w:tr w:rsidR="00DD30E5" w:rsidRPr="00DD30E5" w14:paraId="723D86BF" w14:textId="77777777" w:rsidTr="00DD30E5">
        <w:tc>
          <w:tcPr>
            <w:tcW w:w="1978" w:type="dxa"/>
            <w:vMerge w:val="restart"/>
          </w:tcPr>
          <w:p w14:paraId="77EF8578"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Fortune personne seule</w:t>
            </w:r>
          </w:p>
        </w:tc>
        <w:tc>
          <w:tcPr>
            <w:tcW w:w="1417" w:type="dxa"/>
          </w:tcPr>
          <w:p w14:paraId="3AE04AB3"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lang w:val="fr-FR" w:eastAsia="fr-FR"/>
              </w:rPr>
            </w:pPr>
            <w:r w:rsidRPr="00DD30E5">
              <w:rPr>
                <w:rFonts w:ascii="Times New Roman" w:eastAsia="Times New Roman" w:hAnsi="Times New Roman" w:cs="Times New Roman"/>
                <w:b/>
                <w:i/>
                <w:sz w:val="22"/>
                <w:szCs w:val="22"/>
                <w:lang w:val="fr-FR" w:eastAsia="fr-FR"/>
              </w:rPr>
              <w:t>palier</w:t>
            </w:r>
          </w:p>
        </w:tc>
        <w:tc>
          <w:tcPr>
            <w:tcW w:w="1420" w:type="dxa"/>
          </w:tcPr>
          <w:p w14:paraId="499E837A"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lang w:val="fr-FR" w:eastAsia="fr-FR"/>
              </w:rPr>
            </w:pPr>
            <w:r w:rsidRPr="00DD30E5">
              <w:rPr>
                <w:rFonts w:ascii="Times New Roman" w:eastAsia="Times New Roman" w:hAnsi="Times New Roman" w:cs="Times New Roman"/>
                <w:b/>
                <w:i/>
                <w:sz w:val="22"/>
                <w:szCs w:val="22"/>
                <w:lang w:val="fr-FR" w:eastAsia="fr-FR"/>
              </w:rPr>
              <w:t>montant</w:t>
            </w:r>
          </w:p>
        </w:tc>
        <w:tc>
          <w:tcPr>
            <w:tcW w:w="1347" w:type="dxa"/>
          </w:tcPr>
          <w:p w14:paraId="6126BFFA"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fr-FR" w:eastAsia="fr-FR"/>
              </w:rPr>
            </w:pPr>
            <w:r w:rsidRPr="00DD30E5">
              <w:rPr>
                <w:rFonts w:ascii="Times New Roman" w:eastAsia="Times New Roman" w:hAnsi="Times New Roman" w:cs="Times New Roman"/>
                <w:b/>
                <w:i/>
                <w:sz w:val="22"/>
                <w:szCs w:val="22"/>
                <w:lang w:val="fr-FR" w:eastAsia="fr-FR"/>
              </w:rPr>
              <w:t>palier</w:t>
            </w:r>
          </w:p>
        </w:tc>
        <w:tc>
          <w:tcPr>
            <w:tcW w:w="1488" w:type="dxa"/>
          </w:tcPr>
          <w:p w14:paraId="269FBFCD"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fr-FR" w:eastAsia="fr-FR"/>
              </w:rPr>
            </w:pPr>
            <w:r w:rsidRPr="00DD30E5">
              <w:rPr>
                <w:rFonts w:ascii="Times New Roman" w:eastAsia="Times New Roman" w:hAnsi="Times New Roman" w:cs="Times New Roman"/>
                <w:b/>
                <w:i/>
                <w:sz w:val="22"/>
                <w:szCs w:val="22"/>
                <w:lang w:val="fr-FR" w:eastAsia="fr-FR"/>
              </w:rPr>
              <w:t>montant</w:t>
            </w:r>
          </w:p>
        </w:tc>
        <w:tc>
          <w:tcPr>
            <w:tcW w:w="1347" w:type="dxa"/>
          </w:tcPr>
          <w:p w14:paraId="598DD71D"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fr-FR" w:eastAsia="fr-FR"/>
              </w:rPr>
            </w:pPr>
            <w:r w:rsidRPr="00DD30E5">
              <w:rPr>
                <w:rFonts w:ascii="Times New Roman" w:eastAsia="Times New Roman" w:hAnsi="Times New Roman" w:cs="Times New Roman"/>
                <w:b/>
                <w:i/>
                <w:sz w:val="22"/>
                <w:szCs w:val="22"/>
                <w:lang w:val="fr-FR" w:eastAsia="fr-FR"/>
              </w:rPr>
              <w:t>palier</w:t>
            </w:r>
          </w:p>
        </w:tc>
        <w:tc>
          <w:tcPr>
            <w:tcW w:w="1493" w:type="dxa"/>
          </w:tcPr>
          <w:p w14:paraId="318263DB"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fr-FR" w:eastAsia="fr-FR"/>
              </w:rPr>
            </w:pPr>
            <w:r w:rsidRPr="00DD30E5">
              <w:rPr>
                <w:rFonts w:ascii="Times New Roman" w:eastAsia="Times New Roman" w:hAnsi="Times New Roman" w:cs="Times New Roman"/>
                <w:b/>
                <w:i/>
                <w:sz w:val="22"/>
                <w:szCs w:val="22"/>
                <w:lang w:val="fr-FR" w:eastAsia="fr-FR"/>
              </w:rPr>
              <w:t>montant</w:t>
            </w:r>
          </w:p>
        </w:tc>
      </w:tr>
      <w:tr w:rsidR="00DD30E5" w:rsidRPr="00DD30E5" w14:paraId="74777B53" w14:textId="77777777" w:rsidTr="00DD30E5">
        <w:tc>
          <w:tcPr>
            <w:tcW w:w="1978" w:type="dxa"/>
            <w:vMerge/>
          </w:tcPr>
          <w:p w14:paraId="3D674473"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3DB9BB61" w14:textId="168D2CC9"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jusqu’à 75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19565CA5" w14:textId="67DDD666"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55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212CE8B4" w14:textId="5C6DDA8B"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jusqu’à 78’974</w:t>
            </w:r>
          </w:p>
        </w:tc>
        <w:tc>
          <w:tcPr>
            <w:tcW w:w="1488" w:type="dxa"/>
          </w:tcPr>
          <w:p w14:paraId="52E81529" w14:textId="51276044"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57’914</w:t>
            </w:r>
          </w:p>
        </w:tc>
        <w:tc>
          <w:tcPr>
            <w:tcW w:w="1347" w:type="dxa"/>
          </w:tcPr>
          <w:p w14:paraId="2C80A295" w14:textId="7D070579"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jusqu’à 79’000</w:t>
            </w:r>
          </w:p>
        </w:tc>
        <w:tc>
          <w:tcPr>
            <w:tcW w:w="1493" w:type="dxa"/>
          </w:tcPr>
          <w:p w14:paraId="5DE9FC0E" w14:textId="2DC344C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57’800</w:t>
            </w:r>
          </w:p>
        </w:tc>
      </w:tr>
      <w:tr w:rsidR="00DD30E5" w:rsidRPr="00DD30E5" w14:paraId="386CF97D" w14:textId="77777777" w:rsidTr="00DD30E5">
        <w:tc>
          <w:tcPr>
            <w:tcW w:w="1978" w:type="dxa"/>
            <w:vMerge/>
          </w:tcPr>
          <w:p w14:paraId="26C321FB"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26FB535B" w14:textId="2DE678AD"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75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100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12B9943E" w14:textId="673192B5"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45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7478BB41" w14:textId="14FFF4F6"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78’975 à 105’299</w:t>
            </w:r>
          </w:p>
        </w:tc>
        <w:tc>
          <w:tcPr>
            <w:tcW w:w="1488" w:type="dxa"/>
          </w:tcPr>
          <w:p w14:paraId="56B4974F" w14:textId="3D648BEE"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47’384</w:t>
            </w:r>
          </w:p>
        </w:tc>
        <w:tc>
          <w:tcPr>
            <w:tcW w:w="1347" w:type="dxa"/>
          </w:tcPr>
          <w:p w14:paraId="691DA4B6" w14:textId="7088B342"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79’001 à 105’300</w:t>
            </w:r>
          </w:p>
        </w:tc>
        <w:tc>
          <w:tcPr>
            <w:tcW w:w="1493" w:type="dxa"/>
          </w:tcPr>
          <w:p w14:paraId="3144D35A" w14:textId="06E3440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47’300</w:t>
            </w:r>
          </w:p>
        </w:tc>
      </w:tr>
      <w:tr w:rsidR="00DD30E5" w:rsidRPr="00DD30E5" w14:paraId="788D365F" w14:textId="77777777" w:rsidTr="00DD30E5">
        <w:tc>
          <w:tcPr>
            <w:tcW w:w="1978" w:type="dxa"/>
            <w:vMerge/>
          </w:tcPr>
          <w:p w14:paraId="47AC096D"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2DF26C59" w14:textId="44B2E748"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100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125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48334C54" w14:textId="56F91BC3"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35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7303FC9E" w14:textId="231A0432"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105’300 à 131’623</w:t>
            </w:r>
          </w:p>
        </w:tc>
        <w:tc>
          <w:tcPr>
            <w:tcW w:w="1488" w:type="dxa"/>
          </w:tcPr>
          <w:p w14:paraId="7AFF2BE3" w14:textId="2F23D17B"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36’855</w:t>
            </w:r>
          </w:p>
        </w:tc>
        <w:tc>
          <w:tcPr>
            <w:tcW w:w="1347" w:type="dxa"/>
          </w:tcPr>
          <w:p w14:paraId="2A439249" w14:textId="06A54BD8"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105’301 à 131’600</w:t>
            </w:r>
          </w:p>
        </w:tc>
        <w:tc>
          <w:tcPr>
            <w:tcW w:w="1493" w:type="dxa"/>
          </w:tcPr>
          <w:p w14:paraId="7D4FC6DE" w14:textId="407B8339"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36’800</w:t>
            </w:r>
          </w:p>
        </w:tc>
      </w:tr>
      <w:tr w:rsidR="00DD30E5" w:rsidRPr="00DD30E5" w14:paraId="7FCED9F7" w14:textId="77777777" w:rsidTr="00DD30E5">
        <w:tc>
          <w:tcPr>
            <w:tcW w:w="1978" w:type="dxa"/>
            <w:vMerge/>
          </w:tcPr>
          <w:p w14:paraId="5C6BC0F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2CD59CB8" w14:textId="6621D6F6"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125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150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19E9F70B" w14:textId="12EB7F7B"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25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3FB71D50" w14:textId="7F4E56B9"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131’624 à 157’948</w:t>
            </w:r>
          </w:p>
        </w:tc>
        <w:tc>
          <w:tcPr>
            <w:tcW w:w="1488" w:type="dxa"/>
          </w:tcPr>
          <w:p w14:paraId="6EEC685E" w14:textId="59452694"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26’325</w:t>
            </w:r>
          </w:p>
        </w:tc>
        <w:tc>
          <w:tcPr>
            <w:tcW w:w="1347" w:type="dxa"/>
          </w:tcPr>
          <w:p w14:paraId="7E6CC3F9" w14:textId="5053368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131’601 à 157’900</w:t>
            </w:r>
          </w:p>
        </w:tc>
        <w:tc>
          <w:tcPr>
            <w:tcW w:w="1493" w:type="dxa"/>
          </w:tcPr>
          <w:p w14:paraId="2DA721F7" w14:textId="6AB4964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26’300</w:t>
            </w:r>
          </w:p>
        </w:tc>
      </w:tr>
      <w:tr w:rsidR="00DD30E5" w:rsidRPr="00DD30E5" w14:paraId="35949C0B" w14:textId="77777777" w:rsidTr="00DD30E5">
        <w:tc>
          <w:tcPr>
            <w:tcW w:w="1978" w:type="dxa"/>
            <w:vMerge/>
          </w:tcPr>
          <w:p w14:paraId="3D8CE5BF"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6156A488" w14:textId="581C85BB"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150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175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53F2CE92" w14:textId="36A8C922"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15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24EB96B9" w14:textId="27550103"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157’949 à 184’273</w:t>
            </w:r>
          </w:p>
        </w:tc>
        <w:tc>
          <w:tcPr>
            <w:tcW w:w="1488" w:type="dxa"/>
          </w:tcPr>
          <w:p w14:paraId="7D020F52" w14:textId="56B61DF2"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15’795</w:t>
            </w:r>
          </w:p>
        </w:tc>
        <w:tc>
          <w:tcPr>
            <w:tcW w:w="1347" w:type="dxa"/>
          </w:tcPr>
          <w:p w14:paraId="5312AE01" w14:textId="0865FE86"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157’901 à 184’200</w:t>
            </w:r>
          </w:p>
        </w:tc>
        <w:tc>
          <w:tcPr>
            <w:tcW w:w="1493" w:type="dxa"/>
          </w:tcPr>
          <w:p w14:paraId="0EAA47E4" w14:textId="70DAE94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15’800</w:t>
            </w:r>
          </w:p>
        </w:tc>
      </w:tr>
      <w:tr w:rsidR="00DD30E5" w:rsidRPr="00DD30E5" w14:paraId="0BE48C6A" w14:textId="77777777" w:rsidTr="00DD30E5">
        <w:tc>
          <w:tcPr>
            <w:tcW w:w="1978" w:type="dxa"/>
            <w:vMerge/>
          </w:tcPr>
          <w:p w14:paraId="21331DE7"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410EDA78" w14:textId="0665F414"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175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200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71E0063B" w14:textId="59B6B2B9"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3A5C0111" w14:textId="22145EF1"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184’274 à 210’597</w:t>
            </w:r>
          </w:p>
        </w:tc>
        <w:tc>
          <w:tcPr>
            <w:tcW w:w="1488" w:type="dxa"/>
          </w:tcPr>
          <w:p w14:paraId="76A1B7EC" w14:textId="36B6A7D3"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5’265</w:t>
            </w:r>
          </w:p>
        </w:tc>
        <w:tc>
          <w:tcPr>
            <w:tcW w:w="1347" w:type="dxa"/>
          </w:tcPr>
          <w:p w14:paraId="3519D544" w14:textId="20E1D5E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184’201 à 210’500</w:t>
            </w:r>
          </w:p>
        </w:tc>
        <w:tc>
          <w:tcPr>
            <w:tcW w:w="1493" w:type="dxa"/>
          </w:tcPr>
          <w:p w14:paraId="3B176759" w14:textId="7B30FF9A"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5’300</w:t>
            </w:r>
          </w:p>
        </w:tc>
      </w:tr>
      <w:tr w:rsidR="00DD30E5" w:rsidRPr="00DD30E5" w14:paraId="528CA4EC" w14:textId="77777777" w:rsidTr="00DD30E5">
        <w:tc>
          <w:tcPr>
            <w:tcW w:w="1978" w:type="dxa"/>
            <w:vMerge/>
          </w:tcPr>
          <w:p w14:paraId="59EB7222"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p>
        </w:tc>
        <w:tc>
          <w:tcPr>
            <w:tcW w:w="1417" w:type="dxa"/>
          </w:tcPr>
          <w:p w14:paraId="388661F6" w14:textId="7F031760"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dès 200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w:t>
            </w:r>
          </w:p>
        </w:tc>
        <w:tc>
          <w:tcPr>
            <w:tcW w:w="1420" w:type="dxa"/>
          </w:tcPr>
          <w:p w14:paraId="1668EB84"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0</w:t>
            </w:r>
          </w:p>
        </w:tc>
        <w:tc>
          <w:tcPr>
            <w:tcW w:w="1347" w:type="dxa"/>
          </w:tcPr>
          <w:p w14:paraId="521FF5ED" w14:textId="05F766BD"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dès 210’598</w:t>
            </w:r>
          </w:p>
        </w:tc>
        <w:tc>
          <w:tcPr>
            <w:tcW w:w="1488" w:type="dxa"/>
          </w:tcPr>
          <w:p w14:paraId="2F2A702C"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0</w:t>
            </w:r>
          </w:p>
        </w:tc>
        <w:tc>
          <w:tcPr>
            <w:tcW w:w="1347" w:type="dxa"/>
          </w:tcPr>
          <w:p w14:paraId="0A1E111E" w14:textId="5BE4F65C"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dès 210’501</w:t>
            </w:r>
          </w:p>
        </w:tc>
        <w:tc>
          <w:tcPr>
            <w:tcW w:w="1493" w:type="dxa"/>
          </w:tcPr>
          <w:p w14:paraId="3E836A2A"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0</w:t>
            </w:r>
          </w:p>
        </w:tc>
      </w:tr>
      <w:tr w:rsidR="00DD30E5" w:rsidRPr="00DD30E5" w14:paraId="61A7EB02" w14:textId="77777777" w:rsidTr="00DD30E5">
        <w:tc>
          <w:tcPr>
            <w:tcW w:w="1978" w:type="dxa"/>
            <w:vMerge w:val="restart"/>
          </w:tcPr>
          <w:p w14:paraId="789FDF8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Fortune personne mariée ou seule avec enfant</w:t>
            </w:r>
          </w:p>
        </w:tc>
        <w:tc>
          <w:tcPr>
            <w:tcW w:w="1417" w:type="dxa"/>
          </w:tcPr>
          <w:p w14:paraId="284E35AD" w14:textId="26A9A771"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jusqu’à 125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5B6DF135" w14:textId="2986697D"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105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23CB6369" w14:textId="53740B9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jusqu’à 131’623</w:t>
            </w:r>
          </w:p>
        </w:tc>
        <w:tc>
          <w:tcPr>
            <w:tcW w:w="1488" w:type="dxa"/>
          </w:tcPr>
          <w:p w14:paraId="4CB16EDD" w14:textId="0322FD90"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110’564</w:t>
            </w:r>
          </w:p>
        </w:tc>
        <w:tc>
          <w:tcPr>
            <w:tcW w:w="1347" w:type="dxa"/>
          </w:tcPr>
          <w:p w14:paraId="4DF6E535" w14:textId="316935A0"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jusqu’à 131’600</w:t>
            </w:r>
          </w:p>
        </w:tc>
        <w:tc>
          <w:tcPr>
            <w:tcW w:w="1493" w:type="dxa"/>
          </w:tcPr>
          <w:p w14:paraId="13C402B1" w14:textId="0A89E22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110’600</w:t>
            </w:r>
          </w:p>
        </w:tc>
      </w:tr>
      <w:tr w:rsidR="00DD30E5" w:rsidRPr="00DD30E5" w14:paraId="37F73C83" w14:textId="77777777" w:rsidTr="00DD30E5">
        <w:tc>
          <w:tcPr>
            <w:tcW w:w="1978" w:type="dxa"/>
            <w:vMerge/>
          </w:tcPr>
          <w:p w14:paraId="01EF9A1A"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p>
        </w:tc>
        <w:tc>
          <w:tcPr>
            <w:tcW w:w="1417" w:type="dxa"/>
          </w:tcPr>
          <w:p w14:paraId="5FF779E9" w14:textId="02DADA9B"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125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160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340CCEC4" w14:textId="2839FCE4"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85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6A650DFE" w14:textId="69C359A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131’624 à 168’478</w:t>
            </w:r>
          </w:p>
        </w:tc>
        <w:tc>
          <w:tcPr>
            <w:tcW w:w="1488" w:type="dxa"/>
          </w:tcPr>
          <w:p w14:paraId="41D6AC7B" w14:textId="3972F79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89’504</w:t>
            </w:r>
          </w:p>
        </w:tc>
        <w:tc>
          <w:tcPr>
            <w:tcW w:w="1347" w:type="dxa"/>
          </w:tcPr>
          <w:p w14:paraId="63A3B10A" w14:textId="74A1BF4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131’601 à 168’500</w:t>
            </w:r>
          </w:p>
        </w:tc>
        <w:tc>
          <w:tcPr>
            <w:tcW w:w="1493" w:type="dxa"/>
          </w:tcPr>
          <w:p w14:paraId="19CBBBFB" w14:textId="75BB47FA"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89’500</w:t>
            </w:r>
          </w:p>
        </w:tc>
      </w:tr>
      <w:tr w:rsidR="00DD30E5" w:rsidRPr="00DD30E5" w14:paraId="5B100267" w14:textId="77777777" w:rsidTr="00DD30E5">
        <w:tc>
          <w:tcPr>
            <w:tcW w:w="1978" w:type="dxa"/>
            <w:vMerge/>
          </w:tcPr>
          <w:p w14:paraId="22D94D8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p>
        </w:tc>
        <w:tc>
          <w:tcPr>
            <w:tcW w:w="1417" w:type="dxa"/>
          </w:tcPr>
          <w:p w14:paraId="057EEE29" w14:textId="631FFAAA"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160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195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71835962" w14:textId="2BB27371"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65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5708F12C" w14:textId="6701094D"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168’479 à 205’332</w:t>
            </w:r>
          </w:p>
        </w:tc>
        <w:tc>
          <w:tcPr>
            <w:tcW w:w="1488" w:type="dxa"/>
          </w:tcPr>
          <w:p w14:paraId="0D190678" w14:textId="4516F1DB"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68’444</w:t>
            </w:r>
          </w:p>
        </w:tc>
        <w:tc>
          <w:tcPr>
            <w:tcW w:w="1347" w:type="dxa"/>
          </w:tcPr>
          <w:p w14:paraId="1419E923" w14:textId="6AA5E3AB"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168’501 à 205’400</w:t>
            </w:r>
          </w:p>
        </w:tc>
        <w:tc>
          <w:tcPr>
            <w:tcW w:w="1493" w:type="dxa"/>
          </w:tcPr>
          <w:p w14:paraId="41119864" w14:textId="6AF50A6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68’400</w:t>
            </w:r>
          </w:p>
        </w:tc>
      </w:tr>
      <w:tr w:rsidR="00DD30E5" w:rsidRPr="00DD30E5" w14:paraId="76B2DE93" w14:textId="77777777" w:rsidTr="00DD30E5">
        <w:tc>
          <w:tcPr>
            <w:tcW w:w="1978" w:type="dxa"/>
            <w:vMerge/>
          </w:tcPr>
          <w:p w14:paraId="10390D9A"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p>
        </w:tc>
        <w:tc>
          <w:tcPr>
            <w:tcW w:w="1417" w:type="dxa"/>
          </w:tcPr>
          <w:p w14:paraId="77CB7ACC" w14:textId="1842280B"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195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230</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5432EA9B" w14:textId="011C23B9"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45</w:t>
            </w:r>
            <w:r>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405F17F2" w14:textId="3CCA3166"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205’333 à 242’187</w:t>
            </w:r>
          </w:p>
        </w:tc>
        <w:tc>
          <w:tcPr>
            <w:tcW w:w="1488" w:type="dxa"/>
          </w:tcPr>
          <w:p w14:paraId="1B267E60" w14:textId="1F9BFEC3"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47’384</w:t>
            </w:r>
          </w:p>
        </w:tc>
        <w:tc>
          <w:tcPr>
            <w:tcW w:w="1347" w:type="dxa"/>
          </w:tcPr>
          <w:p w14:paraId="2ECAEC16" w14:textId="7323BA9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205’401 à 242’300</w:t>
            </w:r>
          </w:p>
        </w:tc>
        <w:tc>
          <w:tcPr>
            <w:tcW w:w="1493" w:type="dxa"/>
          </w:tcPr>
          <w:p w14:paraId="39CFDF36" w14:textId="19B46B59"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47’300</w:t>
            </w:r>
          </w:p>
        </w:tc>
      </w:tr>
      <w:tr w:rsidR="00DD30E5" w:rsidRPr="00DD30E5" w14:paraId="66BC7D38" w14:textId="77777777" w:rsidTr="00DD30E5">
        <w:tc>
          <w:tcPr>
            <w:tcW w:w="1978" w:type="dxa"/>
            <w:vMerge/>
          </w:tcPr>
          <w:p w14:paraId="4711A3F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p>
        </w:tc>
        <w:tc>
          <w:tcPr>
            <w:tcW w:w="1417" w:type="dxa"/>
          </w:tcPr>
          <w:p w14:paraId="0ACB15D1" w14:textId="118E0D8D"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230</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265</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2C10AE6C" w14:textId="79834640"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25</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17002141" w14:textId="777783BB"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242</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188 à 279</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041</w:t>
            </w:r>
          </w:p>
        </w:tc>
        <w:tc>
          <w:tcPr>
            <w:tcW w:w="1488" w:type="dxa"/>
          </w:tcPr>
          <w:p w14:paraId="7B08810B" w14:textId="5AC3A73D"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26</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325</w:t>
            </w:r>
          </w:p>
        </w:tc>
        <w:tc>
          <w:tcPr>
            <w:tcW w:w="1347" w:type="dxa"/>
          </w:tcPr>
          <w:p w14:paraId="104B7950" w14:textId="733D61D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242</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301 à 279</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200</w:t>
            </w:r>
          </w:p>
        </w:tc>
        <w:tc>
          <w:tcPr>
            <w:tcW w:w="1493" w:type="dxa"/>
          </w:tcPr>
          <w:p w14:paraId="3A799E59" w14:textId="3361D01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26</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200</w:t>
            </w:r>
          </w:p>
        </w:tc>
      </w:tr>
      <w:tr w:rsidR="00DD30E5" w:rsidRPr="00DD30E5" w14:paraId="01CF6B6C" w14:textId="77777777" w:rsidTr="00DD30E5">
        <w:tc>
          <w:tcPr>
            <w:tcW w:w="1978" w:type="dxa"/>
            <w:vMerge/>
          </w:tcPr>
          <w:p w14:paraId="681CB2B8"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p>
        </w:tc>
        <w:tc>
          <w:tcPr>
            <w:tcW w:w="1417" w:type="dxa"/>
          </w:tcPr>
          <w:p w14:paraId="300133D5" w14:textId="7BF01B9D"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de 265</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 à 300</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420" w:type="dxa"/>
          </w:tcPr>
          <w:p w14:paraId="392E36F0" w14:textId="00A81464"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5</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000</w:t>
            </w:r>
          </w:p>
        </w:tc>
        <w:tc>
          <w:tcPr>
            <w:tcW w:w="1347" w:type="dxa"/>
          </w:tcPr>
          <w:p w14:paraId="3CFE76BF" w14:textId="17B55D4F"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279</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042 à 315</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896</w:t>
            </w:r>
          </w:p>
        </w:tc>
        <w:tc>
          <w:tcPr>
            <w:tcW w:w="1488" w:type="dxa"/>
          </w:tcPr>
          <w:p w14:paraId="091E43E6" w14:textId="7E5F9E9B"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265</w:t>
            </w:r>
          </w:p>
        </w:tc>
        <w:tc>
          <w:tcPr>
            <w:tcW w:w="1347" w:type="dxa"/>
          </w:tcPr>
          <w:p w14:paraId="691F7F1B" w14:textId="786CD1E0"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de 279</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201 à 316</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100</w:t>
            </w:r>
          </w:p>
        </w:tc>
        <w:tc>
          <w:tcPr>
            <w:tcW w:w="1493" w:type="dxa"/>
          </w:tcPr>
          <w:p w14:paraId="785C239E" w14:textId="716B4AC4"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5</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100</w:t>
            </w:r>
          </w:p>
        </w:tc>
      </w:tr>
      <w:tr w:rsidR="00DD30E5" w:rsidRPr="00DD30E5" w14:paraId="3FAC3F01" w14:textId="77777777" w:rsidTr="00DD30E5">
        <w:tc>
          <w:tcPr>
            <w:tcW w:w="1978" w:type="dxa"/>
            <w:vMerge/>
          </w:tcPr>
          <w:p w14:paraId="0D58CE00"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fr-FR" w:eastAsia="fr-FR"/>
              </w:rPr>
            </w:pPr>
          </w:p>
        </w:tc>
        <w:tc>
          <w:tcPr>
            <w:tcW w:w="1417" w:type="dxa"/>
          </w:tcPr>
          <w:p w14:paraId="22E39F96" w14:textId="15E12CB8"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dès 300</w:t>
            </w:r>
            <w:r w:rsidR="0047674A">
              <w:rPr>
                <w:rFonts w:ascii="Times New Roman" w:eastAsia="Times New Roman" w:hAnsi="Times New Roman" w:cs="Times New Roman"/>
                <w:sz w:val="22"/>
                <w:szCs w:val="22"/>
                <w:lang w:val="fr-FR" w:eastAsia="fr-FR"/>
              </w:rPr>
              <w:t>’</w:t>
            </w:r>
            <w:r w:rsidRPr="00DD30E5">
              <w:rPr>
                <w:rFonts w:ascii="Times New Roman" w:eastAsia="Times New Roman" w:hAnsi="Times New Roman" w:cs="Times New Roman"/>
                <w:sz w:val="22"/>
                <w:szCs w:val="22"/>
                <w:lang w:val="fr-FR" w:eastAsia="fr-FR"/>
              </w:rPr>
              <w:t>001</w:t>
            </w:r>
          </w:p>
        </w:tc>
        <w:tc>
          <w:tcPr>
            <w:tcW w:w="1420" w:type="dxa"/>
          </w:tcPr>
          <w:p w14:paraId="116DEFD9" w14:textId="77777777" w:rsidR="00DD30E5" w:rsidRPr="00DD30E5"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DD30E5">
              <w:rPr>
                <w:rFonts w:ascii="Times New Roman" w:eastAsia="Times New Roman" w:hAnsi="Times New Roman" w:cs="Times New Roman"/>
                <w:sz w:val="22"/>
                <w:szCs w:val="22"/>
                <w:lang w:val="fr-FR" w:eastAsia="fr-FR"/>
              </w:rPr>
              <w:t>0</w:t>
            </w:r>
          </w:p>
        </w:tc>
        <w:tc>
          <w:tcPr>
            <w:tcW w:w="1347" w:type="dxa"/>
          </w:tcPr>
          <w:p w14:paraId="41970DB5" w14:textId="44543230"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dès 315</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897</w:t>
            </w:r>
          </w:p>
        </w:tc>
        <w:tc>
          <w:tcPr>
            <w:tcW w:w="1488" w:type="dxa"/>
          </w:tcPr>
          <w:p w14:paraId="5AF5A33B"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0</w:t>
            </w:r>
          </w:p>
        </w:tc>
        <w:tc>
          <w:tcPr>
            <w:tcW w:w="1347" w:type="dxa"/>
          </w:tcPr>
          <w:p w14:paraId="1C83FD68" w14:textId="6DC59BF5"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dès 316</w:t>
            </w:r>
            <w:r w:rsidR="0047674A" w:rsidRPr="008604FF">
              <w:rPr>
                <w:rFonts w:ascii="Times New Roman" w:eastAsia="Times New Roman" w:hAnsi="Times New Roman" w:cs="Times New Roman"/>
                <w:sz w:val="22"/>
                <w:szCs w:val="22"/>
                <w:lang w:val="fr-FR" w:eastAsia="fr-FR"/>
              </w:rPr>
              <w:t>’</w:t>
            </w:r>
            <w:r w:rsidRPr="008604FF">
              <w:rPr>
                <w:rFonts w:ascii="Times New Roman" w:eastAsia="Times New Roman" w:hAnsi="Times New Roman" w:cs="Times New Roman"/>
                <w:sz w:val="22"/>
                <w:szCs w:val="22"/>
                <w:lang w:val="fr-FR" w:eastAsia="fr-FR"/>
              </w:rPr>
              <w:t>101</w:t>
            </w:r>
          </w:p>
        </w:tc>
        <w:tc>
          <w:tcPr>
            <w:tcW w:w="1493" w:type="dxa"/>
          </w:tcPr>
          <w:p w14:paraId="0E9D32A3" w14:textId="77777777" w:rsidR="00DD30E5" w:rsidRPr="008604FF"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fr-FR" w:eastAsia="fr-FR"/>
              </w:rPr>
            </w:pPr>
            <w:r w:rsidRPr="008604FF">
              <w:rPr>
                <w:rFonts w:ascii="Times New Roman" w:eastAsia="Times New Roman" w:hAnsi="Times New Roman" w:cs="Times New Roman"/>
                <w:sz w:val="22"/>
                <w:szCs w:val="22"/>
                <w:lang w:val="fr-FR" w:eastAsia="fr-FR"/>
              </w:rPr>
              <w:t>0</w:t>
            </w:r>
          </w:p>
        </w:tc>
      </w:tr>
    </w:tbl>
    <w:p w14:paraId="7DA2BB62" w14:textId="77777777" w:rsidR="0047674A" w:rsidRDefault="0047674A" w:rsidP="00377E0F">
      <w:pPr>
        <w:pStyle w:val="Corpsdetexte"/>
      </w:pPr>
    </w:p>
    <w:p w14:paraId="7A8145C6" w14:textId="3867B54A" w:rsidR="00377E0F" w:rsidRDefault="0047674A" w:rsidP="00377E0F">
      <w:pPr>
        <w:pStyle w:val="Corpsdetexte"/>
      </w:pPr>
      <w:r w:rsidRPr="0047674A">
        <w:t>A la lecture des chiffres, on constate qu’avec un arrondi à la centaine la plus proche, la plupart des montants doivent être adaptés. La compensation des effets de la progression à froid aurait ainsi un impact pour la majorité des contribuables concernés par ces déductions.</w:t>
      </w:r>
    </w:p>
    <w:p w14:paraId="2B7FC158" w14:textId="77777777" w:rsidR="00FD2FDA" w:rsidRDefault="00FD2FDA">
      <w:pPr>
        <w:rPr>
          <w:rFonts w:asciiTheme="majorHAnsi" w:eastAsiaTheme="majorEastAsia" w:hAnsiTheme="majorHAnsi" w:cstheme="majorBidi"/>
          <w:b/>
          <w:bCs/>
          <w:kern w:val="32"/>
          <w:sz w:val="28"/>
          <w:szCs w:val="28"/>
        </w:rPr>
      </w:pPr>
      <w:r>
        <w:br w:type="page"/>
      </w:r>
    </w:p>
    <w:p w14:paraId="03B3C41D" w14:textId="2766BD7A" w:rsidR="009E1AF4" w:rsidRDefault="0047674A" w:rsidP="00C17504">
      <w:pPr>
        <w:pStyle w:val="Titre1"/>
      </w:pPr>
      <w:bookmarkStart w:id="5" w:name="_Toc228197483"/>
      <w:r>
        <w:lastRenderedPageBreak/>
        <w:t>Barèmes</w:t>
      </w:r>
      <w:bookmarkEnd w:id="5"/>
    </w:p>
    <w:p w14:paraId="2E14F035" w14:textId="3A48FDCE" w:rsidR="0047674A" w:rsidRDefault="0047674A" w:rsidP="00801213">
      <w:pPr>
        <w:pStyle w:val="Corpsdetexte"/>
      </w:pPr>
      <w:r w:rsidRPr="0047674A">
        <w:t>Le barème de l’impôt sur le revenu a été indexé et génère une diminution d’impôt pour tous les contribuables</w:t>
      </w:r>
      <w:r w:rsidR="00FD738E">
        <w:t>, à l’exception de ceux qui sont déjà imposé</w:t>
      </w:r>
      <w:r w:rsidR="00FA7974">
        <w:t>s</w:t>
      </w:r>
      <w:r w:rsidR="00FD738E">
        <w:t xml:space="preserve"> au taux maximum</w:t>
      </w:r>
      <w:r w:rsidRPr="0047674A">
        <w:t>. De plus, le seuil d’imposition a été adapté et ce dernier passe ainsi de 5</w:t>
      </w:r>
      <w:r w:rsidR="001E43D4">
        <w:t>’</w:t>
      </w:r>
      <w:r w:rsidRPr="0047674A">
        <w:t xml:space="preserve">200 </w:t>
      </w:r>
      <w:r w:rsidRPr="008604FF">
        <w:t>francs à 5</w:t>
      </w:r>
      <w:r w:rsidR="001E43D4" w:rsidRPr="008604FF">
        <w:t>’</w:t>
      </w:r>
      <w:r w:rsidRPr="008604FF">
        <w:t>500 francs</w:t>
      </w:r>
      <w:r w:rsidRPr="0047674A">
        <w:t xml:space="preserve"> avec l’arrondi à la centaine la plus proche. </w:t>
      </w:r>
    </w:p>
    <w:p w14:paraId="311AB735" w14:textId="77777777" w:rsidR="0047674A" w:rsidRDefault="0047674A" w:rsidP="00801213">
      <w:pPr>
        <w:pStyle w:val="Corpsdetexte"/>
      </w:pPr>
    </w:p>
    <w:tbl>
      <w:tblPr>
        <w:tblStyle w:val="Grilledutableau1"/>
        <w:tblW w:w="0" w:type="auto"/>
        <w:tblLook w:val="04A0" w:firstRow="1" w:lastRow="0" w:firstColumn="1" w:lastColumn="0" w:noHBand="0" w:noVBand="1"/>
      </w:tblPr>
      <w:tblGrid>
        <w:gridCol w:w="1604"/>
        <w:gridCol w:w="1605"/>
        <w:gridCol w:w="1605"/>
        <w:gridCol w:w="1605"/>
        <w:gridCol w:w="1605"/>
        <w:gridCol w:w="1605"/>
      </w:tblGrid>
      <w:tr w:rsidR="0047674A" w:rsidRPr="0047674A" w14:paraId="2CC6CB1B" w14:textId="77777777" w:rsidTr="005F14B3">
        <w:trPr>
          <w:trHeight w:val="113"/>
        </w:trPr>
        <w:tc>
          <w:tcPr>
            <w:tcW w:w="4814" w:type="dxa"/>
            <w:gridSpan w:val="3"/>
            <w:tcBorders>
              <w:right w:val="triple" w:sz="4" w:space="0" w:color="auto"/>
            </w:tcBorders>
            <w:vAlign w:val="center"/>
          </w:tcPr>
          <w:p w14:paraId="68E9B875" w14:textId="77777777" w:rsidR="0047674A" w:rsidRPr="0047674A" w:rsidRDefault="0047674A" w:rsidP="0047674A">
            <w:pPr>
              <w:overflowPunct w:val="0"/>
              <w:autoSpaceDE w:val="0"/>
              <w:autoSpaceDN w:val="0"/>
              <w:adjustRightInd w:val="0"/>
              <w:jc w:val="center"/>
              <w:textAlignment w:val="baseline"/>
              <w:rPr>
                <w:b/>
                <w:bCs/>
                <w:sz w:val="22"/>
                <w:szCs w:val="18"/>
                <w:lang w:eastAsia="fr-FR"/>
              </w:rPr>
            </w:pPr>
            <w:r w:rsidRPr="0047674A">
              <w:rPr>
                <w:b/>
                <w:bCs/>
                <w:sz w:val="22"/>
                <w:szCs w:val="18"/>
                <w:lang w:eastAsia="fr-FR"/>
              </w:rPr>
              <w:t>Ancien barème</w:t>
            </w:r>
          </w:p>
        </w:tc>
        <w:tc>
          <w:tcPr>
            <w:tcW w:w="4815" w:type="dxa"/>
            <w:gridSpan w:val="3"/>
            <w:tcBorders>
              <w:left w:val="triple" w:sz="4" w:space="0" w:color="auto"/>
            </w:tcBorders>
            <w:vAlign w:val="center"/>
          </w:tcPr>
          <w:p w14:paraId="69563F49" w14:textId="77777777" w:rsidR="0047674A" w:rsidRPr="0047674A" w:rsidRDefault="0047674A" w:rsidP="0047674A">
            <w:pPr>
              <w:overflowPunct w:val="0"/>
              <w:autoSpaceDE w:val="0"/>
              <w:autoSpaceDN w:val="0"/>
              <w:adjustRightInd w:val="0"/>
              <w:jc w:val="center"/>
              <w:textAlignment w:val="baseline"/>
              <w:rPr>
                <w:b/>
                <w:bCs/>
                <w:sz w:val="22"/>
                <w:szCs w:val="18"/>
                <w:lang w:eastAsia="fr-FR"/>
              </w:rPr>
            </w:pPr>
            <w:r w:rsidRPr="0047674A">
              <w:rPr>
                <w:b/>
                <w:bCs/>
                <w:sz w:val="22"/>
                <w:szCs w:val="18"/>
                <w:lang w:eastAsia="fr-FR"/>
              </w:rPr>
              <w:t>Nouveau Barème</w:t>
            </w:r>
          </w:p>
        </w:tc>
      </w:tr>
      <w:tr w:rsidR="0047674A" w:rsidRPr="0047674A" w14:paraId="270AF46D" w14:textId="77777777" w:rsidTr="005F14B3">
        <w:trPr>
          <w:trHeight w:val="113"/>
        </w:trPr>
        <w:tc>
          <w:tcPr>
            <w:tcW w:w="1604" w:type="dxa"/>
            <w:tcBorders>
              <w:bottom w:val="single" w:sz="4" w:space="0" w:color="auto"/>
            </w:tcBorders>
            <w:vAlign w:val="center"/>
          </w:tcPr>
          <w:p w14:paraId="616AA0C0" w14:textId="77777777" w:rsidR="0047674A" w:rsidRPr="0047674A" w:rsidRDefault="0047674A" w:rsidP="0047674A">
            <w:pPr>
              <w:overflowPunct w:val="0"/>
              <w:autoSpaceDE w:val="0"/>
              <w:autoSpaceDN w:val="0"/>
              <w:adjustRightInd w:val="0"/>
              <w:jc w:val="both"/>
              <w:textAlignment w:val="baseline"/>
              <w:rPr>
                <w:b/>
                <w:bCs/>
                <w:sz w:val="22"/>
                <w:szCs w:val="18"/>
                <w:lang w:eastAsia="fr-FR"/>
              </w:rPr>
            </w:pPr>
            <w:r w:rsidRPr="0047674A">
              <w:rPr>
                <w:b/>
                <w:bCs/>
                <w:sz w:val="22"/>
                <w:szCs w:val="18"/>
                <w:lang w:eastAsia="fr-FR"/>
              </w:rPr>
              <w:t>Revenu</w:t>
            </w:r>
          </w:p>
        </w:tc>
        <w:tc>
          <w:tcPr>
            <w:tcW w:w="1605" w:type="dxa"/>
            <w:tcBorders>
              <w:bottom w:val="single" w:sz="4" w:space="0" w:color="auto"/>
            </w:tcBorders>
            <w:vAlign w:val="center"/>
          </w:tcPr>
          <w:p w14:paraId="52A5CCB3" w14:textId="77777777" w:rsidR="0047674A" w:rsidRPr="0047674A" w:rsidRDefault="0047674A" w:rsidP="0047674A">
            <w:pPr>
              <w:overflowPunct w:val="0"/>
              <w:autoSpaceDE w:val="0"/>
              <w:autoSpaceDN w:val="0"/>
              <w:adjustRightInd w:val="0"/>
              <w:jc w:val="both"/>
              <w:textAlignment w:val="baseline"/>
              <w:rPr>
                <w:b/>
                <w:bCs/>
                <w:sz w:val="22"/>
                <w:szCs w:val="18"/>
                <w:lang w:eastAsia="fr-FR"/>
              </w:rPr>
            </w:pPr>
            <w:r w:rsidRPr="0047674A">
              <w:rPr>
                <w:b/>
                <w:bCs/>
                <w:sz w:val="22"/>
                <w:szCs w:val="18"/>
                <w:lang w:eastAsia="fr-FR"/>
              </w:rPr>
              <w:t>Taux IC</w:t>
            </w:r>
          </w:p>
        </w:tc>
        <w:tc>
          <w:tcPr>
            <w:tcW w:w="1605" w:type="dxa"/>
            <w:tcBorders>
              <w:bottom w:val="single" w:sz="4" w:space="0" w:color="auto"/>
              <w:right w:val="triple" w:sz="4" w:space="0" w:color="auto"/>
            </w:tcBorders>
            <w:vAlign w:val="center"/>
          </w:tcPr>
          <w:p w14:paraId="3DAADEE5" w14:textId="77777777" w:rsidR="0047674A" w:rsidRPr="0047674A" w:rsidRDefault="0047674A" w:rsidP="0047674A">
            <w:pPr>
              <w:overflowPunct w:val="0"/>
              <w:autoSpaceDE w:val="0"/>
              <w:autoSpaceDN w:val="0"/>
              <w:adjustRightInd w:val="0"/>
              <w:jc w:val="both"/>
              <w:textAlignment w:val="baseline"/>
              <w:rPr>
                <w:b/>
                <w:bCs/>
                <w:sz w:val="22"/>
                <w:szCs w:val="18"/>
                <w:lang w:eastAsia="fr-FR"/>
              </w:rPr>
            </w:pPr>
            <w:r w:rsidRPr="0047674A">
              <w:rPr>
                <w:b/>
                <w:bCs/>
                <w:sz w:val="22"/>
                <w:szCs w:val="18"/>
                <w:lang w:eastAsia="fr-FR"/>
              </w:rPr>
              <w:t>Majoration</w:t>
            </w:r>
          </w:p>
        </w:tc>
        <w:tc>
          <w:tcPr>
            <w:tcW w:w="1605" w:type="dxa"/>
            <w:tcBorders>
              <w:left w:val="triple" w:sz="4" w:space="0" w:color="auto"/>
              <w:bottom w:val="single" w:sz="4" w:space="0" w:color="auto"/>
            </w:tcBorders>
            <w:vAlign w:val="center"/>
          </w:tcPr>
          <w:p w14:paraId="5F35D84C" w14:textId="77777777" w:rsidR="0047674A" w:rsidRPr="0047674A" w:rsidRDefault="0047674A" w:rsidP="0047674A">
            <w:pPr>
              <w:overflowPunct w:val="0"/>
              <w:autoSpaceDE w:val="0"/>
              <w:autoSpaceDN w:val="0"/>
              <w:adjustRightInd w:val="0"/>
              <w:jc w:val="both"/>
              <w:textAlignment w:val="baseline"/>
              <w:rPr>
                <w:b/>
                <w:bCs/>
                <w:sz w:val="22"/>
                <w:szCs w:val="18"/>
                <w:lang w:eastAsia="fr-FR"/>
              </w:rPr>
            </w:pPr>
            <w:r w:rsidRPr="0047674A">
              <w:rPr>
                <w:b/>
                <w:bCs/>
                <w:sz w:val="22"/>
                <w:szCs w:val="18"/>
                <w:lang w:eastAsia="fr-FR"/>
              </w:rPr>
              <w:t>Revenu</w:t>
            </w:r>
          </w:p>
        </w:tc>
        <w:tc>
          <w:tcPr>
            <w:tcW w:w="1605" w:type="dxa"/>
            <w:tcBorders>
              <w:bottom w:val="single" w:sz="4" w:space="0" w:color="auto"/>
            </w:tcBorders>
            <w:vAlign w:val="center"/>
          </w:tcPr>
          <w:p w14:paraId="2FB7C509" w14:textId="77777777" w:rsidR="0047674A" w:rsidRPr="0047674A" w:rsidRDefault="0047674A" w:rsidP="0047674A">
            <w:pPr>
              <w:overflowPunct w:val="0"/>
              <w:autoSpaceDE w:val="0"/>
              <w:autoSpaceDN w:val="0"/>
              <w:adjustRightInd w:val="0"/>
              <w:jc w:val="both"/>
              <w:textAlignment w:val="baseline"/>
              <w:rPr>
                <w:b/>
                <w:bCs/>
                <w:sz w:val="22"/>
                <w:szCs w:val="18"/>
                <w:lang w:eastAsia="fr-FR"/>
              </w:rPr>
            </w:pPr>
            <w:r w:rsidRPr="0047674A">
              <w:rPr>
                <w:b/>
                <w:bCs/>
                <w:sz w:val="22"/>
                <w:szCs w:val="18"/>
                <w:lang w:eastAsia="fr-FR"/>
              </w:rPr>
              <w:t>Taux IC</w:t>
            </w:r>
          </w:p>
        </w:tc>
        <w:tc>
          <w:tcPr>
            <w:tcW w:w="1605" w:type="dxa"/>
            <w:tcBorders>
              <w:bottom w:val="single" w:sz="4" w:space="0" w:color="auto"/>
            </w:tcBorders>
            <w:vAlign w:val="center"/>
          </w:tcPr>
          <w:p w14:paraId="380EB38D" w14:textId="77777777" w:rsidR="0047674A" w:rsidRPr="0047674A" w:rsidRDefault="0047674A" w:rsidP="0047674A">
            <w:pPr>
              <w:overflowPunct w:val="0"/>
              <w:autoSpaceDE w:val="0"/>
              <w:autoSpaceDN w:val="0"/>
              <w:adjustRightInd w:val="0"/>
              <w:jc w:val="both"/>
              <w:textAlignment w:val="baseline"/>
              <w:rPr>
                <w:b/>
                <w:bCs/>
                <w:sz w:val="22"/>
                <w:szCs w:val="18"/>
                <w:lang w:eastAsia="fr-FR"/>
              </w:rPr>
            </w:pPr>
            <w:r w:rsidRPr="0047674A">
              <w:rPr>
                <w:b/>
                <w:bCs/>
                <w:sz w:val="22"/>
                <w:szCs w:val="18"/>
                <w:lang w:eastAsia="fr-FR"/>
              </w:rPr>
              <w:t>Majoration</w:t>
            </w:r>
          </w:p>
        </w:tc>
      </w:tr>
      <w:tr w:rsidR="0047674A" w:rsidRPr="0047674A" w14:paraId="2E556FB8" w14:textId="77777777" w:rsidTr="005F14B3">
        <w:trPr>
          <w:trHeight w:val="184"/>
        </w:trPr>
        <w:tc>
          <w:tcPr>
            <w:tcW w:w="1604" w:type="dxa"/>
            <w:tcBorders>
              <w:top w:val="single" w:sz="4" w:space="0" w:color="auto"/>
              <w:left w:val="single" w:sz="4" w:space="0" w:color="auto"/>
              <w:bottom w:val="single" w:sz="4" w:space="0" w:color="auto"/>
              <w:right w:val="nil"/>
            </w:tcBorders>
            <w:shd w:val="clear" w:color="000000" w:fill="auto"/>
            <w:vAlign w:val="center"/>
          </w:tcPr>
          <w:p w14:paraId="6A4FC905"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11DFB357"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0.0000</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4DEFC102"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1CC509B"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163D0CD9"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0.0000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3F229FB3"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0.0000</w:t>
            </w:r>
          </w:p>
        </w:tc>
      </w:tr>
      <w:tr w:rsidR="0047674A" w:rsidRPr="0047674A" w14:paraId="6B588E3B" w14:textId="77777777" w:rsidTr="005F14B3">
        <w:trPr>
          <w:trHeight w:val="133"/>
        </w:trPr>
        <w:tc>
          <w:tcPr>
            <w:tcW w:w="1604" w:type="dxa"/>
            <w:tcBorders>
              <w:top w:val="single" w:sz="4" w:space="0" w:color="auto"/>
              <w:left w:val="single" w:sz="4" w:space="0" w:color="auto"/>
              <w:bottom w:val="single" w:sz="4" w:space="0" w:color="auto"/>
              <w:right w:val="nil"/>
            </w:tcBorders>
            <w:shd w:val="clear" w:color="000000" w:fill="auto"/>
            <w:vAlign w:val="center"/>
          </w:tcPr>
          <w:p w14:paraId="1EABA995" w14:textId="4B72D848"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5</w:t>
            </w:r>
            <w:r>
              <w:rPr>
                <w:sz w:val="22"/>
                <w:szCs w:val="22"/>
                <w:lang w:val="fr-FR" w:eastAsia="fr-FR"/>
              </w:rPr>
              <w:t>’</w:t>
            </w:r>
            <w:r w:rsidRPr="0047674A">
              <w:rPr>
                <w:sz w:val="22"/>
                <w:szCs w:val="22"/>
                <w:lang w:val="fr-FR" w:eastAsia="fr-FR"/>
              </w:rPr>
              <w:t>200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3A957466"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1.0000</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129F3A89"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0.0259</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1954635" w14:textId="3445C960"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5’500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6B307B7"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1.0000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2D3BD49E"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0.0245</w:t>
            </w:r>
          </w:p>
        </w:tc>
      </w:tr>
      <w:tr w:rsidR="0047674A" w:rsidRPr="0047674A" w14:paraId="29EAF726"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3F556FA9" w14:textId="3FEDE749"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17</w:t>
            </w:r>
            <w:r>
              <w:rPr>
                <w:sz w:val="22"/>
                <w:szCs w:val="22"/>
                <w:lang w:val="fr-FR" w:eastAsia="fr-FR"/>
              </w:rPr>
              <w:t>’</w:t>
            </w:r>
            <w:r w:rsidRPr="0047674A">
              <w:rPr>
                <w:sz w:val="22"/>
                <w:szCs w:val="22"/>
                <w:lang w:val="fr-FR" w:eastAsia="fr-FR"/>
              </w:rPr>
              <w:t>500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4BA9748B"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4.1745</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3EE8E3A5"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0.0147</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772010B" w14:textId="30502DCD"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18’500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B9EBD24"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4.1745</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53CAE61E"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0.0140</w:t>
            </w:r>
          </w:p>
        </w:tc>
      </w:tr>
      <w:tr w:rsidR="0047674A" w:rsidRPr="0047674A" w14:paraId="21553C04"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36183603" w14:textId="516275CE"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31</w:t>
            </w:r>
            <w:r>
              <w:rPr>
                <w:sz w:val="22"/>
                <w:szCs w:val="22"/>
                <w:lang w:val="fr-FR" w:eastAsia="fr-FR"/>
              </w:rPr>
              <w:t>’</w:t>
            </w:r>
            <w:r w:rsidRPr="0047674A">
              <w:rPr>
                <w:sz w:val="22"/>
                <w:szCs w:val="22"/>
                <w:lang w:val="fr-FR" w:eastAsia="fr-FR"/>
              </w:rPr>
              <w:t>400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59DCD653"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6.2139</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081701B3"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0.0108</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75A8F7CE" w14:textId="01021C2F"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33’100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6E379A7C"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6.2147</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62E829A"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0.0102</w:t>
            </w:r>
          </w:p>
        </w:tc>
      </w:tr>
      <w:tr w:rsidR="0047674A" w:rsidRPr="0047674A" w14:paraId="1D3BD922"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5DEC38C6" w14:textId="5B83C81B"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48</w:t>
            </w:r>
            <w:r>
              <w:rPr>
                <w:sz w:val="22"/>
                <w:szCs w:val="22"/>
                <w:lang w:val="fr-FR" w:eastAsia="fr-FR"/>
              </w:rPr>
              <w:t>’</w:t>
            </w:r>
            <w:r w:rsidRPr="0047674A">
              <w:rPr>
                <w:sz w:val="22"/>
                <w:szCs w:val="22"/>
                <w:lang w:val="fr-FR" w:eastAsia="fr-FR"/>
              </w:rPr>
              <w:t>300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4A4ADD2B"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8.0352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3513A146"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0.0069</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4D1ECE6D" w14:textId="17092B7C"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50’900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1E1F6D4"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8.0267</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44C6E494"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0.0066</w:t>
            </w:r>
          </w:p>
        </w:tc>
      </w:tr>
      <w:tr w:rsidR="0047674A" w:rsidRPr="0047674A" w14:paraId="2C18D2AA"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1C05BF40" w14:textId="113A41C3"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63</w:t>
            </w:r>
            <w:r>
              <w:rPr>
                <w:sz w:val="22"/>
                <w:szCs w:val="22"/>
                <w:lang w:val="fr-FR" w:eastAsia="fr-FR"/>
              </w:rPr>
              <w:t>’</w:t>
            </w:r>
            <w:r w:rsidRPr="0047674A">
              <w:rPr>
                <w:sz w:val="22"/>
                <w:szCs w:val="22"/>
                <w:lang w:val="fr-FR" w:eastAsia="fr-FR"/>
              </w:rPr>
              <w:t>800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2386C22F"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9.1042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03D446F1"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0.0064</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1B23211" w14:textId="12D93EF9"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67’200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2C377797"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9.1020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6F3A549"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0.0061</w:t>
            </w:r>
          </w:p>
        </w:tc>
      </w:tr>
      <w:tr w:rsidR="0047674A" w:rsidRPr="0047674A" w14:paraId="33D4030B"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4F5681DF" w14:textId="6D8F01F5"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77</w:t>
            </w:r>
            <w:r>
              <w:rPr>
                <w:sz w:val="22"/>
                <w:szCs w:val="22"/>
                <w:lang w:val="fr-FR" w:eastAsia="fr-FR"/>
              </w:rPr>
              <w:t>’</w:t>
            </w:r>
            <w:r w:rsidRPr="0047674A">
              <w:rPr>
                <w:sz w:val="22"/>
                <w:szCs w:val="22"/>
                <w:lang w:val="fr-FR" w:eastAsia="fr-FR"/>
              </w:rPr>
              <w:t>600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44C1381B"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9.9846</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43923375"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0.0036</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ACCEC90" w14:textId="3C6BBA52"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81’800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29C4115"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9.9899</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3F798444"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0.0034</w:t>
            </w:r>
          </w:p>
        </w:tc>
      </w:tr>
      <w:tr w:rsidR="0047674A" w:rsidRPr="0047674A" w14:paraId="3FEFEA9D"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67857B69" w14:textId="23DCAC96"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102</w:t>
            </w:r>
            <w:r>
              <w:rPr>
                <w:sz w:val="22"/>
                <w:szCs w:val="22"/>
                <w:lang w:val="fr-FR" w:eastAsia="fr-FR"/>
              </w:rPr>
              <w:t>’</w:t>
            </w:r>
            <w:r w:rsidRPr="0047674A">
              <w:rPr>
                <w:sz w:val="22"/>
                <w:szCs w:val="22"/>
                <w:lang w:val="fr-FR" w:eastAsia="fr-FR"/>
              </w:rPr>
              <w:t>100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06DC50C0"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10.8662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4D1294EA"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0.0032</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CE7B391" w14:textId="2262C53E"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107’600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FE0A45B"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10.8667</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280E195E"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0.0030</w:t>
            </w:r>
          </w:p>
        </w:tc>
      </w:tr>
      <w:tr w:rsidR="0047674A" w:rsidRPr="0047674A" w14:paraId="7EBDBB98"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72085D1A" w14:textId="5A61A422"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128</w:t>
            </w:r>
            <w:r>
              <w:rPr>
                <w:sz w:val="22"/>
                <w:szCs w:val="22"/>
                <w:lang w:val="fr-FR" w:eastAsia="fr-FR"/>
              </w:rPr>
              <w:t>’</w:t>
            </w:r>
            <w:r w:rsidRPr="0047674A">
              <w:rPr>
                <w:sz w:val="22"/>
                <w:szCs w:val="22"/>
                <w:lang w:val="fr-FR" w:eastAsia="fr-FR"/>
              </w:rPr>
              <w:t>700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45E8A701"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11.7172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095BB53F"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0.0030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1E44EA3C" w14:textId="70F3C021"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135’600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4DACA0D"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11.7066</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8862EC9"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0.0029</w:t>
            </w:r>
          </w:p>
        </w:tc>
      </w:tr>
      <w:tr w:rsidR="0047674A" w:rsidRPr="0047674A" w14:paraId="4ADE3E61"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4FD2A99C" w14:textId="5AF2D115"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156</w:t>
            </w:r>
            <w:r>
              <w:rPr>
                <w:sz w:val="22"/>
                <w:szCs w:val="22"/>
                <w:lang w:val="fr-FR" w:eastAsia="fr-FR"/>
              </w:rPr>
              <w:t>’</w:t>
            </w:r>
            <w:r w:rsidRPr="0047674A">
              <w:rPr>
                <w:sz w:val="22"/>
                <w:szCs w:val="22"/>
                <w:lang w:val="fr-FR" w:eastAsia="fr-FR"/>
              </w:rPr>
              <w:t>000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5FC19505"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12.5355</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207EC85F"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0.0023</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AD99909" w14:textId="73E37BB8"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164’300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48D0D4C5"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12.5382</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0E7F75FE"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0.0022</w:t>
            </w:r>
          </w:p>
        </w:tc>
      </w:tr>
      <w:tr w:rsidR="0047674A" w:rsidRPr="0047674A" w14:paraId="49318690"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4B0BF66A" w14:textId="2DC04AA6"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181</w:t>
            </w:r>
            <w:r>
              <w:rPr>
                <w:sz w:val="22"/>
                <w:szCs w:val="22"/>
                <w:lang w:val="fr-FR" w:eastAsia="fr-FR"/>
              </w:rPr>
              <w:t>’</w:t>
            </w:r>
            <w:r w:rsidRPr="0047674A">
              <w:rPr>
                <w:sz w:val="22"/>
                <w:szCs w:val="22"/>
                <w:lang w:val="fr-FR" w:eastAsia="fr-FR"/>
              </w:rPr>
              <w:t>000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24F91EEB"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13.1097</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0423F21E"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0.0015</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720C2D15" w14:textId="0C8E0EF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190’600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82A63B5"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13.1160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D3FF1F0"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0.0014</w:t>
            </w:r>
          </w:p>
        </w:tc>
      </w:tr>
      <w:tr w:rsidR="0047674A" w:rsidRPr="0047674A" w14:paraId="59A17C61"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0C041E41" w14:textId="43C9D650"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207</w:t>
            </w:r>
            <w:r>
              <w:rPr>
                <w:sz w:val="22"/>
                <w:szCs w:val="22"/>
                <w:lang w:val="fr-FR" w:eastAsia="fr-FR"/>
              </w:rPr>
              <w:t>’</w:t>
            </w:r>
            <w:r w:rsidRPr="0047674A">
              <w:rPr>
                <w:sz w:val="22"/>
                <w:szCs w:val="22"/>
                <w:lang w:val="fr-FR" w:eastAsia="fr-FR"/>
              </w:rPr>
              <w:t>100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15095239"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13.5000</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21A40770" w14:textId="77777777" w:rsidR="0047674A" w:rsidRPr="0047674A" w:rsidRDefault="0047674A" w:rsidP="0047674A">
            <w:pPr>
              <w:overflowPunct w:val="0"/>
              <w:autoSpaceDE w:val="0"/>
              <w:autoSpaceDN w:val="0"/>
              <w:adjustRightInd w:val="0"/>
              <w:jc w:val="right"/>
              <w:textAlignment w:val="baseline"/>
              <w:rPr>
                <w:sz w:val="22"/>
                <w:szCs w:val="22"/>
                <w:lang w:eastAsia="fr-FR"/>
              </w:rPr>
            </w:pPr>
            <w:r w:rsidRPr="0047674A">
              <w:rPr>
                <w:sz w:val="22"/>
                <w:szCs w:val="22"/>
                <w:lang w:val="fr-FR" w:eastAsia="fr-FR"/>
              </w:rPr>
              <w:t>0.0000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2CBE060A" w14:textId="49B44C8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218’100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10FA89DF"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13.5000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7687FA7D" w14:textId="77777777" w:rsidR="0047674A" w:rsidRPr="00207D02" w:rsidRDefault="0047674A" w:rsidP="0047674A">
            <w:pPr>
              <w:overflowPunct w:val="0"/>
              <w:autoSpaceDE w:val="0"/>
              <w:autoSpaceDN w:val="0"/>
              <w:adjustRightInd w:val="0"/>
              <w:jc w:val="right"/>
              <w:textAlignment w:val="baseline"/>
              <w:rPr>
                <w:sz w:val="22"/>
                <w:szCs w:val="22"/>
                <w:lang w:val="fr-FR" w:eastAsia="fr-FR"/>
              </w:rPr>
            </w:pPr>
            <w:r w:rsidRPr="00207D02">
              <w:rPr>
                <w:sz w:val="22"/>
                <w:szCs w:val="22"/>
                <w:lang w:val="fr-FR" w:eastAsia="fr-FR"/>
              </w:rPr>
              <w:t>0.0000</w:t>
            </w:r>
          </w:p>
        </w:tc>
      </w:tr>
    </w:tbl>
    <w:p w14:paraId="2315C324" w14:textId="77777777" w:rsidR="0047674A" w:rsidRDefault="0047674A" w:rsidP="00801213">
      <w:pPr>
        <w:pStyle w:val="Corpsdetexte"/>
      </w:pPr>
    </w:p>
    <w:p w14:paraId="39808EFD" w14:textId="4A0AB844" w:rsidR="0047674A" w:rsidRDefault="0047674A" w:rsidP="00801213">
      <w:pPr>
        <w:pStyle w:val="Corpsdetexte"/>
      </w:pPr>
      <w:r w:rsidRPr="0047674A">
        <w:t>Le barème de l’impôt sur la fortune a été indexé et génère une diminution d’impôt pour tous les contribuables</w:t>
      </w:r>
      <w:r w:rsidR="00FA7974">
        <w:t>, à l’exception de ceux qui sont déjà imposés au taux maximum</w:t>
      </w:r>
      <w:r w:rsidR="00FA7974" w:rsidRPr="0047674A">
        <w:t>.</w:t>
      </w:r>
      <w:r w:rsidRPr="0047674A">
        <w:t xml:space="preserve"> Le seuil d’imposition n’est pas modifié</w:t>
      </w:r>
      <w:r>
        <w:t>.</w:t>
      </w:r>
    </w:p>
    <w:p w14:paraId="20FCCAE9" w14:textId="77777777" w:rsidR="001E43D4" w:rsidRDefault="001E43D4" w:rsidP="00801213">
      <w:pPr>
        <w:pStyle w:val="Corpsdetexte"/>
      </w:pPr>
    </w:p>
    <w:tbl>
      <w:tblPr>
        <w:tblStyle w:val="Grilledutableau2"/>
        <w:tblW w:w="0" w:type="auto"/>
        <w:tblLayout w:type="fixed"/>
        <w:tblLook w:val="04A0" w:firstRow="1" w:lastRow="0" w:firstColumn="1" w:lastColumn="0" w:noHBand="0" w:noVBand="1"/>
      </w:tblPr>
      <w:tblGrid>
        <w:gridCol w:w="1203"/>
        <w:gridCol w:w="1060"/>
        <w:gridCol w:w="1418"/>
        <w:gridCol w:w="1133"/>
        <w:gridCol w:w="1204"/>
        <w:gridCol w:w="1065"/>
        <w:gridCol w:w="1342"/>
        <w:gridCol w:w="1204"/>
      </w:tblGrid>
      <w:tr w:rsidR="0047674A" w:rsidRPr="0047674A" w14:paraId="12CF7979" w14:textId="77777777" w:rsidTr="005F14B3">
        <w:trPr>
          <w:trHeight w:val="113"/>
        </w:trPr>
        <w:tc>
          <w:tcPr>
            <w:tcW w:w="4814" w:type="dxa"/>
            <w:gridSpan w:val="4"/>
            <w:tcBorders>
              <w:right w:val="triple" w:sz="4" w:space="0" w:color="auto"/>
            </w:tcBorders>
          </w:tcPr>
          <w:p w14:paraId="684FEA4D" w14:textId="77777777" w:rsidR="0047674A" w:rsidRPr="0047674A" w:rsidRDefault="0047674A" w:rsidP="0047674A">
            <w:pPr>
              <w:overflowPunct w:val="0"/>
              <w:autoSpaceDE w:val="0"/>
              <w:autoSpaceDN w:val="0"/>
              <w:adjustRightInd w:val="0"/>
              <w:jc w:val="center"/>
              <w:textAlignment w:val="baseline"/>
              <w:rPr>
                <w:b/>
                <w:bCs/>
                <w:sz w:val="22"/>
                <w:szCs w:val="18"/>
                <w:lang w:eastAsia="fr-FR"/>
              </w:rPr>
            </w:pPr>
            <w:r w:rsidRPr="0047674A">
              <w:rPr>
                <w:b/>
                <w:bCs/>
                <w:sz w:val="22"/>
                <w:szCs w:val="18"/>
                <w:lang w:eastAsia="fr-FR"/>
              </w:rPr>
              <w:t>Ancien barème</w:t>
            </w:r>
          </w:p>
        </w:tc>
        <w:tc>
          <w:tcPr>
            <w:tcW w:w="4815" w:type="dxa"/>
            <w:gridSpan w:val="4"/>
          </w:tcPr>
          <w:p w14:paraId="5CDC8462" w14:textId="77777777" w:rsidR="0047674A" w:rsidRPr="0047674A" w:rsidRDefault="0047674A" w:rsidP="0047674A">
            <w:pPr>
              <w:overflowPunct w:val="0"/>
              <w:autoSpaceDE w:val="0"/>
              <w:autoSpaceDN w:val="0"/>
              <w:adjustRightInd w:val="0"/>
              <w:jc w:val="center"/>
              <w:textAlignment w:val="baseline"/>
              <w:rPr>
                <w:b/>
                <w:bCs/>
                <w:sz w:val="22"/>
                <w:szCs w:val="18"/>
                <w:lang w:eastAsia="fr-FR"/>
              </w:rPr>
            </w:pPr>
            <w:r w:rsidRPr="0047674A">
              <w:rPr>
                <w:b/>
                <w:bCs/>
                <w:sz w:val="22"/>
                <w:szCs w:val="18"/>
                <w:lang w:eastAsia="fr-FR"/>
              </w:rPr>
              <w:t>Nouveau Barème</w:t>
            </w:r>
          </w:p>
        </w:tc>
      </w:tr>
      <w:tr w:rsidR="0047674A" w:rsidRPr="0047674A" w14:paraId="450357A8" w14:textId="77777777" w:rsidTr="005F14B3">
        <w:trPr>
          <w:trHeight w:val="113"/>
        </w:trPr>
        <w:tc>
          <w:tcPr>
            <w:tcW w:w="1203" w:type="dxa"/>
            <w:tcBorders>
              <w:bottom w:val="single" w:sz="4" w:space="0" w:color="auto"/>
            </w:tcBorders>
            <w:vAlign w:val="center"/>
          </w:tcPr>
          <w:p w14:paraId="3C73D094"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Fortune imposable</w:t>
            </w:r>
          </w:p>
        </w:tc>
        <w:tc>
          <w:tcPr>
            <w:tcW w:w="1060" w:type="dxa"/>
            <w:tcBorders>
              <w:bottom w:val="single" w:sz="4" w:space="0" w:color="auto"/>
            </w:tcBorders>
            <w:vAlign w:val="center"/>
          </w:tcPr>
          <w:p w14:paraId="42158B64"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Cote en Fr.</w:t>
            </w:r>
          </w:p>
        </w:tc>
        <w:tc>
          <w:tcPr>
            <w:tcW w:w="1418" w:type="dxa"/>
            <w:tcBorders>
              <w:bottom w:val="single" w:sz="4" w:space="0" w:color="auto"/>
            </w:tcBorders>
          </w:tcPr>
          <w:p w14:paraId="4F915C0F"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Majoration en Fr. par 1000.-</w:t>
            </w:r>
          </w:p>
        </w:tc>
        <w:tc>
          <w:tcPr>
            <w:tcW w:w="1133" w:type="dxa"/>
            <w:tcBorders>
              <w:bottom w:val="single" w:sz="4" w:space="0" w:color="auto"/>
              <w:right w:val="triple" w:sz="4" w:space="0" w:color="auto"/>
            </w:tcBorders>
            <w:vAlign w:val="center"/>
          </w:tcPr>
          <w:p w14:paraId="16859866"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Taux d’impôt en ‰</w:t>
            </w:r>
          </w:p>
        </w:tc>
        <w:tc>
          <w:tcPr>
            <w:tcW w:w="1204" w:type="dxa"/>
            <w:tcBorders>
              <w:left w:val="triple" w:sz="4" w:space="0" w:color="auto"/>
              <w:bottom w:val="single" w:sz="4" w:space="0" w:color="auto"/>
            </w:tcBorders>
            <w:vAlign w:val="center"/>
          </w:tcPr>
          <w:p w14:paraId="1E343894"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Fortune imposable</w:t>
            </w:r>
          </w:p>
        </w:tc>
        <w:tc>
          <w:tcPr>
            <w:tcW w:w="1065" w:type="dxa"/>
            <w:tcBorders>
              <w:bottom w:val="single" w:sz="4" w:space="0" w:color="auto"/>
            </w:tcBorders>
            <w:vAlign w:val="center"/>
          </w:tcPr>
          <w:p w14:paraId="546B5018"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Cote en Fr.</w:t>
            </w:r>
          </w:p>
        </w:tc>
        <w:tc>
          <w:tcPr>
            <w:tcW w:w="1342" w:type="dxa"/>
            <w:tcBorders>
              <w:bottom w:val="single" w:sz="4" w:space="0" w:color="auto"/>
            </w:tcBorders>
          </w:tcPr>
          <w:p w14:paraId="33EC89C0"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Majoration en Fr. par 1000.-</w:t>
            </w:r>
          </w:p>
        </w:tc>
        <w:tc>
          <w:tcPr>
            <w:tcW w:w="1204" w:type="dxa"/>
            <w:tcBorders>
              <w:bottom w:val="single" w:sz="4" w:space="0" w:color="auto"/>
            </w:tcBorders>
            <w:vAlign w:val="center"/>
          </w:tcPr>
          <w:p w14:paraId="146D6D35" w14:textId="77777777" w:rsidR="0047674A" w:rsidRPr="0047674A" w:rsidRDefault="0047674A" w:rsidP="0047674A">
            <w:pPr>
              <w:overflowPunct w:val="0"/>
              <w:autoSpaceDE w:val="0"/>
              <w:autoSpaceDN w:val="0"/>
              <w:adjustRightInd w:val="0"/>
              <w:textAlignment w:val="baseline"/>
              <w:rPr>
                <w:b/>
                <w:bCs/>
                <w:sz w:val="22"/>
                <w:szCs w:val="18"/>
                <w:lang w:eastAsia="fr-FR"/>
              </w:rPr>
            </w:pPr>
            <w:r w:rsidRPr="0047674A">
              <w:rPr>
                <w:b/>
                <w:bCs/>
                <w:sz w:val="22"/>
                <w:szCs w:val="18"/>
                <w:lang w:eastAsia="fr-FR"/>
              </w:rPr>
              <w:t>Taux d’impôt en ‰</w:t>
            </w:r>
          </w:p>
        </w:tc>
      </w:tr>
      <w:tr w:rsidR="0047674A" w:rsidRPr="0047674A" w14:paraId="48FF273D" w14:textId="77777777" w:rsidTr="005F14B3">
        <w:trPr>
          <w:trHeight w:val="184"/>
        </w:trPr>
        <w:tc>
          <w:tcPr>
            <w:tcW w:w="1203" w:type="dxa"/>
            <w:tcBorders>
              <w:top w:val="single" w:sz="4" w:space="0" w:color="auto"/>
              <w:left w:val="single" w:sz="4" w:space="0" w:color="auto"/>
              <w:bottom w:val="single" w:sz="4" w:space="0" w:color="auto"/>
              <w:right w:val="nil"/>
            </w:tcBorders>
            <w:shd w:val="clear" w:color="000000" w:fill="auto"/>
          </w:tcPr>
          <w:p w14:paraId="2C4693DC"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0</w:t>
            </w:r>
          </w:p>
        </w:tc>
        <w:tc>
          <w:tcPr>
            <w:tcW w:w="1060" w:type="dxa"/>
            <w:tcBorders>
              <w:top w:val="single" w:sz="4" w:space="0" w:color="auto"/>
              <w:left w:val="single" w:sz="4" w:space="0" w:color="auto"/>
              <w:bottom w:val="single" w:sz="4" w:space="0" w:color="auto"/>
              <w:right w:val="nil"/>
            </w:tcBorders>
            <w:shd w:val="clear" w:color="000000" w:fill="auto"/>
          </w:tcPr>
          <w:p w14:paraId="2AA331DE"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51BCEE69"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0.50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5813070A"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0.00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6D01DCC0"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7B7EB4F2"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46F0AA37"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0.50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19BED507"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0.00</w:t>
            </w:r>
          </w:p>
        </w:tc>
      </w:tr>
      <w:tr w:rsidR="0047674A" w:rsidRPr="0047674A" w14:paraId="7133645F" w14:textId="77777777" w:rsidTr="005F14B3">
        <w:trPr>
          <w:trHeight w:val="133"/>
        </w:trPr>
        <w:tc>
          <w:tcPr>
            <w:tcW w:w="1203" w:type="dxa"/>
            <w:tcBorders>
              <w:top w:val="single" w:sz="4" w:space="0" w:color="auto"/>
              <w:left w:val="single" w:sz="4" w:space="0" w:color="auto"/>
              <w:bottom w:val="single" w:sz="4" w:space="0" w:color="auto"/>
              <w:right w:val="nil"/>
            </w:tcBorders>
            <w:shd w:val="clear" w:color="000000" w:fill="auto"/>
          </w:tcPr>
          <w:p w14:paraId="7F9123C0" w14:textId="6920D83D"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50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7E157FB9"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25</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19D1C988"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1.10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202D1A7C"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0.50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7D5DC3BC" w14:textId="1E11CD89"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53’000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112B0873"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26.50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3AEFCEB6"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1.10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1CD9F908"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0.50</w:t>
            </w:r>
          </w:p>
        </w:tc>
      </w:tr>
      <w:tr w:rsidR="0047674A" w:rsidRPr="0047674A" w14:paraId="2051566D"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5B9E80C1" w14:textId="02818A6F"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100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6ABE49D9"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80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2123EC97"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1.80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7A381FC3"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0.80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562783E9" w14:textId="419445CA"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105’000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44FC5617"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83.70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1F7F7F08"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1.80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7939251A"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0.80</w:t>
            </w:r>
          </w:p>
        </w:tc>
      </w:tr>
      <w:tr w:rsidR="0047674A" w:rsidRPr="0047674A" w14:paraId="77804E9C"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6B6D505D" w14:textId="218F6453"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200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5BB0E589"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260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2C62AC63"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2.50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607C0FDB"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1.30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12791FC0" w14:textId="58B42599"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211’000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4BC3BE66"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274.50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2F6C2AFE"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2.50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63BA273E"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1.30</w:t>
            </w:r>
          </w:p>
        </w:tc>
      </w:tr>
      <w:tr w:rsidR="0047674A" w:rsidRPr="0047674A" w14:paraId="6253BA39"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1054B5C1" w14:textId="164A3AF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400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1CCD62FD"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760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0E5B4E64"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3.10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5FDB1AEF"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1.90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73A51D09" w14:textId="35C85C9B"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421’000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2057D6C9"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799.50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64D7A1E0"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3.10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3F6A0BCE"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1.90</w:t>
            </w:r>
          </w:p>
        </w:tc>
      </w:tr>
      <w:tr w:rsidR="0047674A" w:rsidRPr="0047674A" w14:paraId="5473A40E"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411BF51F" w14:textId="46AB615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700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68978CFC" w14:textId="51CD65A3"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1</w:t>
            </w:r>
            <w:r>
              <w:rPr>
                <w:sz w:val="22"/>
                <w:szCs w:val="22"/>
                <w:lang w:val="fr-FR" w:eastAsia="fr-FR"/>
              </w:rPr>
              <w:t>’</w:t>
            </w:r>
            <w:r w:rsidRPr="0047674A">
              <w:rPr>
                <w:sz w:val="22"/>
                <w:szCs w:val="22"/>
                <w:lang w:val="fr-FR" w:eastAsia="fr-FR"/>
              </w:rPr>
              <w:t>690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1908A0E0"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3.50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7B10787B"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2.41</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41EAEEFC" w14:textId="3E0219A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737’000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6CDF0D64" w14:textId="4C604674"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1’779.10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441198FC"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3.50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7226C580"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2.41</w:t>
            </w:r>
          </w:p>
        </w:tc>
      </w:tr>
      <w:tr w:rsidR="0047674A" w:rsidRPr="0047674A" w14:paraId="40850EC8"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73697DEE" w14:textId="022D1AD2"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1</w:t>
            </w:r>
            <w:r>
              <w:rPr>
                <w:sz w:val="22"/>
                <w:szCs w:val="22"/>
                <w:lang w:val="fr-FR" w:eastAsia="fr-FR"/>
              </w:rPr>
              <w:t>'</w:t>
            </w:r>
            <w:r w:rsidRPr="0047674A">
              <w:rPr>
                <w:sz w:val="22"/>
                <w:szCs w:val="22"/>
                <w:lang w:val="fr-FR" w:eastAsia="fr-FR"/>
              </w:rPr>
              <w:t>000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3111134A" w14:textId="7EEC317D"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w:t>
            </w:r>
            <w:r>
              <w:rPr>
                <w:sz w:val="22"/>
                <w:szCs w:val="22"/>
                <w:lang w:val="fr-FR" w:eastAsia="fr-FR"/>
              </w:rPr>
              <w:t>’</w:t>
            </w:r>
            <w:r w:rsidRPr="0047674A">
              <w:rPr>
                <w:sz w:val="22"/>
                <w:szCs w:val="22"/>
                <w:lang w:val="fr-FR" w:eastAsia="fr-FR"/>
              </w:rPr>
              <w:t>740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771DD339"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3.70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4E3D2DA3"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2.74</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1C0CB0D7" w14:textId="451E8699"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1'053’000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2DE8EDCA" w14:textId="39AADC68"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2’885.10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5BF73560"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3.70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35C7794B"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2.74</w:t>
            </w:r>
          </w:p>
        </w:tc>
      </w:tr>
      <w:tr w:rsidR="0047674A" w:rsidRPr="0047674A" w14:paraId="3B3DE3E7"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vAlign w:val="center"/>
          </w:tcPr>
          <w:p w14:paraId="4B94F502" w14:textId="2FCED6D8"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1</w:t>
            </w:r>
            <w:r>
              <w:rPr>
                <w:sz w:val="22"/>
                <w:szCs w:val="22"/>
                <w:lang w:val="fr-FR" w:eastAsia="fr-FR"/>
              </w:rPr>
              <w:t>'</w:t>
            </w:r>
            <w:r w:rsidRPr="0047674A">
              <w:rPr>
                <w:sz w:val="22"/>
                <w:szCs w:val="22"/>
                <w:lang w:val="fr-FR" w:eastAsia="fr-FR"/>
              </w:rPr>
              <w:t>200</w:t>
            </w:r>
            <w:r>
              <w:rPr>
                <w:sz w:val="22"/>
                <w:szCs w:val="22"/>
                <w:lang w:val="fr-FR" w:eastAsia="fr-FR"/>
              </w:rPr>
              <w:t>’</w:t>
            </w:r>
            <w:r w:rsidRPr="0047674A">
              <w:rPr>
                <w:sz w:val="22"/>
                <w:szCs w:val="22"/>
                <w:lang w:val="fr-FR" w:eastAsia="fr-FR"/>
              </w:rPr>
              <w:t>000</w:t>
            </w:r>
          </w:p>
        </w:tc>
        <w:tc>
          <w:tcPr>
            <w:tcW w:w="1060" w:type="dxa"/>
            <w:tcBorders>
              <w:top w:val="single" w:sz="4" w:space="0" w:color="auto"/>
              <w:left w:val="single" w:sz="4" w:space="0" w:color="auto"/>
              <w:bottom w:val="single" w:sz="4" w:space="0" w:color="auto"/>
              <w:right w:val="nil"/>
            </w:tcBorders>
            <w:shd w:val="clear" w:color="000000" w:fill="auto"/>
          </w:tcPr>
          <w:p w14:paraId="2C882C36" w14:textId="60AA5639"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3</w:t>
            </w:r>
            <w:r>
              <w:rPr>
                <w:sz w:val="22"/>
                <w:szCs w:val="22"/>
                <w:lang w:val="fr-FR" w:eastAsia="fr-FR"/>
              </w:rPr>
              <w:t>’</w:t>
            </w:r>
            <w:r w:rsidRPr="0047674A">
              <w:rPr>
                <w:sz w:val="22"/>
                <w:szCs w:val="22"/>
                <w:lang w:val="fr-FR" w:eastAsia="fr-FR"/>
              </w:rPr>
              <w:t>480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7F14EF53"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2.90</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612E4FF1" w14:textId="77777777" w:rsidR="0047674A" w:rsidRPr="0047674A" w:rsidRDefault="0047674A" w:rsidP="0047674A">
            <w:pPr>
              <w:overflowPunct w:val="0"/>
              <w:autoSpaceDE w:val="0"/>
              <w:autoSpaceDN w:val="0"/>
              <w:adjustRightInd w:val="0"/>
              <w:jc w:val="right"/>
              <w:textAlignment w:val="baseline"/>
              <w:rPr>
                <w:sz w:val="22"/>
                <w:szCs w:val="22"/>
                <w:lang w:val="fr-FR" w:eastAsia="fr-FR"/>
              </w:rPr>
            </w:pPr>
            <w:r w:rsidRPr="0047674A">
              <w:rPr>
                <w:sz w:val="22"/>
                <w:szCs w:val="22"/>
                <w:lang w:val="fr-FR" w:eastAsia="fr-FR"/>
              </w:rPr>
              <w:t xml:space="preserve"> 2.90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48BDB614" w14:textId="28340E65"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1'264’000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30FEFBD4" w14:textId="3BD6AEEC"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3’665.60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410FB055"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2.90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11EC8F30" w14:textId="77777777" w:rsidR="0047674A" w:rsidRPr="00D44EA1" w:rsidRDefault="0047674A" w:rsidP="0047674A">
            <w:pPr>
              <w:overflowPunct w:val="0"/>
              <w:autoSpaceDE w:val="0"/>
              <w:autoSpaceDN w:val="0"/>
              <w:adjustRightInd w:val="0"/>
              <w:jc w:val="right"/>
              <w:textAlignment w:val="baseline"/>
              <w:rPr>
                <w:sz w:val="22"/>
                <w:szCs w:val="22"/>
                <w:lang w:val="fr-FR" w:eastAsia="fr-FR"/>
              </w:rPr>
            </w:pPr>
            <w:r w:rsidRPr="00D44EA1">
              <w:rPr>
                <w:sz w:val="22"/>
                <w:szCs w:val="22"/>
                <w:lang w:val="fr-FR" w:eastAsia="fr-FR"/>
              </w:rPr>
              <w:t xml:space="preserve"> 2.90</w:t>
            </w:r>
          </w:p>
        </w:tc>
      </w:tr>
    </w:tbl>
    <w:p w14:paraId="70A4409E" w14:textId="77777777" w:rsidR="0047674A" w:rsidRDefault="0047674A" w:rsidP="00801213">
      <w:pPr>
        <w:pStyle w:val="Corpsdetexte"/>
      </w:pPr>
    </w:p>
    <w:p w14:paraId="3119AB24" w14:textId="77777777" w:rsidR="00DF73B2" w:rsidRDefault="00DF73B2">
      <w:pPr>
        <w:rPr>
          <w:rFonts w:asciiTheme="majorHAnsi" w:eastAsiaTheme="majorEastAsia" w:hAnsiTheme="majorHAnsi" w:cstheme="majorBidi"/>
          <w:b/>
          <w:bCs/>
          <w:kern w:val="32"/>
          <w:sz w:val="28"/>
          <w:szCs w:val="28"/>
        </w:rPr>
      </w:pPr>
      <w:r>
        <w:br w:type="page"/>
      </w:r>
    </w:p>
    <w:p w14:paraId="42F7F001" w14:textId="454632DA" w:rsidR="00C17504" w:rsidRDefault="000C7519" w:rsidP="000C7519">
      <w:pPr>
        <w:pStyle w:val="Titre1"/>
      </w:pPr>
      <w:bookmarkStart w:id="6" w:name="_Toc228197484"/>
      <w:r>
        <w:lastRenderedPageBreak/>
        <w:t xml:space="preserve">Incidences </w:t>
      </w:r>
      <w:r w:rsidR="00B32094">
        <w:t>financières</w:t>
      </w:r>
      <w:bookmarkEnd w:id="6"/>
    </w:p>
    <w:p w14:paraId="6ABD2F23" w14:textId="1E51DB2A" w:rsidR="00A20400" w:rsidRPr="00A20400" w:rsidRDefault="00A20400" w:rsidP="00A20400">
      <w:pPr>
        <w:pStyle w:val="Corpsdetexte"/>
      </w:pPr>
      <w:r>
        <w:t xml:space="preserve">L’indice des prix à la consommation de décembre 2025, sur lequel repose ce présent rapport, est identique à celui de décembre 2024. Toutefois, l’estimation a été refaite sur la dernière base statistique à disposition, celle de la période fiscale 2023. </w:t>
      </w:r>
    </w:p>
    <w:p w14:paraId="66358E90" w14:textId="4E9A914D" w:rsidR="000C7519" w:rsidRDefault="00B32094" w:rsidP="000C7519">
      <w:pPr>
        <w:pStyle w:val="Titre2"/>
      </w:pPr>
      <w:bookmarkStart w:id="7" w:name="_Toc228197485"/>
      <w:r>
        <w:t>Pour le canton</w:t>
      </w:r>
      <w:bookmarkEnd w:id="7"/>
    </w:p>
    <w:p w14:paraId="77479624" w14:textId="51B30881" w:rsidR="00581467" w:rsidRDefault="00581467" w:rsidP="00465F6B">
      <w:pPr>
        <w:pStyle w:val="Corpsdetexte"/>
      </w:pPr>
      <w:r w:rsidRPr="00581467">
        <w:t>L'incidence financière de la compensation des effets de la progression à froid déterminée selon les modalités de calcul exposées sous le po</w:t>
      </w:r>
      <w:r w:rsidRPr="00124EC4">
        <w:t>int 3 est la suivante au titre de l'impôt cantonal de base, sur la base des statistiques fiscales 202</w:t>
      </w:r>
      <w:r w:rsidR="00970AD0" w:rsidRPr="00124EC4">
        <w:t>3</w:t>
      </w:r>
      <w:r w:rsidRPr="00124EC4">
        <w:t xml:space="preserve"> au </w:t>
      </w:r>
      <w:r w:rsidR="00124EC4" w:rsidRPr="00124EC4">
        <w:t>31.12</w:t>
      </w:r>
      <w:r w:rsidRPr="00124EC4">
        <w:t>.202</w:t>
      </w:r>
      <w:r w:rsidR="00124EC4" w:rsidRPr="00124EC4">
        <w:t>5</w:t>
      </w:r>
      <w:r w:rsidRPr="00124EC4">
        <w:t xml:space="preserve"> :</w:t>
      </w:r>
    </w:p>
    <w:p w14:paraId="5F1761D6" w14:textId="32F973A9" w:rsidR="00581467" w:rsidRDefault="00581467" w:rsidP="00581467">
      <w:pPr>
        <w:pStyle w:val="07puces"/>
        <w:ind w:left="284" w:hanging="284"/>
      </w:pPr>
      <w:r>
        <w:t>Sur le revenu :</w:t>
      </w:r>
    </w:p>
    <w:p w14:paraId="4379F51C" w14:textId="4D87E5F1" w:rsidR="00581467" w:rsidRDefault="00581467" w:rsidP="00581467">
      <w:pPr>
        <w:pStyle w:val="07puces"/>
        <w:tabs>
          <w:tab w:val="right" w:pos="5812"/>
        </w:tabs>
      </w:pPr>
      <w:r>
        <w:t>Barème de l'impôt sur le revenu</w:t>
      </w:r>
      <w:r>
        <w:tab/>
        <w:t xml:space="preserve">   </w:t>
      </w:r>
      <w:r w:rsidRPr="0014468D">
        <w:t>2</w:t>
      </w:r>
      <w:r w:rsidR="0014468D" w:rsidRPr="0014468D">
        <w:t>1</w:t>
      </w:r>
      <w:r w:rsidRPr="0014468D">
        <w:t>,</w:t>
      </w:r>
      <w:r w:rsidR="00702280">
        <w:t>6</w:t>
      </w:r>
      <w:r>
        <w:t xml:space="preserve"> mios</w:t>
      </w:r>
    </w:p>
    <w:p w14:paraId="38BCFDA7" w14:textId="556CA9F6" w:rsidR="00581467" w:rsidRDefault="00581467" w:rsidP="00581467">
      <w:pPr>
        <w:pStyle w:val="07puces"/>
        <w:tabs>
          <w:tab w:val="right" w:pos="5812"/>
        </w:tabs>
      </w:pPr>
      <w:r>
        <w:t>Déductions sociales pour enfants</w:t>
      </w:r>
      <w:r>
        <w:tab/>
      </w:r>
      <w:r w:rsidRPr="0014468D">
        <w:t>4,1</w:t>
      </w:r>
      <w:r>
        <w:t xml:space="preserve"> mios</w:t>
      </w:r>
    </w:p>
    <w:p w14:paraId="455BB846" w14:textId="582CDA34" w:rsidR="00581467" w:rsidRDefault="00581467" w:rsidP="0014468D">
      <w:pPr>
        <w:pStyle w:val="07puces"/>
        <w:tabs>
          <w:tab w:val="right" w:pos="5812"/>
        </w:tabs>
      </w:pPr>
      <w:r>
        <w:t>Autres déductions sociales sur le revenu</w:t>
      </w:r>
      <w:r>
        <w:tab/>
      </w:r>
      <w:r w:rsidRPr="00FA2BD7">
        <w:t>0,1</w:t>
      </w:r>
      <w:r>
        <w:t xml:space="preserve"> mio </w:t>
      </w:r>
    </w:p>
    <w:p w14:paraId="6AB92FA4" w14:textId="72378188" w:rsidR="00581467" w:rsidRDefault="00581467" w:rsidP="00581467">
      <w:pPr>
        <w:pStyle w:val="07puces"/>
        <w:tabs>
          <w:tab w:val="right" w:pos="5812"/>
        </w:tabs>
      </w:pPr>
      <w:r>
        <w:t>Déductions sociales pour revenus modestes</w:t>
      </w:r>
      <w:r>
        <w:tab/>
      </w:r>
      <w:r w:rsidRPr="00FA2BD7">
        <w:t>3,</w:t>
      </w:r>
      <w:r w:rsidR="00702280">
        <w:t>5</w:t>
      </w:r>
      <w:r>
        <w:t xml:space="preserve"> mios</w:t>
      </w:r>
    </w:p>
    <w:p w14:paraId="1E33C12E" w14:textId="4A30FCFE" w:rsidR="00581467" w:rsidRDefault="00581467" w:rsidP="00581467">
      <w:pPr>
        <w:pStyle w:val="07puces"/>
        <w:tabs>
          <w:tab w:val="right" w:pos="5812"/>
        </w:tabs>
      </w:pPr>
      <w:r>
        <w:t>Coût total modifications sur le revenu</w:t>
      </w:r>
      <w:r>
        <w:tab/>
      </w:r>
      <w:r w:rsidRPr="008F31F4">
        <w:t>2</w:t>
      </w:r>
      <w:r w:rsidR="008F31F4" w:rsidRPr="008F31F4">
        <w:t>9</w:t>
      </w:r>
      <w:r w:rsidRPr="008F31F4">
        <w:t>,</w:t>
      </w:r>
      <w:r w:rsidR="00FA496B">
        <w:t>3</w:t>
      </w:r>
      <w:r w:rsidRPr="008F31F4">
        <w:t xml:space="preserve"> mios</w:t>
      </w:r>
    </w:p>
    <w:p w14:paraId="5483A45D" w14:textId="594568DD" w:rsidR="00A20400" w:rsidRDefault="00581467" w:rsidP="00465F6B">
      <w:pPr>
        <w:pStyle w:val="Corpsdetexte"/>
      </w:pPr>
      <w:r w:rsidRPr="00581467">
        <w:t xml:space="preserve">Les incidences financières ci-dessus sont exprimées en impôt cantonal de base. Le coefficient cantonal de l’impôt sur le revenu doit </w:t>
      </w:r>
      <w:r w:rsidR="003A6AF7">
        <w:t xml:space="preserve">ensuite </w:t>
      </w:r>
      <w:r w:rsidRPr="00581467">
        <w:t xml:space="preserve">être appliqué. Ainsi, avec le </w:t>
      </w:r>
      <w:r w:rsidRPr="0014468D">
        <w:t>coefficient actuel de 96%, le coût total</w:t>
      </w:r>
      <w:r w:rsidRPr="00581467">
        <w:t xml:space="preserve"> pour le</w:t>
      </w:r>
      <w:r>
        <w:t xml:space="preserve"> </w:t>
      </w:r>
      <w:r w:rsidRPr="00581467">
        <w:t xml:space="preserve">canton est </w:t>
      </w:r>
      <w:r w:rsidRPr="004735E2">
        <w:t>estimé à 2</w:t>
      </w:r>
      <w:r w:rsidR="00445D10">
        <w:t>8</w:t>
      </w:r>
      <w:r w:rsidR="00970AD0" w:rsidRPr="004735E2">
        <w:t>,</w:t>
      </w:r>
      <w:r w:rsidR="00445D10">
        <w:t>1</w:t>
      </w:r>
      <w:r w:rsidRPr="004735E2">
        <w:t xml:space="preserve"> millions</w:t>
      </w:r>
      <w:r w:rsidRPr="00581467">
        <w:t xml:space="preserve"> de francs.</w:t>
      </w:r>
    </w:p>
    <w:p w14:paraId="7CD99D9A" w14:textId="582CA71A" w:rsidR="00581467" w:rsidRDefault="00581467" w:rsidP="00581467">
      <w:pPr>
        <w:pStyle w:val="07puces"/>
        <w:ind w:left="284" w:hanging="284"/>
      </w:pPr>
      <w:r>
        <w:t>Sur la fortune :</w:t>
      </w:r>
    </w:p>
    <w:p w14:paraId="43801521" w14:textId="1FC2F28A" w:rsidR="00581467" w:rsidRDefault="00581467" w:rsidP="00581467">
      <w:pPr>
        <w:pStyle w:val="07puces"/>
        <w:tabs>
          <w:tab w:val="right" w:pos="5812"/>
        </w:tabs>
      </w:pPr>
      <w:r>
        <w:t>Barème de l'impôt sur la fortune</w:t>
      </w:r>
      <w:r>
        <w:tab/>
        <w:t xml:space="preserve">   </w:t>
      </w:r>
      <w:r w:rsidRPr="008604FF">
        <w:t>0,7</w:t>
      </w:r>
      <w:r>
        <w:t xml:space="preserve"> mio</w:t>
      </w:r>
    </w:p>
    <w:p w14:paraId="23B77A51" w14:textId="473AAC02" w:rsidR="00581467" w:rsidRDefault="00581467" w:rsidP="00581467">
      <w:pPr>
        <w:pStyle w:val="07puces"/>
        <w:tabs>
          <w:tab w:val="right" w:pos="5812"/>
        </w:tabs>
      </w:pPr>
      <w:r>
        <w:t>Déductions sociales sur la fortune</w:t>
      </w:r>
      <w:r>
        <w:tab/>
      </w:r>
      <w:r w:rsidRPr="008604FF">
        <w:t>0</w:t>
      </w:r>
      <w:r w:rsidR="00970AD0" w:rsidRPr="008604FF">
        <w:t>,</w:t>
      </w:r>
      <w:r w:rsidRPr="008604FF">
        <w:t>3</w:t>
      </w:r>
      <w:r>
        <w:t xml:space="preserve"> mio</w:t>
      </w:r>
    </w:p>
    <w:p w14:paraId="6A7B58F5" w14:textId="447E30AE" w:rsidR="00581467" w:rsidRDefault="00581467" w:rsidP="00465F6B">
      <w:pPr>
        <w:pStyle w:val="07puces"/>
        <w:tabs>
          <w:tab w:val="right" w:pos="5812"/>
        </w:tabs>
      </w:pPr>
      <w:r>
        <w:t>Coût total modifications sur la fortune</w:t>
      </w:r>
      <w:r>
        <w:tab/>
      </w:r>
      <w:r w:rsidRPr="00D44EA1">
        <w:t>1</w:t>
      </w:r>
      <w:r>
        <w:t xml:space="preserve"> mio </w:t>
      </w:r>
    </w:p>
    <w:p w14:paraId="28CF7D19" w14:textId="351460F4" w:rsidR="00FA7974" w:rsidRDefault="00581467" w:rsidP="00465F6B">
      <w:pPr>
        <w:pStyle w:val="Corpsdetexte"/>
      </w:pPr>
      <w:r w:rsidRPr="00581467">
        <w:t>Les incidences financières ci-dessus sont exprimées en impôt cantonal de base</w:t>
      </w:r>
      <w:r w:rsidR="00785EE9">
        <w:t>, soit avec un coefficient cantonal de 100%</w:t>
      </w:r>
      <w:r w:rsidR="00A20400">
        <w:t>, ce qui correspond au coefficient actuel</w:t>
      </w:r>
      <w:r w:rsidRPr="00581467">
        <w:t>.</w:t>
      </w:r>
      <w:r w:rsidR="00FA7974">
        <w:t xml:space="preserve"> </w:t>
      </w:r>
    </w:p>
    <w:p w14:paraId="0F4950DA" w14:textId="77777777" w:rsidR="00DA5EE5" w:rsidRDefault="00DA5EE5" w:rsidP="00465F6B">
      <w:pPr>
        <w:pStyle w:val="Corpsdetexte"/>
      </w:pPr>
    </w:p>
    <w:p w14:paraId="35476664" w14:textId="01E74873" w:rsidR="000C7519" w:rsidRDefault="00B32094" w:rsidP="000C7519">
      <w:pPr>
        <w:pStyle w:val="Titre2"/>
      </w:pPr>
      <w:bookmarkStart w:id="8" w:name="_Toc228197486"/>
      <w:r>
        <w:t>Pour les communes et les paroisses</w:t>
      </w:r>
      <w:bookmarkEnd w:id="8"/>
    </w:p>
    <w:p w14:paraId="355BCE78" w14:textId="4DB159DC" w:rsidR="00B32094" w:rsidRDefault="00B32094" w:rsidP="00B32094">
      <w:pPr>
        <w:pStyle w:val="Corpsdetexte"/>
      </w:pPr>
      <w:r>
        <w:t xml:space="preserve">Pour les communes, l'incidence financière s'élève à environ 80% de l’impôt cantonal de base, soit </w:t>
      </w:r>
      <w:r w:rsidR="00785EE9">
        <w:t>23</w:t>
      </w:r>
      <w:r w:rsidR="00285F8E">
        <w:t>,</w:t>
      </w:r>
      <w:r w:rsidR="00785EE9">
        <w:t xml:space="preserve">4 </w:t>
      </w:r>
      <w:r>
        <w:t xml:space="preserve">millions de francs pour l’impôt sur le revenu et </w:t>
      </w:r>
      <w:r w:rsidRPr="00785EE9">
        <w:t>0</w:t>
      </w:r>
      <w:r w:rsidR="00970AD0" w:rsidRPr="00785EE9">
        <w:t>,</w:t>
      </w:r>
      <w:r w:rsidRPr="00785EE9">
        <w:t>8</w:t>
      </w:r>
      <w:r>
        <w:t xml:space="preserve"> million pour l’impôt sur la fortune.</w:t>
      </w:r>
      <w:r w:rsidR="00785EE9">
        <w:t xml:space="preserve"> </w:t>
      </w:r>
    </w:p>
    <w:p w14:paraId="6E8B0772" w14:textId="35A9E19F" w:rsidR="00A85A3B" w:rsidRDefault="00B32094" w:rsidP="00B32094">
      <w:pPr>
        <w:pStyle w:val="Corpsdetexte"/>
      </w:pPr>
      <w:r>
        <w:t xml:space="preserve">La perception de l'impôt ecclésiastique est également concernée et l'incidence financière s'établit à environ 10% de l’impôt cantonal de </w:t>
      </w:r>
      <w:r w:rsidRPr="00785EE9">
        <w:t>base, soit 2</w:t>
      </w:r>
      <w:r w:rsidR="00970AD0" w:rsidRPr="00785EE9">
        <w:t>,</w:t>
      </w:r>
      <w:r w:rsidR="00785EE9" w:rsidRPr="00785EE9">
        <w:t>9</w:t>
      </w:r>
      <w:r w:rsidRPr="00785EE9">
        <w:t xml:space="preserve"> millions de francs pour l’impôt sur le revenu et 0</w:t>
      </w:r>
      <w:r w:rsidR="00970AD0" w:rsidRPr="00785EE9">
        <w:t>,</w:t>
      </w:r>
      <w:r w:rsidRPr="00785EE9">
        <w:t>1 million</w:t>
      </w:r>
      <w:r>
        <w:t xml:space="preserve"> pour l’impôt sur la fortune.</w:t>
      </w:r>
    </w:p>
    <w:p w14:paraId="565E72B6" w14:textId="1E7E8914" w:rsidR="000C7519" w:rsidRPr="003A6AF7" w:rsidRDefault="00B32094" w:rsidP="000C7519">
      <w:pPr>
        <w:pStyle w:val="Titre1"/>
      </w:pPr>
      <w:bookmarkStart w:id="9" w:name="_Toc228197487"/>
      <w:r w:rsidRPr="003A6AF7">
        <w:t>Proposition</w:t>
      </w:r>
      <w:bookmarkEnd w:id="9"/>
    </w:p>
    <w:p w14:paraId="1F70BC90" w14:textId="27D1239E" w:rsidR="00526964" w:rsidRPr="00526964" w:rsidRDefault="00DF73B2" w:rsidP="00526964">
      <w:pPr>
        <w:pStyle w:val="Corpsdetexte"/>
      </w:pPr>
      <w:r w:rsidRPr="003A6AF7">
        <w:t xml:space="preserve">Le Conseil d’Etat propose de prendre acte que les modifications des déductions sociales et des barèmes selon la proposition ci-dessus seront intégrées </w:t>
      </w:r>
      <w:r w:rsidR="002171BA">
        <w:t>aux modifications</w:t>
      </w:r>
      <w:r w:rsidRPr="003A6AF7">
        <w:t xml:space="preserve"> LICD 2027. Le cas échéant, il précise également que l’indice de décembre 2025 sera la base de référence pour tous les barèmes et déductions lors de la prochaine analyse, y compris pour les montants qui </w:t>
      </w:r>
      <w:r w:rsidR="000C5AA1" w:rsidRPr="003A6AF7">
        <w:t>n’</w:t>
      </w:r>
      <w:r w:rsidR="000C5AA1">
        <w:t>auraien</w:t>
      </w:r>
      <w:r w:rsidR="000C5AA1" w:rsidRPr="003A6AF7">
        <w:t xml:space="preserve">t </w:t>
      </w:r>
      <w:r w:rsidRPr="003A6AF7">
        <w:t>pas subi de modification.</w:t>
      </w:r>
      <w:r w:rsidR="00970AD0" w:rsidRPr="003A6AF7">
        <w:t xml:space="preserve"> </w:t>
      </w:r>
    </w:p>
    <w:sectPr w:rsidR="00526964" w:rsidRPr="00526964" w:rsidSect="0036056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A56D" w14:textId="77777777" w:rsidR="008E0A1A" w:rsidRDefault="008E0A1A">
      <w:pPr>
        <w:spacing w:before="0" w:after="0" w:line="240" w:lineRule="auto"/>
      </w:pPr>
      <w:r>
        <w:separator/>
      </w:r>
    </w:p>
  </w:endnote>
  <w:endnote w:type="continuationSeparator" w:id="0">
    <w:p w14:paraId="6B956D1C" w14:textId="77777777" w:rsidR="008E0A1A" w:rsidRDefault="008E0A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E414" w14:textId="77777777" w:rsidR="009E1AF4" w:rsidRDefault="009E1AF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7513"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p w14:paraId="158F32FF" w14:textId="77777777" w:rsidR="009E1AF4" w:rsidRDefault="009E1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53AD"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B5F2" w14:textId="77777777" w:rsidR="008E0A1A" w:rsidRDefault="008E0A1A" w:rsidP="00AA5F90">
      <w:r>
        <w:separator/>
      </w:r>
    </w:p>
  </w:footnote>
  <w:footnote w:type="continuationSeparator" w:id="0">
    <w:p w14:paraId="2C411D44" w14:textId="77777777" w:rsidR="008E0A1A" w:rsidRPr="00427DDB" w:rsidRDefault="008E0A1A"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361C" w14:textId="77777777" w:rsidR="009E1AF4" w:rsidRPr="00C125C0" w:rsidRDefault="009E1AF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DC3A" w14:textId="77777777" w:rsidR="009E1AF4" w:rsidRPr="00C125C0" w:rsidRDefault="009E1AF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3B634C" w14:paraId="12198695" w14:textId="77777777" w:rsidTr="003B634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795025" w14:textId="77777777" w:rsidR="009E1AF4" w:rsidRPr="00FD0818" w:rsidRDefault="009E1AF4" w:rsidP="00FD0818">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6E5C347C" wp14:editId="62565A61">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048C49" w14:textId="77777777" w:rsidR="009E1AF4" w:rsidRPr="00FD0818"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277187">
            <w:rPr>
              <w:rFonts w:asciiTheme="majorHAnsi" w:eastAsiaTheme="majorEastAsia" w:hAnsiTheme="majorHAnsi" w:cstheme="majorBidi"/>
              <w:bCs/>
              <w:color w:val="auto"/>
              <w:kern w:val="32"/>
              <w:sz w:val="16"/>
              <w:szCs w:val="52"/>
            </w:rPr>
            <w:t>Direction des finances</w:t>
          </w:r>
          <w:r w:rsidRPr="00FD0818">
            <w:rPr>
              <w:rFonts w:asciiTheme="majorHAnsi" w:eastAsiaTheme="majorEastAsia" w:hAnsiTheme="majorHAnsi" w:cstheme="majorBidi"/>
              <w:b w:val="0"/>
              <w:color w:val="auto"/>
              <w:kern w:val="32"/>
              <w:sz w:val="16"/>
              <w:szCs w:val="52"/>
            </w:rPr>
            <w:t xml:space="preserve"> </w:t>
          </w:r>
          <w:r>
            <w:rPr>
              <w:rFonts w:asciiTheme="majorHAnsi" w:eastAsiaTheme="majorEastAsia" w:hAnsiTheme="majorHAnsi" w:cstheme="majorBidi"/>
              <w:b w:val="0"/>
              <w:bCs/>
              <w:color w:val="auto"/>
              <w:kern w:val="32"/>
              <w:sz w:val="16"/>
              <w:szCs w:val="52"/>
            </w:rPr>
            <w:t>DFIN</w:t>
          </w:r>
        </w:p>
        <w:p w14:paraId="3C869547" w14:textId="77777777" w:rsidR="009E1AF4" w:rsidRPr="000433E6"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0433E6">
            <w:rPr>
              <w:rFonts w:asciiTheme="majorHAnsi" w:eastAsiaTheme="majorEastAsia" w:hAnsiTheme="majorHAnsi" w:cstheme="majorBidi"/>
              <w:bCs/>
              <w:color w:val="auto"/>
              <w:kern w:val="32"/>
              <w:sz w:val="16"/>
              <w:szCs w:val="52"/>
            </w:rPr>
            <w:t xml:space="preserve">Finanzdirektion </w:t>
          </w:r>
          <w:r>
            <w:rPr>
              <w:rFonts w:asciiTheme="majorHAnsi" w:eastAsiaTheme="majorEastAsia" w:hAnsiTheme="majorHAnsi" w:cstheme="majorBidi"/>
              <w:b w:val="0"/>
              <w:bCs/>
              <w:color w:val="auto"/>
              <w:kern w:val="32"/>
              <w:sz w:val="16"/>
              <w:szCs w:val="52"/>
            </w:rPr>
            <w:t>FIND</w:t>
          </w:r>
        </w:p>
      </w:tc>
    </w:tr>
  </w:tbl>
  <w:p w14:paraId="784CC809" w14:textId="77777777" w:rsidR="009E1AF4" w:rsidRPr="000433E6" w:rsidRDefault="009E1A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871CBF70">
      <w:numFmt w:val="bullet"/>
      <w:lvlText w:val=""/>
      <w:lvlJc w:val="left"/>
      <w:pPr>
        <w:ind w:left="1065" w:hanging="705"/>
      </w:pPr>
      <w:rPr>
        <w:rFonts w:ascii="Wingdings" w:eastAsiaTheme="minorHAnsi" w:hAnsi="Wingdings" w:cstheme="minorBidi" w:hint="default"/>
      </w:rPr>
    </w:lvl>
    <w:lvl w:ilvl="1" w:tplc="D7A8BFF4" w:tentative="1">
      <w:start w:val="1"/>
      <w:numFmt w:val="bullet"/>
      <w:lvlText w:val="o"/>
      <w:lvlJc w:val="left"/>
      <w:pPr>
        <w:ind w:left="1440" w:hanging="360"/>
      </w:pPr>
      <w:rPr>
        <w:rFonts w:ascii="Courier New" w:hAnsi="Courier New" w:cs="Courier New" w:hint="default"/>
      </w:rPr>
    </w:lvl>
    <w:lvl w:ilvl="2" w:tplc="66682F3C" w:tentative="1">
      <w:start w:val="1"/>
      <w:numFmt w:val="bullet"/>
      <w:lvlText w:val=""/>
      <w:lvlJc w:val="left"/>
      <w:pPr>
        <w:ind w:left="2160" w:hanging="360"/>
      </w:pPr>
      <w:rPr>
        <w:rFonts w:ascii="Wingdings" w:hAnsi="Wingdings" w:hint="default"/>
      </w:rPr>
    </w:lvl>
    <w:lvl w:ilvl="3" w:tplc="8746FB32" w:tentative="1">
      <w:start w:val="1"/>
      <w:numFmt w:val="bullet"/>
      <w:lvlText w:val=""/>
      <w:lvlJc w:val="left"/>
      <w:pPr>
        <w:ind w:left="2880" w:hanging="360"/>
      </w:pPr>
      <w:rPr>
        <w:rFonts w:ascii="Symbol" w:hAnsi="Symbol" w:hint="default"/>
      </w:rPr>
    </w:lvl>
    <w:lvl w:ilvl="4" w:tplc="46BE61E4" w:tentative="1">
      <w:start w:val="1"/>
      <w:numFmt w:val="bullet"/>
      <w:lvlText w:val="o"/>
      <w:lvlJc w:val="left"/>
      <w:pPr>
        <w:ind w:left="3600" w:hanging="360"/>
      </w:pPr>
      <w:rPr>
        <w:rFonts w:ascii="Courier New" w:hAnsi="Courier New" w:cs="Courier New" w:hint="default"/>
      </w:rPr>
    </w:lvl>
    <w:lvl w:ilvl="5" w:tplc="E82C7498" w:tentative="1">
      <w:start w:val="1"/>
      <w:numFmt w:val="bullet"/>
      <w:lvlText w:val=""/>
      <w:lvlJc w:val="left"/>
      <w:pPr>
        <w:ind w:left="4320" w:hanging="360"/>
      </w:pPr>
      <w:rPr>
        <w:rFonts w:ascii="Wingdings" w:hAnsi="Wingdings" w:hint="default"/>
      </w:rPr>
    </w:lvl>
    <w:lvl w:ilvl="6" w:tplc="46047120" w:tentative="1">
      <w:start w:val="1"/>
      <w:numFmt w:val="bullet"/>
      <w:lvlText w:val=""/>
      <w:lvlJc w:val="left"/>
      <w:pPr>
        <w:ind w:left="5040" w:hanging="360"/>
      </w:pPr>
      <w:rPr>
        <w:rFonts w:ascii="Symbol" w:hAnsi="Symbol" w:hint="default"/>
      </w:rPr>
    </w:lvl>
    <w:lvl w:ilvl="7" w:tplc="6AFEF7B8" w:tentative="1">
      <w:start w:val="1"/>
      <w:numFmt w:val="bullet"/>
      <w:lvlText w:val="o"/>
      <w:lvlJc w:val="left"/>
      <w:pPr>
        <w:ind w:left="5760" w:hanging="360"/>
      </w:pPr>
      <w:rPr>
        <w:rFonts w:ascii="Courier New" w:hAnsi="Courier New" w:cs="Courier New" w:hint="default"/>
      </w:rPr>
    </w:lvl>
    <w:lvl w:ilvl="8" w:tplc="D3F6265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7194120"/>
    <w:multiLevelType w:val="hybridMultilevel"/>
    <w:tmpl w:val="B3462A3C"/>
    <w:lvl w:ilvl="0" w:tplc="0AC4839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0" w15:restartNumberingAfterBreak="0">
    <w:nsid w:val="1BCA4211"/>
    <w:multiLevelType w:val="hybridMultilevel"/>
    <w:tmpl w:val="9D042E2E"/>
    <w:lvl w:ilvl="0" w:tplc="5D26D286">
      <w:start w:val="1"/>
      <w:numFmt w:val="lowerLetter"/>
      <w:pStyle w:val="Listealphabtique"/>
      <w:lvlText w:val="%1)"/>
      <w:lvlJc w:val="left"/>
      <w:pPr>
        <w:ind w:left="720" w:hanging="360"/>
      </w:pPr>
      <w:rPr>
        <w:rFonts w:hint="default"/>
      </w:rPr>
    </w:lvl>
    <w:lvl w:ilvl="1" w:tplc="185CECD6" w:tentative="1">
      <w:start w:val="1"/>
      <w:numFmt w:val="lowerLetter"/>
      <w:lvlText w:val="%2."/>
      <w:lvlJc w:val="left"/>
      <w:pPr>
        <w:ind w:left="1440" w:hanging="360"/>
      </w:pPr>
    </w:lvl>
    <w:lvl w:ilvl="2" w:tplc="8FE008C8" w:tentative="1">
      <w:start w:val="1"/>
      <w:numFmt w:val="lowerRoman"/>
      <w:lvlText w:val="%3."/>
      <w:lvlJc w:val="right"/>
      <w:pPr>
        <w:ind w:left="2160" w:hanging="180"/>
      </w:pPr>
    </w:lvl>
    <w:lvl w:ilvl="3" w:tplc="3C1097AC" w:tentative="1">
      <w:start w:val="1"/>
      <w:numFmt w:val="decimal"/>
      <w:lvlText w:val="%4."/>
      <w:lvlJc w:val="left"/>
      <w:pPr>
        <w:ind w:left="2880" w:hanging="360"/>
      </w:pPr>
    </w:lvl>
    <w:lvl w:ilvl="4" w:tplc="270C7F3C" w:tentative="1">
      <w:start w:val="1"/>
      <w:numFmt w:val="lowerLetter"/>
      <w:lvlText w:val="%5."/>
      <w:lvlJc w:val="left"/>
      <w:pPr>
        <w:ind w:left="3600" w:hanging="360"/>
      </w:pPr>
    </w:lvl>
    <w:lvl w:ilvl="5" w:tplc="8116928E" w:tentative="1">
      <w:start w:val="1"/>
      <w:numFmt w:val="lowerRoman"/>
      <w:lvlText w:val="%6."/>
      <w:lvlJc w:val="right"/>
      <w:pPr>
        <w:ind w:left="4320" w:hanging="180"/>
      </w:pPr>
    </w:lvl>
    <w:lvl w:ilvl="6" w:tplc="BDCE0BC0" w:tentative="1">
      <w:start w:val="1"/>
      <w:numFmt w:val="decimal"/>
      <w:lvlText w:val="%7."/>
      <w:lvlJc w:val="left"/>
      <w:pPr>
        <w:ind w:left="5040" w:hanging="360"/>
      </w:pPr>
    </w:lvl>
    <w:lvl w:ilvl="7" w:tplc="0F662AB6" w:tentative="1">
      <w:start w:val="1"/>
      <w:numFmt w:val="lowerLetter"/>
      <w:lvlText w:val="%8."/>
      <w:lvlJc w:val="left"/>
      <w:pPr>
        <w:ind w:left="5760" w:hanging="360"/>
      </w:pPr>
    </w:lvl>
    <w:lvl w:ilvl="8" w:tplc="1272FAF2" w:tentative="1">
      <w:start w:val="1"/>
      <w:numFmt w:val="lowerRoman"/>
      <w:lvlText w:val="%9."/>
      <w:lvlJc w:val="right"/>
      <w:pPr>
        <w:ind w:left="6480" w:hanging="180"/>
      </w:pPr>
    </w:lvl>
  </w:abstractNum>
  <w:abstractNum w:abstractNumId="11" w15:restartNumberingAfterBreak="0">
    <w:nsid w:val="1D045D63"/>
    <w:multiLevelType w:val="hybridMultilevel"/>
    <w:tmpl w:val="CAC44AC4"/>
    <w:lvl w:ilvl="0" w:tplc="BC942CA0">
      <w:start w:val="1"/>
      <w:numFmt w:val="bullet"/>
      <w:pStyle w:val="Paragraphedeliste"/>
      <w:lvlText w:val="&gt;"/>
      <w:lvlJc w:val="left"/>
      <w:pPr>
        <w:ind w:left="1117" w:hanging="360"/>
      </w:pPr>
      <w:rPr>
        <w:rFonts w:ascii="Arial" w:hAnsi="Arial" w:hint="default"/>
      </w:rPr>
    </w:lvl>
    <w:lvl w:ilvl="1" w:tplc="5C8AA524">
      <w:start w:val="1"/>
      <w:numFmt w:val="bullet"/>
      <w:lvlText w:val="o"/>
      <w:lvlJc w:val="left"/>
      <w:pPr>
        <w:ind w:left="1837" w:hanging="360"/>
      </w:pPr>
      <w:rPr>
        <w:rFonts w:ascii="Courier New" w:hAnsi="Courier New" w:cs="Courier New" w:hint="default"/>
      </w:rPr>
    </w:lvl>
    <w:lvl w:ilvl="2" w:tplc="C77675F2" w:tentative="1">
      <w:start w:val="1"/>
      <w:numFmt w:val="bullet"/>
      <w:lvlText w:val=""/>
      <w:lvlJc w:val="left"/>
      <w:pPr>
        <w:ind w:left="2557" w:hanging="360"/>
      </w:pPr>
      <w:rPr>
        <w:rFonts w:ascii="Wingdings" w:hAnsi="Wingdings" w:hint="default"/>
      </w:rPr>
    </w:lvl>
    <w:lvl w:ilvl="3" w:tplc="2612D5A6" w:tentative="1">
      <w:start w:val="1"/>
      <w:numFmt w:val="bullet"/>
      <w:lvlText w:val=""/>
      <w:lvlJc w:val="left"/>
      <w:pPr>
        <w:ind w:left="3277" w:hanging="360"/>
      </w:pPr>
      <w:rPr>
        <w:rFonts w:ascii="Symbol" w:hAnsi="Symbol" w:hint="default"/>
      </w:rPr>
    </w:lvl>
    <w:lvl w:ilvl="4" w:tplc="CA42F0F4" w:tentative="1">
      <w:start w:val="1"/>
      <w:numFmt w:val="bullet"/>
      <w:lvlText w:val="o"/>
      <w:lvlJc w:val="left"/>
      <w:pPr>
        <w:ind w:left="3997" w:hanging="360"/>
      </w:pPr>
      <w:rPr>
        <w:rFonts w:ascii="Courier New" w:hAnsi="Courier New" w:cs="Courier New" w:hint="default"/>
      </w:rPr>
    </w:lvl>
    <w:lvl w:ilvl="5" w:tplc="777E9248" w:tentative="1">
      <w:start w:val="1"/>
      <w:numFmt w:val="bullet"/>
      <w:lvlText w:val=""/>
      <w:lvlJc w:val="left"/>
      <w:pPr>
        <w:ind w:left="4717" w:hanging="360"/>
      </w:pPr>
      <w:rPr>
        <w:rFonts w:ascii="Wingdings" w:hAnsi="Wingdings" w:hint="default"/>
      </w:rPr>
    </w:lvl>
    <w:lvl w:ilvl="6" w:tplc="765E50D4" w:tentative="1">
      <w:start w:val="1"/>
      <w:numFmt w:val="bullet"/>
      <w:lvlText w:val=""/>
      <w:lvlJc w:val="left"/>
      <w:pPr>
        <w:ind w:left="5437" w:hanging="360"/>
      </w:pPr>
      <w:rPr>
        <w:rFonts w:ascii="Symbol" w:hAnsi="Symbol" w:hint="default"/>
      </w:rPr>
    </w:lvl>
    <w:lvl w:ilvl="7" w:tplc="35102620" w:tentative="1">
      <w:start w:val="1"/>
      <w:numFmt w:val="bullet"/>
      <w:lvlText w:val="o"/>
      <w:lvlJc w:val="left"/>
      <w:pPr>
        <w:ind w:left="6157" w:hanging="360"/>
      </w:pPr>
      <w:rPr>
        <w:rFonts w:ascii="Courier New" w:hAnsi="Courier New" w:cs="Courier New" w:hint="default"/>
      </w:rPr>
    </w:lvl>
    <w:lvl w:ilvl="8" w:tplc="1A4C3C4A" w:tentative="1">
      <w:start w:val="1"/>
      <w:numFmt w:val="bullet"/>
      <w:lvlText w:val=""/>
      <w:lvlJc w:val="left"/>
      <w:pPr>
        <w:ind w:left="6877" w:hanging="360"/>
      </w:pPr>
      <w:rPr>
        <w:rFonts w:ascii="Wingdings" w:hAnsi="Wingdings" w:hint="default"/>
      </w:rPr>
    </w:lvl>
  </w:abstractNum>
  <w:abstractNum w:abstractNumId="12" w15:restartNumberingAfterBreak="0">
    <w:nsid w:val="1E554843"/>
    <w:multiLevelType w:val="multilevel"/>
    <w:tmpl w:val="6E089A12"/>
    <w:name w:val="SITel Liste numérotée2"/>
    <w:numStyleLink w:val="EtatFRNumrotation"/>
  </w:abstractNum>
  <w:abstractNum w:abstractNumId="13" w15:restartNumberingAfterBreak="0">
    <w:nsid w:val="244946CA"/>
    <w:multiLevelType w:val="multilevel"/>
    <w:tmpl w:val="6E089A12"/>
    <w:name w:val="SITel Liste numérotée22"/>
    <w:numStyleLink w:val="EtatFRNumrotation"/>
  </w:abstractNum>
  <w:abstractNum w:abstractNumId="14" w15:restartNumberingAfterBreak="0">
    <w:nsid w:val="25F43E75"/>
    <w:multiLevelType w:val="hybridMultilevel"/>
    <w:tmpl w:val="80629C9E"/>
    <w:lvl w:ilvl="0" w:tplc="DB085940">
      <w:start w:val="1"/>
      <w:numFmt w:val="bullet"/>
      <w:lvlText w:val=""/>
      <w:lvlJc w:val="left"/>
      <w:pPr>
        <w:ind w:left="1440" w:hanging="360"/>
      </w:pPr>
      <w:rPr>
        <w:rFonts w:ascii="Symbol" w:hAnsi="Symbol"/>
      </w:rPr>
    </w:lvl>
    <w:lvl w:ilvl="1" w:tplc="6F44E392">
      <w:start w:val="1"/>
      <w:numFmt w:val="bullet"/>
      <w:lvlText w:val=""/>
      <w:lvlJc w:val="left"/>
      <w:pPr>
        <w:ind w:left="1440" w:hanging="360"/>
      </w:pPr>
      <w:rPr>
        <w:rFonts w:ascii="Symbol" w:hAnsi="Symbol"/>
      </w:rPr>
    </w:lvl>
    <w:lvl w:ilvl="2" w:tplc="EDFA5884">
      <w:start w:val="1"/>
      <w:numFmt w:val="bullet"/>
      <w:lvlText w:val=""/>
      <w:lvlJc w:val="left"/>
      <w:pPr>
        <w:ind w:left="1440" w:hanging="360"/>
      </w:pPr>
      <w:rPr>
        <w:rFonts w:ascii="Symbol" w:hAnsi="Symbol"/>
      </w:rPr>
    </w:lvl>
    <w:lvl w:ilvl="3" w:tplc="58507DC2">
      <w:start w:val="1"/>
      <w:numFmt w:val="bullet"/>
      <w:lvlText w:val=""/>
      <w:lvlJc w:val="left"/>
      <w:pPr>
        <w:ind w:left="1440" w:hanging="360"/>
      </w:pPr>
      <w:rPr>
        <w:rFonts w:ascii="Symbol" w:hAnsi="Symbol"/>
      </w:rPr>
    </w:lvl>
    <w:lvl w:ilvl="4" w:tplc="E45669E4">
      <w:start w:val="1"/>
      <w:numFmt w:val="bullet"/>
      <w:lvlText w:val=""/>
      <w:lvlJc w:val="left"/>
      <w:pPr>
        <w:ind w:left="1440" w:hanging="360"/>
      </w:pPr>
      <w:rPr>
        <w:rFonts w:ascii="Symbol" w:hAnsi="Symbol"/>
      </w:rPr>
    </w:lvl>
    <w:lvl w:ilvl="5" w:tplc="ADC8565C">
      <w:start w:val="1"/>
      <w:numFmt w:val="bullet"/>
      <w:lvlText w:val=""/>
      <w:lvlJc w:val="left"/>
      <w:pPr>
        <w:ind w:left="1440" w:hanging="360"/>
      </w:pPr>
      <w:rPr>
        <w:rFonts w:ascii="Symbol" w:hAnsi="Symbol"/>
      </w:rPr>
    </w:lvl>
    <w:lvl w:ilvl="6" w:tplc="672457B4">
      <w:start w:val="1"/>
      <w:numFmt w:val="bullet"/>
      <w:lvlText w:val=""/>
      <w:lvlJc w:val="left"/>
      <w:pPr>
        <w:ind w:left="1440" w:hanging="360"/>
      </w:pPr>
      <w:rPr>
        <w:rFonts w:ascii="Symbol" w:hAnsi="Symbol"/>
      </w:rPr>
    </w:lvl>
    <w:lvl w:ilvl="7" w:tplc="22DC9A58">
      <w:start w:val="1"/>
      <w:numFmt w:val="bullet"/>
      <w:lvlText w:val=""/>
      <w:lvlJc w:val="left"/>
      <w:pPr>
        <w:ind w:left="1440" w:hanging="360"/>
      </w:pPr>
      <w:rPr>
        <w:rFonts w:ascii="Symbol" w:hAnsi="Symbol"/>
      </w:rPr>
    </w:lvl>
    <w:lvl w:ilvl="8" w:tplc="A24CEF24">
      <w:start w:val="1"/>
      <w:numFmt w:val="bullet"/>
      <w:lvlText w:val=""/>
      <w:lvlJc w:val="left"/>
      <w:pPr>
        <w:ind w:left="1440" w:hanging="360"/>
      </w:pPr>
      <w:rPr>
        <w:rFonts w:ascii="Symbol" w:hAnsi="Symbol"/>
      </w:rPr>
    </w:lvl>
  </w:abstractNum>
  <w:abstractNum w:abstractNumId="15" w15:restartNumberingAfterBreak="0">
    <w:nsid w:val="26BC24A9"/>
    <w:multiLevelType w:val="multilevel"/>
    <w:tmpl w:val="6E089A12"/>
    <w:name w:val="SITel Liste numérotée3"/>
    <w:numStyleLink w:val="EtatFRNumrotation"/>
  </w:abstractNum>
  <w:abstractNum w:abstractNumId="16"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7" w15:restartNumberingAfterBreak="0">
    <w:nsid w:val="344D334B"/>
    <w:multiLevelType w:val="hybridMultilevel"/>
    <w:tmpl w:val="085E60F8"/>
    <w:lvl w:ilvl="0" w:tplc="7C44C288">
      <w:start w:val="1"/>
      <w:numFmt w:val="bullet"/>
      <w:lvlText w:val=""/>
      <w:lvlJc w:val="left"/>
      <w:pPr>
        <w:ind w:left="1440" w:hanging="360"/>
      </w:pPr>
      <w:rPr>
        <w:rFonts w:ascii="Symbol" w:hAnsi="Symbol"/>
      </w:rPr>
    </w:lvl>
    <w:lvl w:ilvl="1" w:tplc="69100C8E">
      <w:start w:val="1"/>
      <w:numFmt w:val="bullet"/>
      <w:lvlText w:val=""/>
      <w:lvlJc w:val="left"/>
      <w:pPr>
        <w:ind w:left="1440" w:hanging="360"/>
      </w:pPr>
      <w:rPr>
        <w:rFonts w:ascii="Symbol" w:hAnsi="Symbol"/>
      </w:rPr>
    </w:lvl>
    <w:lvl w:ilvl="2" w:tplc="212ABB36">
      <w:start w:val="1"/>
      <w:numFmt w:val="bullet"/>
      <w:lvlText w:val=""/>
      <w:lvlJc w:val="left"/>
      <w:pPr>
        <w:ind w:left="1440" w:hanging="360"/>
      </w:pPr>
      <w:rPr>
        <w:rFonts w:ascii="Symbol" w:hAnsi="Symbol"/>
      </w:rPr>
    </w:lvl>
    <w:lvl w:ilvl="3" w:tplc="9214B582">
      <w:start w:val="1"/>
      <w:numFmt w:val="bullet"/>
      <w:lvlText w:val=""/>
      <w:lvlJc w:val="left"/>
      <w:pPr>
        <w:ind w:left="1440" w:hanging="360"/>
      </w:pPr>
      <w:rPr>
        <w:rFonts w:ascii="Symbol" w:hAnsi="Symbol"/>
      </w:rPr>
    </w:lvl>
    <w:lvl w:ilvl="4" w:tplc="E3E41F6E">
      <w:start w:val="1"/>
      <w:numFmt w:val="bullet"/>
      <w:lvlText w:val=""/>
      <w:lvlJc w:val="left"/>
      <w:pPr>
        <w:ind w:left="1440" w:hanging="360"/>
      </w:pPr>
      <w:rPr>
        <w:rFonts w:ascii="Symbol" w:hAnsi="Symbol"/>
      </w:rPr>
    </w:lvl>
    <w:lvl w:ilvl="5" w:tplc="168C62D2">
      <w:start w:val="1"/>
      <w:numFmt w:val="bullet"/>
      <w:lvlText w:val=""/>
      <w:lvlJc w:val="left"/>
      <w:pPr>
        <w:ind w:left="1440" w:hanging="360"/>
      </w:pPr>
      <w:rPr>
        <w:rFonts w:ascii="Symbol" w:hAnsi="Symbol"/>
      </w:rPr>
    </w:lvl>
    <w:lvl w:ilvl="6" w:tplc="88161BD0">
      <w:start w:val="1"/>
      <w:numFmt w:val="bullet"/>
      <w:lvlText w:val=""/>
      <w:lvlJc w:val="left"/>
      <w:pPr>
        <w:ind w:left="1440" w:hanging="360"/>
      </w:pPr>
      <w:rPr>
        <w:rFonts w:ascii="Symbol" w:hAnsi="Symbol"/>
      </w:rPr>
    </w:lvl>
    <w:lvl w:ilvl="7" w:tplc="405C5E40">
      <w:start w:val="1"/>
      <w:numFmt w:val="bullet"/>
      <w:lvlText w:val=""/>
      <w:lvlJc w:val="left"/>
      <w:pPr>
        <w:ind w:left="1440" w:hanging="360"/>
      </w:pPr>
      <w:rPr>
        <w:rFonts w:ascii="Symbol" w:hAnsi="Symbol"/>
      </w:rPr>
    </w:lvl>
    <w:lvl w:ilvl="8" w:tplc="382A1A96">
      <w:start w:val="1"/>
      <w:numFmt w:val="bullet"/>
      <w:lvlText w:val=""/>
      <w:lvlJc w:val="left"/>
      <w:pPr>
        <w:ind w:left="1440" w:hanging="360"/>
      </w:pPr>
      <w:rPr>
        <w:rFonts w:ascii="Symbol" w:hAnsi="Symbol"/>
      </w:rPr>
    </w:lvl>
  </w:abstractNum>
  <w:abstractNum w:abstractNumId="18"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A7442"/>
    <w:multiLevelType w:val="multilevel"/>
    <w:tmpl w:val="C812CDBA"/>
    <w:numStyleLink w:val="EtatFRPuces"/>
  </w:abstractNum>
  <w:abstractNum w:abstractNumId="20" w15:restartNumberingAfterBreak="0">
    <w:nsid w:val="3FF139E0"/>
    <w:multiLevelType w:val="multilevel"/>
    <w:tmpl w:val="6E089A12"/>
    <w:numStyleLink w:val="EtatFRNumrotation"/>
  </w:abstractNum>
  <w:abstractNum w:abstractNumId="21" w15:restartNumberingAfterBreak="0">
    <w:nsid w:val="4AD33EFC"/>
    <w:multiLevelType w:val="multilevel"/>
    <w:tmpl w:val="02280202"/>
    <w:numStyleLink w:val="EtatFRNumrotationhirarchique"/>
  </w:abstractNum>
  <w:abstractNum w:abstractNumId="22"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4A0AF0"/>
    <w:multiLevelType w:val="hybridMultilevel"/>
    <w:tmpl w:val="4AE81502"/>
    <w:lvl w:ilvl="0" w:tplc="10526F90">
      <w:start w:val="1"/>
      <w:numFmt w:val="lowerLetter"/>
      <w:lvlText w:val="%1)"/>
      <w:lvlJc w:val="left"/>
      <w:pPr>
        <w:ind w:left="720" w:hanging="360"/>
      </w:pPr>
      <w:rPr>
        <w:rFonts w:hint="default"/>
      </w:rPr>
    </w:lvl>
    <w:lvl w:ilvl="1" w:tplc="6E1ED062" w:tentative="1">
      <w:start w:val="1"/>
      <w:numFmt w:val="lowerLetter"/>
      <w:lvlText w:val="%2."/>
      <w:lvlJc w:val="left"/>
      <w:pPr>
        <w:ind w:left="1440" w:hanging="360"/>
      </w:pPr>
    </w:lvl>
    <w:lvl w:ilvl="2" w:tplc="D4D8F564" w:tentative="1">
      <w:start w:val="1"/>
      <w:numFmt w:val="lowerRoman"/>
      <w:lvlText w:val="%3."/>
      <w:lvlJc w:val="right"/>
      <w:pPr>
        <w:ind w:left="2160" w:hanging="180"/>
      </w:pPr>
    </w:lvl>
    <w:lvl w:ilvl="3" w:tplc="881CF920" w:tentative="1">
      <w:start w:val="1"/>
      <w:numFmt w:val="decimal"/>
      <w:lvlText w:val="%4."/>
      <w:lvlJc w:val="left"/>
      <w:pPr>
        <w:ind w:left="2880" w:hanging="360"/>
      </w:pPr>
    </w:lvl>
    <w:lvl w:ilvl="4" w:tplc="CD7A6542" w:tentative="1">
      <w:start w:val="1"/>
      <w:numFmt w:val="lowerLetter"/>
      <w:lvlText w:val="%5."/>
      <w:lvlJc w:val="left"/>
      <w:pPr>
        <w:ind w:left="3600" w:hanging="360"/>
      </w:pPr>
    </w:lvl>
    <w:lvl w:ilvl="5" w:tplc="3000F884" w:tentative="1">
      <w:start w:val="1"/>
      <w:numFmt w:val="lowerRoman"/>
      <w:lvlText w:val="%6."/>
      <w:lvlJc w:val="right"/>
      <w:pPr>
        <w:ind w:left="4320" w:hanging="180"/>
      </w:pPr>
    </w:lvl>
    <w:lvl w:ilvl="6" w:tplc="87507ACC" w:tentative="1">
      <w:start w:val="1"/>
      <w:numFmt w:val="decimal"/>
      <w:lvlText w:val="%7."/>
      <w:lvlJc w:val="left"/>
      <w:pPr>
        <w:ind w:left="5040" w:hanging="360"/>
      </w:pPr>
    </w:lvl>
    <w:lvl w:ilvl="7" w:tplc="834A2150" w:tentative="1">
      <w:start w:val="1"/>
      <w:numFmt w:val="lowerLetter"/>
      <w:lvlText w:val="%8."/>
      <w:lvlJc w:val="left"/>
      <w:pPr>
        <w:ind w:left="5760" w:hanging="360"/>
      </w:pPr>
    </w:lvl>
    <w:lvl w:ilvl="8" w:tplc="412231DE" w:tentative="1">
      <w:start w:val="1"/>
      <w:numFmt w:val="lowerRoman"/>
      <w:lvlText w:val="%9."/>
      <w:lvlJc w:val="right"/>
      <w:pPr>
        <w:ind w:left="6480" w:hanging="180"/>
      </w:pPr>
    </w:lvl>
  </w:abstractNum>
  <w:abstractNum w:abstractNumId="24" w15:restartNumberingAfterBreak="0">
    <w:nsid w:val="51917C4F"/>
    <w:multiLevelType w:val="hybridMultilevel"/>
    <w:tmpl w:val="C24464D2"/>
    <w:lvl w:ilvl="0" w:tplc="A0E60330">
      <w:start w:val="1"/>
      <w:numFmt w:val="bullet"/>
      <w:pStyle w:val="07puces"/>
      <w:lvlText w:val="&gt;"/>
      <w:lvlJc w:val="left"/>
      <w:pPr>
        <w:ind w:left="720" w:hanging="360"/>
      </w:pPr>
      <w:rPr>
        <w:rFonts w:ascii="Times New Roman" w:hAnsi="Times New Roman" w:cs="Times New Roman" w:hint="default"/>
        <w:b/>
        <w:i w:val="0"/>
        <w:caps w:val="0"/>
        <w:strike w:val="0"/>
        <w:dstrike w:val="0"/>
        <w:vanish w:val="0"/>
        <w:color w:val="auto"/>
        <w:sz w:val="20"/>
        <w:szCs w:val="20"/>
        <w:u w:val="none"/>
        <w:vertAlign w:val="baseline"/>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D8E3644"/>
    <w:multiLevelType w:val="multilevel"/>
    <w:tmpl w:val="C812CDBA"/>
    <w:numStyleLink w:val="EtatFRPuces"/>
  </w:abstractNum>
  <w:abstractNum w:abstractNumId="26" w15:restartNumberingAfterBreak="0">
    <w:nsid w:val="73FD7A41"/>
    <w:multiLevelType w:val="hybridMultilevel"/>
    <w:tmpl w:val="DFC4ECEC"/>
    <w:lvl w:ilvl="0" w:tplc="C87857D2">
      <w:start w:val="1"/>
      <w:numFmt w:val="bullet"/>
      <w:lvlText w:val=""/>
      <w:lvlJc w:val="left"/>
      <w:pPr>
        <w:ind w:left="1440" w:hanging="360"/>
      </w:pPr>
      <w:rPr>
        <w:rFonts w:ascii="Symbol" w:hAnsi="Symbol"/>
      </w:rPr>
    </w:lvl>
    <w:lvl w:ilvl="1" w:tplc="A4141E16">
      <w:start w:val="1"/>
      <w:numFmt w:val="bullet"/>
      <w:lvlText w:val=""/>
      <w:lvlJc w:val="left"/>
      <w:pPr>
        <w:ind w:left="1440" w:hanging="360"/>
      </w:pPr>
      <w:rPr>
        <w:rFonts w:ascii="Symbol" w:hAnsi="Symbol"/>
      </w:rPr>
    </w:lvl>
    <w:lvl w:ilvl="2" w:tplc="B3263A2E">
      <w:start w:val="1"/>
      <w:numFmt w:val="bullet"/>
      <w:lvlText w:val=""/>
      <w:lvlJc w:val="left"/>
      <w:pPr>
        <w:ind w:left="1440" w:hanging="360"/>
      </w:pPr>
      <w:rPr>
        <w:rFonts w:ascii="Symbol" w:hAnsi="Symbol"/>
      </w:rPr>
    </w:lvl>
    <w:lvl w:ilvl="3" w:tplc="5F409E16">
      <w:start w:val="1"/>
      <w:numFmt w:val="bullet"/>
      <w:lvlText w:val=""/>
      <w:lvlJc w:val="left"/>
      <w:pPr>
        <w:ind w:left="1440" w:hanging="360"/>
      </w:pPr>
      <w:rPr>
        <w:rFonts w:ascii="Symbol" w:hAnsi="Symbol"/>
      </w:rPr>
    </w:lvl>
    <w:lvl w:ilvl="4" w:tplc="32008A0E">
      <w:start w:val="1"/>
      <w:numFmt w:val="bullet"/>
      <w:lvlText w:val=""/>
      <w:lvlJc w:val="left"/>
      <w:pPr>
        <w:ind w:left="1440" w:hanging="360"/>
      </w:pPr>
      <w:rPr>
        <w:rFonts w:ascii="Symbol" w:hAnsi="Symbol"/>
      </w:rPr>
    </w:lvl>
    <w:lvl w:ilvl="5" w:tplc="A164F70C">
      <w:start w:val="1"/>
      <w:numFmt w:val="bullet"/>
      <w:lvlText w:val=""/>
      <w:lvlJc w:val="left"/>
      <w:pPr>
        <w:ind w:left="1440" w:hanging="360"/>
      </w:pPr>
      <w:rPr>
        <w:rFonts w:ascii="Symbol" w:hAnsi="Symbol"/>
      </w:rPr>
    </w:lvl>
    <w:lvl w:ilvl="6" w:tplc="1C40487A">
      <w:start w:val="1"/>
      <w:numFmt w:val="bullet"/>
      <w:lvlText w:val=""/>
      <w:lvlJc w:val="left"/>
      <w:pPr>
        <w:ind w:left="1440" w:hanging="360"/>
      </w:pPr>
      <w:rPr>
        <w:rFonts w:ascii="Symbol" w:hAnsi="Symbol"/>
      </w:rPr>
    </w:lvl>
    <w:lvl w:ilvl="7" w:tplc="DCA2B6A4">
      <w:start w:val="1"/>
      <w:numFmt w:val="bullet"/>
      <w:lvlText w:val=""/>
      <w:lvlJc w:val="left"/>
      <w:pPr>
        <w:ind w:left="1440" w:hanging="360"/>
      </w:pPr>
      <w:rPr>
        <w:rFonts w:ascii="Symbol" w:hAnsi="Symbol"/>
      </w:rPr>
    </w:lvl>
    <w:lvl w:ilvl="8" w:tplc="4C14E8EE">
      <w:start w:val="1"/>
      <w:numFmt w:val="bullet"/>
      <w:lvlText w:val=""/>
      <w:lvlJc w:val="left"/>
      <w:pPr>
        <w:ind w:left="1440" w:hanging="360"/>
      </w:pPr>
      <w:rPr>
        <w:rFonts w:ascii="Symbol" w:hAnsi="Symbol"/>
      </w:rPr>
    </w:lvl>
  </w:abstractNum>
  <w:abstractNum w:abstractNumId="27" w15:restartNumberingAfterBreak="0">
    <w:nsid w:val="74BE68D6"/>
    <w:multiLevelType w:val="multilevel"/>
    <w:tmpl w:val="6E089A12"/>
    <w:numStyleLink w:val="EtatFRNumrotation"/>
  </w:abstractNum>
  <w:abstractNum w:abstractNumId="28" w15:restartNumberingAfterBreak="0">
    <w:nsid w:val="7A072877"/>
    <w:multiLevelType w:val="multilevel"/>
    <w:tmpl w:val="6E089A12"/>
    <w:numStyleLink w:val="EtatFRNumrotation"/>
  </w:abstractNum>
  <w:abstractNum w:abstractNumId="29" w15:restartNumberingAfterBreak="0">
    <w:nsid w:val="7B2916EA"/>
    <w:multiLevelType w:val="multilevel"/>
    <w:tmpl w:val="C812CDBA"/>
    <w:numStyleLink w:val="EtatFRPuces"/>
  </w:abstractNum>
  <w:num w:numId="1" w16cid:durableId="1135100774">
    <w:abstractNumId w:val="7"/>
  </w:num>
  <w:num w:numId="2" w16cid:durableId="1051884021">
    <w:abstractNumId w:val="5"/>
  </w:num>
  <w:num w:numId="3" w16cid:durableId="1973904516">
    <w:abstractNumId w:val="11"/>
  </w:num>
  <w:num w:numId="4" w16cid:durableId="286398882">
    <w:abstractNumId w:val="16"/>
  </w:num>
  <w:num w:numId="5" w16cid:durableId="854267273">
    <w:abstractNumId w:val="6"/>
  </w:num>
  <w:num w:numId="6" w16cid:durableId="20210548">
    <w:abstractNumId w:val="9"/>
  </w:num>
  <w:num w:numId="7" w16cid:durableId="1315572684">
    <w:abstractNumId w:val="20"/>
  </w:num>
  <w:num w:numId="8" w16cid:durableId="2042045023">
    <w:abstractNumId w:val="4"/>
  </w:num>
  <w:num w:numId="9" w16cid:durableId="1097407574">
    <w:abstractNumId w:val="2"/>
  </w:num>
  <w:num w:numId="10" w16cid:durableId="1716200159">
    <w:abstractNumId w:val="1"/>
  </w:num>
  <w:num w:numId="11" w16cid:durableId="388917265">
    <w:abstractNumId w:val="21"/>
  </w:num>
  <w:num w:numId="12" w16cid:durableId="129330192">
    <w:abstractNumId w:val="28"/>
  </w:num>
  <w:num w:numId="13" w16cid:durableId="1091394770">
    <w:abstractNumId w:val="27"/>
  </w:num>
  <w:num w:numId="14" w16cid:durableId="632714560">
    <w:abstractNumId w:val="25"/>
  </w:num>
  <w:num w:numId="15" w16cid:durableId="1600528478">
    <w:abstractNumId w:val="22"/>
  </w:num>
  <w:num w:numId="16" w16cid:durableId="821458712">
    <w:abstractNumId w:val="18"/>
  </w:num>
  <w:num w:numId="17" w16cid:durableId="436868575">
    <w:abstractNumId w:val="19"/>
  </w:num>
  <w:num w:numId="18" w16cid:durableId="1415782191">
    <w:abstractNumId w:val="0"/>
  </w:num>
  <w:num w:numId="19" w16cid:durableId="714431080">
    <w:abstractNumId w:val="29"/>
  </w:num>
  <w:num w:numId="20" w16cid:durableId="80224674">
    <w:abstractNumId w:val="23"/>
  </w:num>
  <w:num w:numId="21" w16cid:durableId="2043631761">
    <w:abstractNumId w:val="10"/>
  </w:num>
  <w:num w:numId="22" w16cid:durableId="967124618">
    <w:abstractNumId w:val="11"/>
  </w:num>
  <w:num w:numId="23" w16cid:durableId="1381779802">
    <w:abstractNumId w:val="2"/>
  </w:num>
  <w:num w:numId="24" w16cid:durableId="1870147625">
    <w:abstractNumId w:val="2"/>
  </w:num>
  <w:num w:numId="25" w16cid:durableId="1814639514">
    <w:abstractNumId w:val="2"/>
  </w:num>
  <w:num w:numId="26" w16cid:durableId="1191844405">
    <w:abstractNumId w:val="2"/>
  </w:num>
  <w:num w:numId="27" w16cid:durableId="27148965">
    <w:abstractNumId w:val="2"/>
  </w:num>
  <w:num w:numId="28" w16cid:durableId="1959753552">
    <w:abstractNumId w:val="2"/>
  </w:num>
  <w:num w:numId="29" w16cid:durableId="1886022449">
    <w:abstractNumId w:val="2"/>
  </w:num>
  <w:num w:numId="30" w16cid:durableId="710376839">
    <w:abstractNumId w:val="2"/>
  </w:num>
  <w:num w:numId="31" w16cid:durableId="1873378950">
    <w:abstractNumId w:val="2"/>
  </w:num>
  <w:num w:numId="32" w16cid:durableId="837231905">
    <w:abstractNumId w:val="2"/>
  </w:num>
  <w:num w:numId="33" w16cid:durableId="1050963136">
    <w:abstractNumId w:val="2"/>
  </w:num>
  <w:num w:numId="34" w16cid:durableId="1006639623">
    <w:abstractNumId w:val="2"/>
  </w:num>
  <w:num w:numId="35" w16cid:durableId="164780893">
    <w:abstractNumId w:val="2"/>
  </w:num>
  <w:num w:numId="36" w16cid:durableId="1691835552">
    <w:abstractNumId w:val="2"/>
  </w:num>
  <w:num w:numId="37" w16cid:durableId="1012301113">
    <w:abstractNumId w:val="2"/>
  </w:num>
  <w:num w:numId="38" w16cid:durableId="2046443048">
    <w:abstractNumId w:val="2"/>
  </w:num>
  <w:num w:numId="39" w16cid:durableId="1177502733">
    <w:abstractNumId w:val="2"/>
  </w:num>
  <w:num w:numId="40" w16cid:durableId="1831284218">
    <w:abstractNumId w:val="8"/>
  </w:num>
  <w:num w:numId="41" w16cid:durableId="754664511">
    <w:abstractNumId w:val="2"/>
  </w:num>
  <w:num w:numId="42" w16cid:durableId="364406746">
    <w:abstractNumId w:val="2"/>
  </w:num>
  <w:num w:numId="43" w16cid:durableId="1951162294">
    <w:abstractNumId w:val="2"/>
  </w:num>
  <w:num w:numId="44" w16cid:durableId="2018072903">
    <w:abstractNumId w:val="24"/>
  </w:num>
  <w:num w:numId="45" w16cid:durableId="1026902578">
    <w:abstractNumId w:val="26"/>
  </w:num>
  <w:num w:numId="46" w16cid:durableId="1828202994">
    <w:abstractNumId w:val="14"/>
  </w:num>
  <w:num w:numId="47" w16cid:durableId="8235457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3B634C"/>
    <w:rsid w:val="00000B0D"/>
    <w:rsid w:val="000043ED"/>
    <w:rsid w:val="00007768"/>
    <w:rsid w:val="000116C2"/>
    <w:rsid w:val="00013AD3"/>
    <w:rsid w:val="00017B5C"/>
    <w:rsid w:val="00023444"/>
    <w:rsid w:val="00026011"/>
    <w:rsid w:val="00030574"/>
    <w:rsid w:val="000350A6"/>
    <w:rsid w:val="0004140B"/>
    <w:rsid w:val="00047F60"/>
    <w:rsid w:val="000632BB"/>
    <w:rsid w:val="00074326"/>
    <w:rsid w:val="00074554"/>
    <w:rsid w:val="000758C2"/>
    <w:rsid w:val="000916E6"/>
    <w:rsid w:val="000A47E9"/>
    <w:rsid w:val="000B1404"/>
    <w:rsid w:val="000B335C"/>
    <w:rsid w:val="000C5AA1"/>
    <w:rsid w:val="000C643D"/>
    <w:rsid w:val="000C7519"/>
    <w:rsid w:val="000D59F5"/>
    <w:rsid w:val="000E0AC9"/>
    <w:rsid w:val="000E4484"/>
    <w:rsid w:val="00107F81"/>
    <w:rsid w:val="001109B4"/>
    <w:rsid w:val="00116549"/>
    <w:rsid w:val="00124EC4"/>
    <w:rsid w:val="00125084"/>
    <w:rsid w:val="00134E62"/>
    <w:rsid w:val="00135EA5"/>
    <w:rsid w:val="00136B45"/>
    <w:rsid w:val="0014468D"/>
    <w:rsid w:val="00152189"/>
    <w:rsid w:val="001600CB"/>
    <w:rsid w:val="00182FEA"/>
    <w:rsid w:val="00187324"/>
    <w:rsid w:val="00191597"/>
    <w:rsid w:val="001947A3"/>
    <w:rsid w:val="001963AC"/>
    <w:rsid w:val="001A7A0F"/>
    <w:rsid w:val="001B0C7A"/>
    <w:rsid w:val="001C0ABD"/>
    <w:rsid w:val="001C29C4"/>
    <w:rsid w:val="001D0D7A"/>
    <w:rsid w:val="001E1B12"/>
    <w:rsid w:val="001E2235"/>
    <w:rsid w:val="001E43D4"/>
    <w:rsid w:val="001E5641"/>
    <w:rsid w:val="001F60FF"/>
    <w:rsid w:val="00205456"/>
    <w:rsid w:val="00207D02"/>
    <w:rsid w:val="002108D8"/>
    <w:rsid w:val="002171BA"/>
    <w:rsid w:val="0022187D"/>
    <w:rsid w:val="00230A4F"/>
    <w:rsid w:val="00236322"/>
    <w:rsid w:val="002515F1"/>
    <w:rsid w:val="00264118"/>
    <w:rsid w:val="0026504F"/>
    <w:rsid w:val="00280866"/>
    <w:rsid w:val="002825F8"/>
    <w:rsid w:val="00285F8E"/>
    <w:rsid w:val="0029690E"/>
    <w:rsid w:val="002C6291"/>
    <w:rsid w:val="002C66F1"/>
    <w:rsid w:val="002D00C7"/>
    <w:rsid w:val="002D2E01"/>
    <w:rsid w:val="002D67FC"/>
    <w:rsid w:val="002D6A3D"/>
    <w:rsid w:val="002E17B5"/>
    <w:rsid w:val="002E488E"/>
    <w:rsid w:val="002F2B09"/>
    <w:rsid w:val="002F40C4"/>
    <w:rsid w:val="002F62B2"/>
    <w:rsid w:val="003010E1"/>
    <w:rsid w:val="00320F88"/>
    <w:rsid w:val="00326209"/>
    <w:rsid w:val="00335FB2"/>
    <w:rsid w:val="00337C59"/>
    <w:rsid w:val="003552CE"/>
    <w:rsid w:val="0035747D"/>
    <w:rsid w:val="00360569"/>
    <w:rsid w:val="00364782"/>
    <w:rsid w:val="00367BC6"/>
    <w:rsid w:val="00376106"/>
    <w:rsid w:val="00377E0F"/>
    <w:rsid w:val="0038783C"/>
    <w:rsid w:val="00390E8D"/>
    <w:rsid w:val="003A6AF7"/>
    <w:rsid w:val="003B59B3"/>
    <w:rsid w:val="003B634C"/>
    <w:rsid w:val="003C45BC"/>
    <w:rsid w:val="003D66AB"/>
    <w:rsid w:val="003E380E"/>
    <w:rsid w:val="003F0632"/>
    <w:rsid w:val="004047C1"/>
    <w:rsid w:val="004074F6"/>
    <w:rsid w:val="00424166"/>
    <w:rsid w:val="004256D4"/>
    <w:rsid w:val="00430FD7"/>
    <w:rsid w:val="00432EEC"/>
    <w:rsid w:val="00436007"/>
    <w:rsid w:val="00445D10"/>
    <w:rsid w:val="00460DCE"/>
    <w:rsid w:val="00463622"/>
    <w:rsid w:val="00465F6B"/>
    <w:rsid w:val="00467581"/>
    <w:rsid w:val="0046784A"/>
    <w:rsid w:val="0047047A"/>
    <w:rsid w:val="004735E2"/>
    <w:rsid w:val="0047674A"/>
    <w:rsid w:val="004964D5"/>
    <w:rsid w:val="004A2A78"/>
    <w:rsid w:val="004A69AA"/>
    <w:rsid w:val="004B3E6C"/>
    <w:rsid w:val="004B4C32"/>
    <w:rsid w:val="004D0DA8"/>
    <w:rsid w:val="004D6D32"/>
    <w:rsid w:val="004E418E"/>
    <w:rsid w:val="004E53A8"/>
    <w:rsid w:val="004E7B9C"/>
    <w:rsid w:val="004F34A0"/>
    <w:rsid w:val="004F6C49"/>
    <w:rsid w:val="00513C7C"/>
    <w:rsid w:val="00516961"/>
    <w:rsid w:val="00521361"/>
    <w:rsid w:val="005220BD"/>
    <w:rsid w:val="00526964"/>
    <w:rsid w:val="005277F3"/>
    <w:rsid w:val="005312D0"/>
    <w:rsid w:val="00531A4D"/>
    <w:rsid w:val="00546BB4"/>
    <w:rsid w:val="00547C10"/>
    <w:rsid w:val="00550D07"/>
    <w:rsid w:val="00550E6A"/>
    <w:rsid w:val="005621D7"/>
    <w:rsid w:val="00562DE4"/>
    <w:rsid w:val="00575BC0"/>
    <w:rsid w:val="00581467"/>
    <w:rsid w:val="005826EC"/>
    <w:rsid w:val="00583B32"/>
    <w:rsid w:val="00584A98"/>
    <w:rsid w:val="00586BE1"/>
    <w:rsid w:val="00590536"/>
    <w:rsid w:val="005907D2"/>
    <w:rsid w:val="00592224"/>
    <w:rsid w:val="005A0651"/>
    <w:rsid w:val="005A0CE4"/>
    <w:rsid w:val="005A2727"/>
    <w:rsid w:val="005B16E5"/>
    <w:rsid w:val="005C516E"/>
    <w:rsid w:val="005C7FA3"/>
    <w:rsid w:val="005D2729"/>
    <w:rsid w:val="005D5441"/>
    <w:rsid w:val="005E09ED"/>
    <w:rsid w:val="005E327D"/>
    <w:rsid w:val="005F463C"/>
    <w:rsid w:val="006002F6"/>
    <w:rsid w:val="00604EC7"/>
    <w:rsid w:val="00611C04"/>
    <w:rsid w:val="00612AEE"/>
    <w:rsid w:val="00614546"/>
    <w:rsid w:val="00617759"/>
    <w:rsid w:val="00621BD8"/>
    <w:rsid w:val="006247D1"/>
    <w:rsid w:val="006321FE"/>
    <w:rsid w:val="00636C94"/>
    <w:rsid w:val="00637C14"/>
    <w:rsid w:val="00647C3F"/>
    <w:rsid w:val="006742B2"/>
    <w:rsid w:val="00682AC8"/>
    <w:rsid w:val="00682C49"/>
    <w:rsid w:val="006964E0"/>
    <w:rsid w:val="006A5955"/>
    <w:rsid w:val="006A6D02"/>
    <w:rsid w:val="006B71B2"/>
    <w:rsid w:val="006C4FCF"/>
    <w:rsid w:val="006D33C7"/>
    <w:rsid w:val="006D5D54"/>
    <w:rsid w:val="006F76C4"/>
    <w:rsid w:val="00702280"/>
    <w:rsid w:val="00702C25"/>
    <w:rsid w:val="007056E7"/>
    <w:rsid w:val="00711643"/>
    <w:rsid w:val="00712FC0"/>
    <w:rsid w:val="007142AE"/>
    <w:rsid w:val="00714876"/>
    <w:rsid w:val="00716EA8"/>
    <w:rsid w:val="00721188"/>
    <w:rsid w:val="00727DC7"/>
    <w:rsid w:val="00730319"/>
    <w:rsid w:val="00741774"/>
    <w:rsid w:val="00744904"/>
    <w:rsid w:val="00750535"/>
    <w:rsid w:val="00750DCC"/>
    <w:rsid w:val="00750F49"/>
    <w:rsid w:val="0075601E"/>
    <w:rsid w:val="00760C1B"/>
    <w:rsid w:val="00764498"/>
    <w:rsid w:val="00774635"/>
    <w:rsid w:val="00777826"/>
    <w:rsid w:val="00777C98"/>
    <w:rsid w:val="00785A24"/>
    <w:rsid w:val="00785EE9"/>
    <w:rsid w:val="00790E64"/>
    <w:rsid w:val="007A7D30"/>
    <w:rsid w:val="007A7E34"/>
    <w:rsid w:val="007C5338"/>
    <w:rsid w:val="007D2511"/>
    <w:rsid w:val="007E36E1"/>
    <w:rsid w:val="007E4BF6"/>
    <w:rsid w:val="007F120A"/>
    <w:rsid w:val="00801213"/>
    <w:rsid w:val="00802B16"/>
    <w:rsid w:val="008040C0"/>
    <w:rsid w:val="00823A4A"/>
    <w:rsid w:val="00826A23"/>
    <w:rsid w:val="00830031"/>
    <w:rsid w:val="00846B1D"/>
    <w:rsid w:val="0084765D"/>
    <w:rsid w:val="0085018C"/>
    <w:rsid w:val="00855990"/>
    <w:rsid w:val="00857E1F"/>
    <w:rsid w:val="008604FF"/>
    <w:rsid w:val="00867A11"/>
    <w:rsid w:val="008705EE"/>
    <w:rsid w:val="00871C88"/>
    <w:rsid w:val="008749A4"/>
    <w:rsid w:val="0088746C"/>
    <w:rsid w:val="00893A6E"/>
    <w:rsid w:val="00897619"/>
    <w:rsid w:val="008A0480"/>
    <w:rsid w:val="008A57CB"/>
    <w:rsid w:val="008B08A8"/>
    <w:rsid w:val="008C064E"/>
    <w:rsid w:val="008C6D2B"/>
    <w:rsid w:val="008E0A1A"/>
    <w:rsid w:val="008E109E"/>
    <w:rsid w:val="008E5094"/>
    <w:rsid w:val="008E648F"/>
    <w:rsid w:val="008E7813"/>
    <w:rsid w:val="008F31F4"/>
    <w:rsid w:val="008F42E8"/>
    <w:rsid w:val="008F5161"/>
    <w:rsid w:val="00907281"/>
    <w:rsid w:val="009263EF"/>
    <w:rsid w:val="00960FF2"/>
    <w:rsid w:val="00965F46"/>
    <w:rsid w:val="00967B30"/>
    <w:rsid w:val="00970AD0"/>
    <w:rsid w:val="00981418"/>
    <w:rsid w:val="00993011"/>
    <w:rsid w:val="009A20A7"/>
    <w:rsid w:val="009C2C3F"/>
    <w:rsid w:val="009E1AF4"/>
    <w:rsid w:val="009F509F"/>
    <w:rsid w:val="00A123FE"/>
    <w:rsid w:val="00A139D0"/>
    <w:rsid w:val="00A17DD2"/>
    <w:rsid w:val="00A20400"/>
    <w:rsid w:val="00A20CE5"/>
    <w:rsid w:val="00A60075"/>
    <w:rsid w:val="00A603D6"/>
    <w:rsid w:val="00A615F2"/>
    <w:rsid w:val="00A71A79"/>
    <w:rsid w:val="00A84DA1"/>
    <w:rsid w:val="00A8555E"/>
    <w:rsid w:val="00A85A3B"/>
    <w:rsid w:val="00A87FFD"/>
    <w:rsid w:val="00A9146A"/>
    <w:rsid w:val="00A917C9"/>
    <w:rsid w:val="00AB5755"/>
    <w:rsid w:val="00AB7239"/>
    <w:rsid w:val="00AC0F59"/>
    <w:rsid w:val="00AC4F1C"/>
    <w:rsid w:val="00AC5489"/>
    <w:rsid w:val="00AD4230"/>
    <w:rsid w:val="00AE1195"/>
    <w:rsid w:val="00B035A9"/>
    <w:rsid w:val="00B048E5"/>
    <w:rsid w:val="00B1052F"/>
    <w:rsid w:val="00B11244"/>
    <w:rsid w:val="00B22715"/>
    <w:rsid w:val="00B32094"/>
    <w:rsid w:val="00B352BC"/>
    <w:rsid w:val="00B46DEF"/>
    <w:rsid w:val="00B610C0"/>
    <w:rsid w:val="00B65DB5"/>
    <w:rsid w:val="00B7316A"/>
    <w:rsid w:val="00B85528"/>
    <w:rsid w:val="00B86C05"/>
    <w:rsid w:val="00B94533"/>
    <w:rsid w:val="00B9555A"/>
    <w:rsid w:val="00BA1E7F"/>
    <w:rsid w:val="00BB4D4A"/>
    <w:rsid w:val="00BC5D43"/>
    <w:rsid w:val="00BC5E23"/>
    <w:rsid w:val="00BD469C"/>
    <w:rsid w:val="00BD640A"/>
    <w:rsid w:val="00BE195B"/>
    <w:rsid w:val="00BF0551"/>
    <w:rsid w:val="00BF626E"/>
    <w:rsid w:val="00C058A8"/>
    <w:rsid w:val="00C17504"/>
    <w:rsid w:val="00C30893"/>
    <w:rsid w:val="00C30DA7"/>
    <w:rsid w:val="00C50C4B"/>
    <w:rsid w:val="00C53339"/>
    <w:rsid w:val="00C5704A"/>
    <w:rsid w:val="00C61304"/>
    <w:rsid w:val="00C61688"/>
    <w:rsid w:val="00C722E1"/>
    <w:rsid w:val="00C76BA7"/>
    <w:rsid w:val="00C84E82"/>
    <w:rsid w:val="00C86FBA"/>
    <w:rsid w:val="00C90FD4"/>
    <w:rsid w:val="00C92101"/>
    <w:rsid w:val="00C93F55"/>
    <w:rsid w:val="00C946BB"/>
    <w:rsid w:val="00C9633F"/>
    <w:rsid w:val="00CC71F1"/>
    <w:rsid w:val="00CD40D6"/>
    <w:rsid w:val="00CD4FE6"/>
    <w:rsid w:val="00CE0E70"/>
    <w:rsid w:val="00CE1A93"/>
    <w:rsid w:val="00CE32B5"/>
    <w:rsid w:val="00CF7472"/>
    <w:rsid w:val="00D11E53"/>
    <w:rsid w:val="00D353A0"/>
    <w:rsid w:val="00D40E6B"/>
    <w:rsid w:val="00D41D8F"/>
    <w:rsid w:val="00D42798"/>
    <w:rsid w:val="00D44EA1"/>
    <w:rsid w:val="00D622F0"/>
    <w:rsid w:val="00D66833"/>
    <w:rsid w:val="00D74043"/>
    <w:rsid w:val="00D902CE"/>
    <w:rsid w:val="00D932AC"/>
    <w:rsid w:val="00DA2169"/>
    <w:rsid w:val="00DA5EE5"/>
    <w:rsid w:val="00DA7C6D"/>
    <w:rsid w:val="00DA7E34"/>
    <w:rsid w:val="00DB28C4"/>
    <w:rsid w:val="00DB58D5"/>
    <w:rsid w:val="00DB6977"/>
    <w:rsid w:val="00DD30E5"/>
    <w:rsid w:val="00DD6802"/>
    <w:rsid w:val="00DE1E39"/>
    <w:rsid w:val="00DE3BAF"/>
    <w:rsid w:val="00DE67C0"/>
    <w:rsid w:val="00DF0E1A"/>
    <w:rsid w:val="00DF26DA"/>
    <w:rsid w:val="00DF73B2"/>
    <w:rsid w:val="00E02DF5"/>
    <w:rsid w:val="00E05424"/>
    <w:rsid w:val="00E24021"/>
    <w:rsid w:val="00E25B9C"/>
    <w:rsid w:val="00E26B53"/>
    <w:rsid w:val="00E332DF"/>
    <w:rsid w:val="00E368E7"/>
    <w:rsid w:val="00E36BB4"/>
    <w:rsid w:val="00E41938"/>
    <w:rsid w:val="00E43CF0"/>
    <w:rsid w:val="00E4576B"/>
    <w:rsid w:val="00E66F0A"/>
    <w:rsid w:val="00E7102F"/>
    <w:rsid w:val="00E87E62"/>
    <w:rsid w:val="00E95149"/>
    <w:rsid w:val="00E9550D"/>
    <w:rsid w:val="00E96BCA"/>
    <w:rsid w:val="00E97999"/>
    <w:rsid w:val="00EB0FF8"/>
    <w:rsid w:val="00EC0CCD"/>
    <w:rsid w:val="00EC151F"/>
    <w:rsid w:val="00EC27D8"/>
    <w:rsid w:val="00EC5124"/>
    <w:rsid w:val="00ED6BC2"/>
    <w:rsid w:val="00EE077B"/>
    <w:rsid w:val="00EE20E7"/>
    <w:rsid w:val="00EE32B5"/>
    <w:rsid w:val="00EE6320"/>
    <w:rsid w:val="00EF4B71"/>
    <w:rsid w:val="00EF4EC3"/>
    <w:rsid w:val="00EF5AC7"/>
    <w:rsid w:val="00F04733"/>
    <w:rsid w:val="00F05E3D"/>
    <w:rsid w:val="00F10484"/>
    <w:rsid w:val="00F13A95"/>
    <w:rsid w:val="00F20B3A"/>
    <w:rsid w:val="00F265DE"/>
    <w:rsid w:val="00F32A63"/>
    <w:rsid w:val="00F41AC7"/>
    <w:rsid w:val="00F470A8"/>
    <w:rsid w:val="00F5096D"/>
    <w:rsid w:val="00F51A21"/>
    <w:rsid w:val="00F52A3D"/>
    <w:rsid w:val="00F55A3A"/>
    <w:rsid w:val="00F56063"/>
    <w:rsid w:val="00F566BC"/>
    <w:rsid w:val="00F72480"/>
    <w:rsid w:val="00F73E9D"/>
    <w:rsid w:val="00F81C28"/>
    <w:rsid w:val="00F9019C"/>
    <w:rsid w:val="00F93521"/>
    <w:rsid w:val="00F93D08"/>
    <w:rsid w:val="00F94A0A"/>
    <w:rsid w:val="00FA2BD7"/>
    <w:rsid w:val="00FA496B"/>
    <w:rsid w:val="00FA70DE"/>
    <w:rsid w:val="00FA729E"/>
    <w:rsid w:val="00FA7974"/>
    <w:rsid w:val="00FB2E87"/>
    <w:rsid w:val="00FB37DE"/>
    <w:rsid w:val="00FD2FDA"/>
    <w:rsid w:val="00FD437B"/>
    <w:rsid w:val="00FD738E"/>
    <w:rsid w:val="00FF3B98"/>
    <w:rsid w:val="00FF5F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C020"/>
  <w15:docId w15:val="{89EA4322-9158-45E5-9B9E-CF2AD49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character" w:styleId="Mentionnonrsolue">
    <w:name w:val="Unresolved Mention"/>
    <w:basedOn w:val="Policepardfaut"/>
    <w:uiPriority w:val="99"/>
    <w:rsid w:val="0084765D"/>
    <w:rPr>
      <w:color w:val="605E5C"/>
      <w:shd w:val="clear" w:color="auto" w:fill="E1DFDD"/>
    </w:rPr>
  </w:style>
  <w:style w:type="paragraph" w:customStyle="1" w:styleId="xmsonormal">
    <w:name w:val="x_msonormal"/>
    <w:basedOn w:val="Normal"/>
    <w:rsid w:val="005B16E5"/>
    <w:pPr>
      <w:spacing w:before="0" w:after="0" w:line="240" w:lineRule="auto"/>
    </w:pPr>
    <w:rPr>
      <w:rFonts w:ascii="Calibri" w:hAnsi="Calibri" w:cs="Calibri"/>
      <w:sz w:val="22"/>
      <w:szCs w:val="22"/>
      <w:lang w:eastAsia="fr-CH"/>
    </w:rPr>
  </w:style>
  <w:style w:type="table" w:customStyle="1" w:styleId="Grilledutableau1">
    <w:name w:val="Grille du tableau1"/>
    <w:basedOn w:val="TableauNormal"/>
    <w:next w:val="Grilledutableau"/>
    <w:uiPriority w:val="59"/>
    <w:rsid w:val="0047674A"/>
    <w:pPr>
      <w:spacing w:before="0"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7674A"/>
    <w:pPr>
      <w:spacing w:before="0"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basedOn w:val="Normal"/>
    <w:rsid w:val="00581467"/>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260">
      <w:bodyDiv w:val="1"/>
      <w:marLeft w:val="0"/>
      <w:marRight w:val="0"/>
      <w:marTop w:val="0"/>
      <w:marBottom w:val="0"/>
      <w:divBdr>
        <w:top w:val="none" w:sz="0" w:space="0" w:color="auto"/>
        <w:left w:val="none" w:sz="0" w:space="0" w:color="auto"/>
        <w:bottom w:val="none" w:sz="0" w:space="0" w:color="auto"/>
        <w:right w:val="none" w:sz="0" w:space="0" w:color="auto"/>
      </w:divBdr>
    </w:div>
    <w:div w:id="802622915">
      <w:bodyDiv w:val="1"/>
      <w:marLeft w:val="0"/>
      <w:marRight w:val="0"/>
      <w:marTop w:val="0"/>
      <w:marBottom w:val="0"/>
      <w:divBdr>
        <w:top w:val="none" w:sz="0" w:space="0" w:color="auto"/>
        <w:left w:val="none" w:sz="0" w:space="0" w:color="auto"/>
        <w:bottom w:val="none" w:sz="0" w:space="0" w:color="auto"/>
        <w:right w:val="none" w:sz="0" w:space="0" w:color="auto"/>
      </w:divBdr>
    </w:div>
    <w:div w:id="15343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customXml/itemProps2.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4.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fr_RGC_</Template>
  <TotalTime>0</TotalTime>
  <Pages>6</Pages>
  <Words>1665</Words>
  <Characters>9161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Pittet Sylvie</cp:lastModifiedBy>
  <cp:revision>3</cp:revision>
  <cp:lastPrinted>2024-01-25T13:27:00Z</cp:lastPrinted>
  <dcterms:created xsi:type="dcterms:W3CDTF">2026-04-29T06:26:00Z</dcterms:created>
  <dcterms:modified xsi:type="dcterms:W3CDTF">2026-04-30T05:58:00Z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