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377691D1" w:rsidR="004F5083" w:rsidRPr="004F5083" w:rsidRDefault="007C68B2">
      <w:pPr>
        <w:pStyle w:val="05objet"/>
        <w:rPr>
          <w:rFonts w:ascii="Times New Roman" w:hAnsi="Times New Roman"/>
          <w:b w:val="0"/>
          <w:bCs/>
          <w:i/>
          <w:iCs/>
          <w:spacing w:val="30"/>
        </w:rPr>
      </w:pPr>
      <w:r>
        <w:rPr>
          <w:rFonts w:ascii="Times New Roman" w:hAnsi="Times New Roman"/>
          <w:b w:val="0"/>
          <w:bCs/>
          <w:i/>
          <w:iCs/>
        </w:rPr>
        <w:t>Villars-sur-Glâne</w:t>
      </w:r>
      <w:r w:rsidR="004F5083" w:rsidRPr="004F5083">
        <w:rPr>
          <w:rFonts w:ascii="Times New Roman" w:hAnsi="Times New Roman"/>
          <w:b w:val="0"/>
          <w:bCs/>
          <w:i/>
          <w:iCs/>
        </w:rPr>
        <w:t xml:space="preserve">, le </w:t>
      </w:r>
      <w:r w:rsidR="00AC3D56">
        <w:rPr>
          <w:rFonts w:ascii="Times New Roman" w:hAnsi="Times New Roman"/>
          <w:b w:val="0"/>
          <w:bCs/>
          <w:i/>
          <w:iCs/>
        </w:rPr>
        <w:t>11 décembre</w:t>
      </w:r>
      <w:r w:rsidR="00703783">
        <w:rPr>
          <w:rFonts w:ascii="Times New Roman" w:hAnsi="Times New Roman"/>
          <w:b w:val="0"/>
          <w:bCs/>
          <w:i/>
          <w:iCs/>
        </w:rPr>
        <w:t xml:space="preserve"> 2025</w:t>
      </w:r>
    </w:p>
    <w:p w14:paraId="700963A9" w14:textId="3C91E8B8" w:rsidR="001770D1" w:rsidRDefault="00A75708" w:rsidP="00A75708">
      <w:pPr>
        <w:pStyle w:val="05objet"/>
      </w:pPr>
      <w:r w:rsidRPr="00A75708">
        <w:t xml:space="preserve">Modèle </w:t>
      </w:r>
      <w:r w:rsidR="00AC3D56">
        <w:t xml:space="preserve">de concept </w:t>
      </w:r>
      <w:r w:rsidRPr="00A75708">
        <w:t>relatif au recours de mesures limitatives de liberté de mouvement (MLLM) au sein des établissements médico-sociaux et dans les services d’aide et de soins à domicile</w:t>
      </w:r>
    </w:p>
    <w:sdt>
      <w:sdtPr>
        <w:rPr>
          <w:color w:val="FF0000"/>
        </w:rPr>
        <w:id w:val="617424920"/>
        <w:placeholder>
          <w:docPart w:val="DefaultPlaceholder_-1854013440"/>
        </w:placeholder>
      </w:sdtPr>
      <w:sdtEndPr/>
      <w:sdtContent>
        <w:p w14:paraId="0E8E69D8" w14:textId="3E78F8A3" w:rsidR="00B7774C" w:rsidRDefault="00B7774C" w:rsidP="00B7774C">
          <w:pPr>
            <w:rPr>
              <w:color w:val="FF0000"/>
            </w:rPr>
          </w:pPr>
          <w:r w:rsidRPr="00B7774C">
            <w:rPr>
              <w:color w:val="FF0000"/>
            </w:rPr>
            <w:t>Nom de l’établissement médico-social ou du service d’aide et de soins à domicile</w:t>
          </w:r>
        </w:p>
      </w:sdtContent>
    </w:sdt>
    <w:sdt>
      <w:sdtPr>
        <w:rPr>
          <w:rFonts w:ascii="Times New Roman" w:eastAsia="Times New Roman" w:hAnsi="Times New Roman" w:cs="Times New Roman"/>
          <w:color w:val="auto"/>
          <w:sz w:val="24"/>
          <w:szCs w:val="24"/>
          <w:lang w:val="fr-FR" w:eastAsia="fr-FR"/>
        </w:rPr>
        <w:id w:val="508794848"/>
        <w:docPartObj>
          <w:docPartGallery w:val="Table of Contents"/>
          <w:docPartUnique/>
        </w:docPartObj>
      </w:sdtPr>
      <w:sdtEndPr>
        <w:rPr>
          <w:b/>
          <w:bCs/>
        </w:rPr>
      </w:sdtEndPr>
      <w:sdtContent>
        <w:p w14:paraId="0415DA3F" w14:textId="77777777" w:rsidR="00553D5C" w:rsidRDefault="00553D5C">
          <w:pPr>
            <w:pStyle w:val="En-ttedetabledesmatires"/>
            <w:rPr>
              <w:rFonts w:ascii="Times New Roman" w:eastAsia="Times New Roman" w:hAnsi="Times New Roman" w:cs="Times New Roman"/>
              <w:color w:val="auto"/>
              <w:sz w:val="24"/>
              <w:szCs w:val="24"/>
              <w:lang w:val="fr-FR" w:eastAsia="fr-FR"/>
            </w:rPr>
          </w:pPr>
        </w:p>
        <w:p w14:paraId="36A3D5F6" w14:textId="77777777" w:rsidR="00553D5C" w:rsidRDefault="00553D5C">
          <w:pPr>
            <w:spacing w:after="0" w:line="240" w:lineRule="auto"/>
          </w:pPr>
          <w:r>
            <w:br w:type="page"/>
          </w:r>
        </w:p>
        <w:p w14:paraId="7C6C0F1E" w14:textId="55624953" w:rsidR="006E1B85" w:rsidRDefault="006E1B85">
          <w:pPr>
            <w:pStyle w:val="En-ttedetabledesmatires"/>
          </w:pPr>
          <w:r>
            <w:rPr>
              <w:lang w:val="fr-FR"/>
            </w:rPr>
            <w:lastRenderedPageBreak/>
            <w:t>Table des matières</w:t>
          </w:r>
        </w:p>
        <w:p w14:paraId="45231E56" w14:textId="6FDDF5A9" w:rsidR="00D44029" w:rsidRDefault="006E1B85">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rPr>
            <w:fldChar w:fldCharType="begin"/>
          </w:r>
          <w:r>
            <w:rPr>
              <w:b w:val="0"/>
              <w:bCs w:val="0"/>
              <w:caps w:val="0"/>
            </w:rPr>
            <w:instrText xml:space="preserve"> TOC \o "1-3" \n \h \z \u </w:instrText>
          </w:r>
          <w:r>
            <w:rPr>
              <w:b w:val="0"/>
              <w:bCs w:val="0"/>
              <w:caps w:val="0"/>
            </w:rPr>
            <w:fldChar w:fldCharType="separate"/>
          </w:r>
          <w:hyperlink w:anchor="_Toc216857655" w:history="1">
            <w:r w:rsidR="00D44029" w:rsidRPr="00B14735">
              <w:rPr>
                <w:rStyle w:val="Lienhypertexte"/>
                <w:noProof/>
              </w:rPr>
              <w:t>1.</w:t>
            </w:r>
            <w:r w:rsidR="00D44029">
              <w:rPr>
                <w:rFonts w:asciiTheme="minorHAnsi" w:eastAsiaTheme="minorEastAsia" w:hAnsiTheme="minorHAnsi" w:cstheme="minorBidi"/>
                <w:b w:val="0"/>
                <w:bCs w:val="0"/>
                <w:caps w:val="0"/>
                <w:noProof/>
                <w:kern w:val="2"/>
                <w:lang w:val="fr-CH" w:eastAsia="fr-CH"/>
                <w14:ligatures w14:val="standardContextual"/>
              </w:rPr>
              <w:tab/>
            </w:r>
            <w:r w:rsidR="00D44029" w:rsidRPr="00B14735">
              <w:rPr>
                <w:rStyle w:val="Lienhypertexte"/>
                <w:noProof/>
              </w:rPr>
              <w:t>Introduction</w:t>
            </w:r>
          </w:hyperlink>
        </w:p>
        <w:p w14:paraId="6F4F9D4F" w14:textId="25409213"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6" w:history="1">
            <w:r w:rsidRPr="00B14735">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Utilisation des mesures limitatives de liberté de mouvement (MLLM)</w:t>
            </w:r>
          </w:hyperlink>
        </w:p>
        <w:p w14:paraId="5C52D842" w14:textId="1A6A1D5E"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7" w:history="1">
            <w:r w:rsidRPr="00B14735">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Risques liés à l’utilisation des mesures limitatives de liberté de mouvement</w:t>
            </w:r>
          </w:hyperlink>
        </w:p>
        <w:p w14:paraId="713F3FDA" w14:textId="260DAEB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8" w:history="1">
            <w:r w:rsidRPr="00B14735">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Mesures utilisées</w:t>
            </w:r>
          </w:hyperlink>
        </w:p>
        <w:p w14:paraId="22819345" w14:textId="11CCF3C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59" w:history="1">
            <w:r w:rsidRPr="00B14735">
              <w:rPr>
                <w:rStyle w:val="Lienhypertexte"/>
                <w:noProof/>
              </w:rPr>
              <w:t>5.</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Analyse et pistes de réflexion sur la mise en place d’une MLLM</w:t>
            </w:r>
          </w:hyperlink>
        </w:p>
        <w:p w14:paraId="5FFB8852" w14:textId="3A2BA330"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0" w:history="1">
            <w:r w:rsidRPr="00B14735">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Pratique</w:t>
            </w:r>
          </w:hyperlink>
        </w:p>
        <w:p w14:paraId="4FA98BDA" w14:textId="6A597DF2"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1" w:history="1">
            <w:r w:rsidRPr="00B14735">
              <w:rPr>
                <w:rStyle w:val="Lienhypertexte"/>
                <w:noProof/>
              </w:rPr>
              <w:t>6.1.</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Les mesures d’accompagnement</w:t>
            </w:r>
          </w:hyperlink>
        </w:p>
        <w:p w14:paraId="366710C6" w14:textId="20B7E847"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2" w:history="1">
            <w:r w:rsidRPr="00B14735">
              <w:rPr>
                <w:rStyle w:val="Lienhypertexte"/>
                <w:noProof/>
              </w:rPr>
              <w:t>6.2.</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Processus pour l’application d’une MLLM</w:t>
            </w:r>
          </w:hyperlink>
        </w:p>
        <w:p w14:paraId="2AFB48F5" w14:textId="7D6A2F36"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3" w:history="1">
            <w:r w:rsidRPr="00B14735">
              <w:rPr>
                <w:rStyle w:val="Lienhypertexte"/>
                <w:noProof/>
              </w:rPr>
              <w:t>7.</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Réunion avec la personne représentante thérapeutique</w:t>
            </w:r>
          </w:hyperlink>
        </w:p>
        <w:p w14:paraId="052AAE5B" w14:textId="7FADDEEA"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4" w:history="1">
            <w:r w:rsidRPr="00B14735">
              <w:rPr>
                <w:rStyle w:val="Lienhypertexte"/>
                <w:noProof/>
              </w:rPr>
              <w:t>8.</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Informations aux bénéficiaires de soins ainsi qu’aux proches</w:t>
            </w:r>
          </w:hyperlink>
        </w:p>
        <w:p w14:paraId="516F9A3F" w14:textId="5BA5ADEF" w:rsidR="00D44029" w:rsidRDefault="00D44029">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5" w:history="1">
            <w:r w:rsidRPr="00B14735">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Formation du personnel</w:t>
            </w:r>
          </w:hyperlink>
        </w:p>
        <w:p w14:paraId="417D3DC6" w14:textId="0E8D3A8B"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6" w:history="1">
            <w:r w:rsidRPr="00B14735">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Références</w:t>
            </w:r>
          </w:hyperlink>
        </w:p>
        <w:p w14:paraId="7CB7BB6E" w14:textId="69A29A28"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7" w:history="1">
            <w:r w:rsidRPr="00B14735">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Remerciements</w:t>
            </w:r>
          </w:hyperlink>
        </w:p>
        <w:p w14:paraId="2F9E5762" w14:textId="24B2F2E3" w:rsidR="00D44029" w:rsidRDefault="00D44029">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6857668" w:history="1">
            <w:r w:rsidRPr="00B14735">
              <w:rPr>
                <w:rStyle w:val="Lienhypertexte"/>
                <w:noProof/>
              </w:rPr>
              <w:t>12.</w:t>
            </w:r>
            <w:r>
              <w:rPr>
                <w:rFonts w:asciiTheme="minorHAnsi" w:eastAsiaTheme="minorEastAsia" w:hAnsiTheme="minorHAnsi" w:cstheme="minorBidi"/>
                <w:b w:val="0"/>
                <w:bCs w:val="0"/>
                <w:caps w:val="0"/>
                <w:noProof/>
                <w:kern w:val="2"/>
                <w:lang w:val="fr-CH" w:eastAsia="fr-CH"/>
                <w14:ligatures w14:val="standardContextual"/>
              </w:rPr>
              <w:tab/>
            </w:r>
            <w:r w:rsidRPr="00B14735">
              <w:rPr>
                <w:rStyle w:val="Lienhypertexte"/>
                <w:noProof/>
              </w:rPr>
              <w:t>Annexe</w:t>
            </w:r>
          </w:hyperlink>
        </w:p>
        <w:p w14:paraId="688B1E25" w14:textId="65E4E791" w:rsidR="00D44029" w:rsidRDefault="00D44029">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6857669" w:history="1">
            <w:r w:rsidRPr="00B14735">
              <w:rPr>
                <w:rStyle w:val="Lienhypertexte"/>
                <w:noProof/>
              </w:rPr>
              <w:t>12.1.</w:t>
            </w:r>
            <w:r>
              <w:rPr>
                <w:rFonts w:eastAsiaTheme="minorEastAsia" w:cstheme="minorBidi"/>
                <w:b w:val="0"/>
                <w:bCs w:val="0"/>
                <w:noProof/>
                <w:kern w:val="2"/>
                <w:sz w:val="24"/>
                <w:szCs w:val="24"/>
                <w:lang w:val="fr-CH" w:eastAsia="fr-CH"/>
                <w14:ligatures w14:val="standardContextual"/>
              </w:rPr>
              <w:tab/>
            </w:r>
            <w:r w:rsidRPr="00B14735">
              <w:rPr>
                <w:rStyle w:val="Lienhypertexte"/>
                <w:noProof/>
              </w:rPr>
              <w:t>Processus pour l’application d’une MLLM (3;4)</w:t>
            </w:r>
          </w:hyperlink>
        </w:p>
        <w:p w14:paraId="14D8C32A" w14:textId="43A0952F" w:rsidR="00B7774C" w:rsidRDefault="006E1B85" w:rsidP="00D44029">
          <w:r>
            <w:rPr>
              <w:rFonts w:asciiTheme="majorHAnsi" w:hAnsiTheme="majorHAnsi" w:cstheme="majorHAnsi"/>
              <w:b/>
              <w:bCs/>
              <w:caps/>
            </w:rPr>
            <w:fldChar w:fldCharType="end"/>
          </w:r>
        </w:p>
      </w:sdtContent>
    </w:sdt>
    <w:p w14:paraId="215A1023" w14:textId="77777777" w:rsidR="00553D5C" w:rsidRDefault="00553D5C">
      <w:pPr>
        <w:spacing w:after="0" w:line="240" w:lineRule="auto"/>
        <w:rPr>
          <w:rFonts w:ascii="Arial" w:hAnsi="Arial"/>
          <w:b/>
          <w:kern w:val="32"/>
        </w:rPr>
      </w:pPr>
      <w:bookmarkStart w:id="0" w:name="_Toc195265487"/>
      <w:bookmarkStart w:id="1" w:name="_Toc216857655"/>
      <w:r>
        <w:br w:type="page"/>
      </w:r>
    </w:p>
    <w:p w14:paraId="7014C2C8" w14:textId="46540BEB" w:rsidR="00D62E87" w:rsidRDefault="00D62E87" w:rsidP="00D62E87">
      <w:pPr>
        <w:pStyle w:val="Titre1"/>
      </w:pPr>
      <w:r>
        <w:lastRenderedPageBreak/>
        <w:t>Introduction</w:t>
      </w:r>
      <w:bookmarkEnd w:id="0"/>
      <w:bookmarkEnd w:id="1"/>
    </w:p>
    <w:p w14:paraId="694BD442" w14:textId="77777777" w:rsidR="00D62E87" w:rsidRDefault="00D62E87" w:rsidP="00D62E87">
      <w:r w:rsidRPr="00F53085">
        <w:t>L’élaboration d’un concept précisant la position de l’établissement sur le recours aux mesures limitant la liberté de mouvement fait partie des conditions cadres pour l’exploitation d’un EMS. Ce concept doit comprendre : la prévention, les mesures utilisées, la documentation, la formation du personnel</w:t>
      </w:r>
      <w:r w:rsidRPr="001655D5">
        <w:t xml:space="preserve">. </w:t>
      </w:r>
    </w:p>
    <w:p w14:paraId="1D1ACB09" w14:textId="77777777" w:rsidR="00D62E87" w:rsidRPr="00D84FD9" w:rsidRDefault="00D62E87" w:rsidP="00D62E87">
      <w:pPr>
        <w:rPr>
          <w:szCs w:val="21"/>
        </w:rPr>
      </w:pPr>
      <w:r w:rsidRPr="00D84FD9">
        <w:rPr>
          <w:bCs/>
          <w:szCs w:val="21"/>
        </w:rPr>
        <w:t xml:space="preserve">Le Service du médecin cantonal (SMC) et l’Association fribourgeoise des institutions pour personnes âgées et de l’aide et des soins à domicile (AFISA) ont collaboré à la rédaction du présent concept. </w:t>
      </w:r>
      <w:r w:rsidRPr="00D84FD9">
        <w:rPr>
          <w:szCs w:val="21"/>
        </w:rPr>
        <w:t xml:space="preserve">Ce document sert de base de référence tant pour les EMS que pour les services d’aide et de soins à domicile (ASAD). </w:t>
      </w:r>
    </w:p>
    <w:p w14:paraId="27EBD0B1" w14:textId="77777777" w:rsidR="00D62E87" w:rsidRPr="00027F75" w:rsidRDefault="00D62E87" w:rsidP="00D62E87">
      <w:pPr>
        <w:rPr>
          <w:szCs w:val="21"/>
        </w:rPr>
      </w:pPr>
      <w:r w:rsidRPr="00027F75">
        <w:rPr>
          <w:szCs w:val="21"/>
        </w:rPr>
        <w:t>Certains items sont à compléter et ceci en fonction de la réalité du terrain de l’institution concernée.</w:t>
      </w:r>
    </w:p>
    <w:p w14:paraId="110F1BB7" w14:textId="77777777" w:rsidR="00D62E87" w:rsidRDefault="00D62E87" w:rsidP="00D62E87">
      <w:pPr>
        <w:pStyle w:val="Titre1"/>
      </w:pPr>
      <w:bookmarkStart w:id="2" w:name="_Toc195265488"/>
      <w:bookmarkStart w:id="3" w:name="_Toc216857656"/>
      <w:r>
        <w:t>Utilisation des mesures limitatives de liberté de mouvement (MLLM)</w:t>
      </w:r>
      <w:bookmarkEnd w:id="2"/>
      <w:bookmarkEnd w:id="3"/>
    </w:p>
    <w:p w14:paraId="217CD866" w14:textId="77777777" w:rsidR="00D62E87" w:rsidRPr="00D84FD9" w:rsidRDefault="00D62E87" w:rsidP="00D62E87">
      <w:r w:rsidRPr="000A6A3D">
        <w:t xml:space="preserve">« Par principe, toute mesure de contrainte à l’égard des patient-e-s est interdite. A titre exceptionnel, et après en avoir discuté avec le ou la patient-e ou ses proches, le ou la responsable d’une institution de santé peut, sur la proposition des professionnel-le-s de la santé rattachés à l’institution, imposer pour une durée limitée des mesures de contrainte strictement nécessaires à la prise </w:t>
      </w:r>
      <w:r w:rsidRPr="00D84FD9">
        <w:t>en charge d’un ou d’une patient-e » [1]. La mesure de contrainte revêt un caractère exceptionnel relevé aussi bien par la LSan que par le Code civil [2].</w:t>
      </w:r>
    </w:p>
    <w:p w14:paraId="4D867BDF" w14:textId="77777777" w:rsidR="00D62E87" w:rsidRPr="000A6A3D" w:rsidRDefault="00D62E87" w:rsidP="00D62E87">
      <w:r w:rsidRPr="00D84FD9">
        <w:t>La MLLM, appliquée sans le consentement libre et éclairé du ou de la bénéficiaire de soins est une mesure de contrainte [3, 4,</w:t>
      </w:r>
      <w:r>
        <w:t xml:space="preserve"> 5, 6</w:t>
      </w:r>
      <w:r w:rsidRPr="00D84FD9">
        <w:t>]</w:t>
      </w:r>
      <w:r w:rsidRPr="00D84FD9">
        <w:rPr>
          <w:i/>
          <w:iCs/>
        </w:rPr>
        <w:t xml:space="preserve">. </w:t>
      </w:r>
      <w:r w:rsidRPr="00D84FD9">
        <w:t>Cette dernière nécessite la consultation de la personne représentante thérapeutique pour la prise de décision. Si le ou la bénéficiaire de soins a la capacité de discernement, l’EMS / l’ASAD</w:t>
      </w:r>
      <w:r w:rsidRPr="000A6A3D">
        <w:t xml:space="preserve"> suivra en principe sa volonté dans le respect du principe de l’autonomie et du droit à l’auto-détermination et de l’exigence de son consentement [</w:t>
      </w:r>
      <w:r>
        <w:t>7</w:t>
      </w:r>
      <w:r w:rsidRPr="000A6A3D">
        <w:t>]. Il est important de réévaluer régulièrement la capacité de discernement du ou de la bénéficiaire de soins, la pertinence de la mesure ainsi que l’ampleur du risque pour ce ou cette dernier-ère et de traçabiliser ces éléments.</w:t>
      </w:r>
    </w:p>
    <w:p w14:paraId="3B4B0A68" w14:textId="77777777" w:rsidR="00D62E87" w:rsidRDefault="00D62E87" w:rsidP="00D62E87">
      <w:r w:rsidRPr="000A6A3D">
        <w:t>En certaines circonstances, il peut s’avérer nécessaire d’instaurer une MLLM en cas de danger pour le ou la bénéficiaire de soins et / ou pour autrui et de perturbation de la vie</w:t>
      </w:r>
      <w:r w:rsidRPr="507202BA">
        <w:t xml:space="preserve"> communautaire. </w:t>
      </w:r>
    </w:p>
    <w:p w14:paraId="48DAFCF1" w14:textId="77777777" w:rsidR="00D62E87" w:rsidRDefault="00D62E87" w:rsidP="00D62E87">
      <w:r>
        <w:t>Liste des situations rencontrées et représentant un danger pour le ou la bénéficiaire de soins et/ou perturbant gravement la vie communautaire (exemples : chutes, désorientation, errance, intrusion, mise en danger : auto et hétéro agressivité, addictions, environnement extra-muros, …) :</w:t>
      </w:r>
    </w:p>
    <w:sdt>
      <w:sdtPr>
        <w:rPr>
          <w:rStyle w:val="Entryboxstyle"/>
        </w:rPr>
        <w:alias w:val="Objet"/>
        <w:tag w:val="Objet"/>
        <w:id w:val="-350407506"/>
        <w:placeholder>
          <w:docPart w:val="48029355CA274503AF2B964CD71C603A"/>
        </w:placeholder>
      </w:sdtPr>
      <w:sdtEndPr>
        <w:rPr>
          <w:rStyle w:val="Entryboxstyle"/>
        </w:rPr>
      </w:sdtEndPr>
      <w:sdtContent>
        <w:p w14:paraId="1C75CFBF" w14:textId="7FC13091" w:rsidR="00255AF9" w:rsidRPr="004D6296" w:rsidRDefault="00314032" w:rsidP="00D62E87">
          <w:pPr>
            <w:rPr>
              <w:rStyle w:val="Entryboxstyle"/>
            </w:rPr>
          </w:pPr>
          <w:r>
            <w:rPr>
              <w:rStyle w:val="Entryboxstyle"/>
            </w:rPr>
            <w:t>Liste des situations</w:t>
          </w:r>
        </w:p>
      </w:sdtContent>
    </w:sdt>
    <w:p w14:paraId="47F241BF" w14:textId="77777777" w:rsidR="00D62E87" w:rsidRPr="00E07E98" w:rsidRDefault="00D62E87" w:rsidP="00D62E87">
      <w:r w:rsidRPr="000A6A3D">
        <w:t>« Les professionnel-le-s ne sont toutefois pas tenus de protéger une personne qui leur est confiée envers et contre tout, y compris d’elle-même. Ce devoir est limité par le refus éclairé d’une personne capable de discernement. Les professionnel-le-s ne sont pas non plus tenus de devoir protéger une personne si cela implique de devoir lui faire du mal pour qu’elle soit en sécurité. Les MLLM doivent donc respecter le principe de proportionnalité » [</w:t>
      </w:r>
      <w:r>
        <w:t>8</w:t>
      </w:r>
      <w:r w:rsidRPr="000A6A3D">
        <w:t>].</w:t>
      </w:r>
    </w:p>
    <w:p w14:paraId="33D1212B" w14:textId="77777777" w:rsidR="00D62E87" w:rsidRPr="00A22183" w:rsidRDefault="00D62E87" w:rsidP="00D62E87">
      <w:r w:rsidRPr="00023F5B">
        <w:rPr>
          <w:color w:val="000000" w:themeColor="text1"/>
        </w:rPr>
        <w:t>Une sensibilisation des bénéficiaires de soins et des personnes représentantes thérapeutiques à la problématique des mesures de contraintes et de la gestion du risque serait également indiquée [</w:t>
      </w:r>
      <w:r>
        <w:rPr>
          <w:color w:val="000000" w:themeColor="text1"/>
        </w:rPr>
        <w:t>7</w:t>
      </w:r>
      <w:r w:rsidRPr="00023F5B">
        <w:rPr>
          <w:color w:val="000000" w:themeColor="text1"/>
        </w:rPr>
        <w:t>]</w:t>
      </w:r>
      <w:r>
        <w:rPr>
          <w:color w:val="000000" w:themeColor="text1"/>
        </w:rPr>
        <w:t>.</w:t>
      </w:r>
    </w:p>
    <w:p w14:paraId="78F22DDC" w14:textId="77777777" w:rsidR="00D62E87" w:rsidRPr="00023F5B" w:rsidRDefault="00D62E87" w:rsidP="00D62E87">
      <w:r w:rsidRPr="00023F5B">
        <w:t xml:space="preserve">En tous les cas, les MLLM doivent être considérées avec attention et circonspection.  </w:t>
      </w:r>
    </w:p>
    <w:p w14:paraId="7DD63672" w14:textId="77777777" w:rsidR="00D62E87" w:rsidRPr="00023F5B" w:rsidRDefault="00D62E87" w:rsidP="00D62E87">
      <w:r w:rsidRPr="00023F5B">
        <w:t>L’analyse des points suivants doit être effectuée en amont de la mise en place de la MLLM [</w:t>
      </w:r>
      <w:r>
        <w:t>7</w:t>
      </w:r>
      <w:r w:rsidRPr="00023F5B">
        <w:t>] :</w:t>
      </w:r>
    </w:p>
    <w:p w14:paraId="1DF3B86A" w14:textId="77777777" w:rsidR="00D62E87" w:rsidRPr="00023F5B" w:rsidRDefault="00D62E87" w:rsidP="00D62E87">
      <w:pPr>
        <w:pStyle w:val="07puces"/>
      </w:pPr>
      <w:r w:rsidRPr="00023F5B">
        <w:lastRenderedPageBreak/>
        <w:t xml:space="preserve">Les causes qui amènent l’équipe / la famille à envisager l’instauration d’une mesure de contrainte (comportement, chutes, nuisances, ...), </w:t>
      </w:r>
    </w:p>
    <w:p w14:paraId="29F67DDF" w14:textId="77777777" w:rsidR="00D62E87" w:rsidRPr="00023F5B" w:rsidRDefault="00D62E87" w:rsidP="00D62E87">
      <w:pPr>
        <w:pStyle w:val="07puces"/>
      </w:pPr>
      <w:r w:rsidRPr="00023F5B">
        <w:t xml:space="preserve">Le traitement de ces causes (relié au ou à la bénéficiaire de soins et/ou à l’infrastructure), </w:t>
      </w:r>
    </w:p>
    <w:p w14:paraId="704792CD" w14:textId="77777777" w:rsidR="00D62E87" w:rsidRPr="00023F5B" w:rsidRDefault="00D62E87" w:rsidP="00D62E87">
      <w:pPr>
        <w:pStyle w:val="07puces"/>
      </w:pPr>
      <w:r w:rsidRPr="00023F5B">
        <w:t xml:space="preserve">Les moyens d’agir sur les causes sans porter atteinte à la liberté personnelle du ou de la bénéficiaire de soins, </w:t>
      </w:r>
    </w:p>
    <w:p w14:paraId="04D7A48F" w14:textId="77777777" w:rsidR="00D62E87" w:rsidRDefault="00D62E87" w:rsidP="00D62E87">
      <w:pPr>
        <w:pStyle w:val="07puces"/>
      </w:pPr>
      <w:r w:rsidRPr="00023F5B">
        <w:t xml:space="preserve">Le recours à des solutions alternatives aux mesures de contraintes. </w:t>
      </w:r>
    </w:p>
    <w:p w14:paraId="39392E0E" w14:textId="77777777" w:rsidR="00D44029" w:rsidRPr="00023F5B" w:rsidRDefault="00D44029" w:rsidP="00D44029">
      <w:pPr>
        <w:pStyle w:val="07puces"/>
        <w:numPr>
          <w:ilvl w:val="0"/>
          <w:numId w:val="0"/>
        </w:numPr>
        <w:ind w:left="227"/>
      </w:pPr>
    </w:p>
    <w:p w14:paraId="6379B787" w14:textId="77777777" w:rsidR="00D62E87" w:rsidRDefault="00D62E87" w:rsidP="00D62E87">
      <w:pPr>
        <w:pStyle w:val="Titre1"/>
      </w:pPr>
      <w:bookmarkStart w:id="4" w:name="_Toc195265489"/>
      <w:bookmarkStart w:id="5" w:name="_Toc216857657"/>
      <w:r>
        <w:t>Risques liés à l’utilisation des mesures limitatives de liberté de mouvement</w:t>
      </w:r>
      <w:bookmarkEnd w:id="4"/>
      <w:bookmarkEnd w:id="5"/>
    </w:p>
    <w:p w14:paraId="62A7F6CD" w14:textId="77777777" w:rsidR="00D62E87" w:rsidRPr="00336FFC" w:rsidRDefault="00D62E87" w:rsidP="00D62E87">
      <w:r w:rsidRPr="306EC08D">
        <w:t xml:space="preserve">Les MLLM </w:t>
      </w:r>
      <w:r>
        <w:t xml:space="preserve">peuvent </w:t>
      </w:r>
      <w:r w:rsidRPr="306EC08D">
        <w:t>occasionne</w:t>
      </w:r>
      <w:r>
        <w:t>r</w:t>
      </w:r>
      <w:r w:rsidRPr="306EC08D">
        <w:t xml:space="preserve"> des lésions physiques (chutes, lacérations, atteintes nerveuses, érythèmes, accident ischémique, dans les situations exceptionnelles : strangulation) et/ou des conséquences par rapport à la mobilité fonctionnelle et l’autonomie de la personne.</w:t>
      </w:r>
    </w:p>
    <w:p w14:paraId="60B40225" w14:textId="77777777" w:rsidR="00D62E87" w:rsidRDefault="00D62E87" w:rsidP="00D62E87">
      <w:r w:rsidRPr="2EF0A4D8">
        <w:t xml:space="preserve">Elles ont également une incidence psychologique sur </w:t>
      </w:r>
      <w:r>
        <w:t xml:space="preserve">l’autonomie, </w:t>
      </w:r>
      <w:r w:rsidRPr="2EF0A4D8">
        <w:t>l’autodétermination et la dignité et peuvent générer de l’agressivité et de la dépression.</w:t>
      </w:r>
    </w:p>
    <w:p w14:paraId="1A5B7F51" w14:textId="042CC44B" w:rsidR="00D62E87" w:rsidRPr="00D62E87" w:rsidRDefault="00D62E87" w:rsidP="00D62E87">
      <w:pPr>
        <w:pStyle w:val="Titre1"/>
      </w:pPr>
      <w:bookmarkStart w:id="6" w:name="_Toc195265490"/>
      <w:bookmarkStart w:id="7" w:name="_Toc216857658"/>
      <w:r>
        <w:t>Mesures utilisées</w:t>
      </w:r>
      <w:bookmarkEnd w:id="6"/>
      <w:bookmarkEnd w:id="7"/>
    </w:p>
    <w:p w14:paraId="433004C4" w14:textId="77777777" w:rsidR="00D62E87" w:rsidRDefault="00D62E87" w:rsidP="00D62E87">
      <w:r w:rsidRPr="0CB38831">
        <w:t>Il existe plusieurs MLLM qui peuvent être plus ou moins contraignantes</w:t>
      </w:r>
      <w:r>
        <w:t>,</w:t>
      </w:r>
      <w:r w:rsidRPr="0CB38831">
        <w:t xml:space="preserve"> allant du moyen de surveillance à la contrainte physique. </w:t>
      </w:r>
    </w:p>
    <w:p w14:paraId="2433B1D7" w14:textId="77777777" w:rsidR="00D62E87" w:rsidRDefault="00D62E87" w:rsidP="00D62E87">
      <w:r>
        <w:t>Liste des différentes mesures limitatives de liberté de mouvement utilisées :</w:t>
      </w:r>
    </w:p>
    <w:sdt>
      <w:sdtPr>
        <w:rPr>
          <w:rStyle w:val="Entryboxstyle"/>
        </w:rPr>
        <w:alias w:val="Objet"/>
        <w:tag w:val="Objet"/>
        <w:id w:val="536483982"/>
        <w:placeholder>
          <w:docPart w:val="EF541750337B4E8B8350652628F4936E"/>
        </w:placeholder>
        <w:showingPlcHdr/>
      </w:sdtPr>
      <w:sdtEndPr>
        <w:rPr>
          <w:rStyle w:val="Entryboxstyle"/>
        </w:rPr>
      </w:sdtEndPr>
      <w:sdtContent>
        <w:p w14:paraId="6E3A4863" w14:textId="77777777" w:rsidR="00D62E87" w:rsidRPr="00104F98" w:rsidRDefault="00D62E87" w:rsidP="00D62E87">
          <w:pPr>
            <w:rPr>
              <w:rStyle w:val="Entryboxstyle"/>
            </w:rPr>
          </w:pPr>
          <w:r w:rsidRPr="00104F98">
            <w:rPr>
              <w:rStyle w:val="Entryboxstyle"/>
            </w:rPr>
            <w:t>Liste des mesures limitatives de mouvement utilisées</w:t>
          </w:r>
        </w:p>
      </w:sdtContent>
    </w:sdt>
    <w:p w14:paraId="503CB92A" w14:textId="77777777" w:rsidR="00D62E87" w:rsidRPr="00336FFC" w:rsidRDefault="00D62E87" w:rsidP="00D62E87">
      <w:r w:rsidRPr="10DFE606">
        <w:t xml:space="preserve">En dernier recours et si toutes les autres mesures ont </w:t>
      </w:r>
      <w:r w:rsidRPr="000A6A3D">
        <w:t>échoué, le ou la médecin peut prescrire une substance psychoactive en accord avec la personne représentante thérapeutique</w:t>
      </w:r>
      <w:r>
        <w:t>.</w:t>
      </w:r>
    </w:p>
    <w:p w14:paraId="24AB3869" w14:textId="575BF87A" w:rsidR="00D62E87" w:rsidRPr="00B12336" w:rsidRDefault="00D62E87" w:rsidP="00D62E87">
      <w:r w:rsidRPr="00B12336">
        <w:t>Les substances psychoactives utilisées dans le but de garantir le bon fonctionnement de l’institution et la protection du ou de la bénéficiaire de soins ou de tiers sont considérées comme des contentions chimiques. Il s’agit d’un usage délibéré de produits pharmaceutiques pour contrôler le comportement et/ou restreindre la liberté de mouvement sans que son utilisation ne soit requise pour traiter une affection médicale</w:t>
      </w:r>
      <w:r>
        <w:t xml:space="preserve"> [7]</w:t>
      </w:r>
      <w:r w:rsidRPr="00B12336">
        <w:t>. Dès lors qu</w:t>
      </w:r>
      <w:r w:rsidR="00F762C3">
        <w:t>’elle</w:t>
      </w:r>
      <w:r w:rsidRPr="00B12336">
        <w:t xml:space="preserve"> limite la liberté de mouvement du ou de la bénéficiaire de soins sans son consentement éclairé, la contention chimique constitue une mesure de contrainte</w:t>
      </w:r>
      <w:r>
        <w:t xml:space="preserve">. </w:t>
      </w:r>
      <w:r w:rsidRPr="00B12336">
        <w:t>La démarche réflexive est la même que décrite plus bas (Application de la procédure).</w:t>
      </w:r>
    </w:p>
    <w:p w14:paraId="00A35262" w14:textId="64878E09" w:rsidR="00D62E87" w:rsidRPr="0069737E" w:rsidRDefault="00D62E87" w:rsidP="00D62E87">
      <w:pPr>
        <w:pStyle w:val="Titre1"/>
      </w:pPr>
      <w:bookmarkStart w:id="8" w:name="_Toc195265491"/>
      <w:bookmarkStart w:id="9" w:name="_Toc216857659"/>
      <w:r>
        <w:t>Analyse et pistes de réflexion sur la mise en place d’une MLLM</w:t>
      </w:r>
      <w:bookmarkEnd w:id="8"/>
      <w:bookmarkEnd w:id="9"/>
    </w:p>
    <w:p w14:paraId="149C35D9" w14:textId="77777777" w:rsidR="00D62E87" w:rsidRPr="000A6A3D" w:rsidRDefault="00D62E87" w:rsidP="00D62E87">
      <w:r w:rsidRPr="5BACBB9D">
        <w:t>Avant l’instauration d’une MLLM, il est nécessaire</w:t>
      </w:r>
      <w:r w:rsidRPr="000A6A3D">
        <w:t xml:space="preserve">, avec le ou la bénéficiaire de soins, l’équipe interdisciplinaire et la personne représentante thérapeutique de s’interroger sur la nécessité d’instaurer une telle mesure. </w:t>
      </w:r>
    </w:p>
    <w:p w14:paraId="47CA7ACF" w14:textId="77777777" w:rsidR="00D62E87" w:rsidRPr="000A6A3D" w:rsidRDefault="00D62E87" w:rsidP="00D62E87">
      <w:pPr>
        <w:rPr>
          <w:color w:val="000000" w:themeColor="text1"/>
        </w:rPr>
      </w:pPr>
      <w:r w:rsidRPr="000A6A3D">
        <w:rPr>
          <w:color w:val="000000" w:themeColor="text1"/>
        </w:rPr>
        <w:t xml:space="preserve">Il s’agit d’évaluer la balance risque / bénéfice à la mise en place de la MLLM. </w:t>
      </w:r>
    </w:p>
    <w:p w14:paraId="3DD62649" w14:textId="77777777" w:rsidR="00D62E87" w:rsidRPr="00023F5B" w:rsidRDefault="00D62E87" w:rsidP="00D62E87">
      <w:pPr>
        <w:rPr>
          <w:color w:val="000000" w:themeColor="text1"/>
        </w:rPr>
      </w:pPr>
      <w:r w:rsidRPr="000A6A3D">
        <w:rPr>
          <w:color w:val="000000" w:themeColor="text1"/>
        </w:rPr>
        <w:t>Il faut se poser la question du risque encouru en l’absence de mesures (p. ex</w:t>
      </w:r>
      <w:r>
        <w:rPr>
          <w:color w:val="000000" w:themeColor="text1"/>
        </w:rPr>
        <w:t>.</w:t>
      </w:r>
      <w:r w:rsidRPr="000A6A3D">
        <w:rPr>
          <w:color w:val="000000" w:themeColor="text1"/>
        </w:rPr>
        <w:t xml:space="preserve"> chute, fugue, …) et se déterminer par rapport </w:t>
      </w:r>
      <w:r w:rsidRPr="000A6A3D">
        <w:rPr>
          <w:color w:val="000000" w:themeColor="text1"/>
          <w:u w:val="single"/>
        </w:rPr>
        <w:t>au risque acceptable</w:t>
      </w:r>
      <w:r w:rsidRPr="000A6A3D">
        <w:rPr>
          <w:color w:val="000000" w:themeColor="text1"/>
        </w:rPr>
        <w:t xml:space="preserve"> pour le ou la bénéficiaire de soins, soit la question de l’évaluation du risque et de son intégration dans l’accompagnement (le projet de soins) [</w:t>
      </w:r>
      <w:r>
        <w:rPr>
          <w:color w:val="000000" w:themeColor="text1"/>
        </w:rPr>
        <w:t>7</w:t>
      </w:r>
      <w:r w:rsidRPr="000A6A3D">
        <w:rPr>
          <w:color w:val="000000" w:themeColor="text1"/>
        </w:rPr>
        <w:t xml:space="preserve">]. </w:t>
      </w:r>
      <w:r w:rsidRPr="000A6A3D">
        <w:t>Le but visé est le bien-être du ou de la bénéficiaire</w:t>
      </w:r>
      <w:r w:rsidRPr="00023F5B">
        <w:t xml:space="preserve"> de soins.</w:t>
      </w:r>
    </w:p>
    <w:p w14:paraId="5B87A0D3" w14:textId="77777777" w:rsidR="00D62E87" w:rsidRPr="00336FFC" w:rsidRDefault="00D62E87" w:rsidP="00D62E87">
      <w:r w:rsidRPr="00023F5B">
        <w:t>Des questions doivent</w:t>
      </w:r>
      <w:r w:rsidRPr="5BACBB9D">
        <w:t xml:space="preserve"> se poser, en voici une liste non-exhaustive :</w:t>
      </w:r>
    </w:p>
    <w:p w14:paraId="7D31A47A" w14:textId="2DC08ACB" w:rsidR="00D62E87" w:rsidRPr="009556F8" w:rsidRDefault="00D62E87" w:rsidP="009556F8">
      <w:pPr>
        <w:pStyle w:val="07puces"/>
      </w:pPr>
      <w:r w:rsidRPr="009556F8">
        <w:t>*Est-il nécessaire d’instaurer une MLLM</w:t>
      </w:r>
      <w:r w:rsidR="009556F8" w:rsidRPr="009556F8">
        <w:t> ?</w:t>
      </w:r>
      <w:r w:rsidRPr="009556F8">
        <w:t xml:space="preserve"> : </w:t>
      </w:r>
    </w:p>
    <w:p w14:paraId="747FD6C0" w14:textId="77777777" w:rsidR="00D62E87" w:rsidRPr="009556F8" w:rsidRDefault="00D62E87" w:rsidP="009556F8">
      <w:pPr>
        <w:pStyle w:val="07puces2"/>
      </w:pPr>
      <w:r w:rsidRPr="009556F8">
        <w:lastRenderedPageBreak/>
        <w:t>Comment le problème se manifeste-t-il [9] ?</w:t>
      </w:r>
    </w:p>
    <w:p w14:paraId="675E7C75" w14:textId="77777777" w:rsidR="00D62E87" w:rsidRPr="009556F8" w:rsidRDefault="00D62E87" w:rsidP="009556F8">
      <w:pPr>
        <w:pStyle w:val="07puces2"/>
      </w:pPr>
      <w:r w:rsidRPr="009556F8">
        <w:t>Pourquoi et pour qui la situation constitue-t-elle un problème [9] ?</w:t>
      </w:r>
    </w:p>
    <w:p w14:paraId="2ED98652" w14:textId="77777777" w:rsidR="00D62E87" w:rsidRPr="009556F8" w:rsidRDefault="00D62E87" w:rsidP="009556F8">
      <w:pPr>
        <w:pStyle w:val="07puces2"/>
      </w:pPr>
      <w:r w:rsidRPr="009556F8">
        <w:t>Quelle est la compréhension du ou de la bénéficiaire de soins de la mesure envisagée ? ((in)capacité de discernement concernant la mesure)</w:t>
      </w:r>
    </w:p>
    <w:p w14:paraId="6A02CE41" w14:textId="77777777" w:rsidR="00D62E87" w:rsidRDefault="00D62E87" w:rsidP="00D62E87">
      <w:pPr>
        <w:pStyle w:val="07puces2"/>
        <w:numPr>
          <w:ilvl w:val="0"/>
          <w:numId w:val="0"/>
        </w:numPr>
        <w:ind w:left="227"/>
        <w:rPr>
          <w:i/>
          <w:iCs/>
          <w:sz w:val="20"/>
          <w:szCs w:val="20"/>
        </w:rPr>
      </w:pPr>
      <w:r w:rsidRPr="000A6A3D">
        <w:t>*Q</w:t>
      </w:r>
      <w:r w:rsidRPr="009E2E73">
        <w:rPr>
          <w:i/>
          <w:iCs/>
          <w:sz w:val="20"/>
          <w:szCs w:val="20"/>
        </w:rPr>
        <w:t>uestions prioritaires à se poser en situation d’urgence</w:t>
      </w:r>
    </w:p>
    <w:p w14:paraId="08AF84FC" w14:textId="77777777" w:rsidR="00D62E87" w:rsidRPr="00D37200" w:rsidRDefault="00D62E87" w:rsidP="00D62E87">
      <w:pPr>
        <w:pStyle w:val="07puces"/>
      </w:pPr>
      <w:r w:rsidRPr="00D37200">
        <w:t xml:space="preserve">Quelles sont les alternatives à l’instauration d’une MLLM ? </w:t>
      </w:r>
    </w:p>
    <w:p w14:paraId="508D6434" w14:textId="77777777" w:rsidR="00D62E87" w:rsidRPr="00D37200" w:rsidRDefault="00D62E87" w:rsidP="00D62E87">
      <w:pPr>
        <w:pStyle w:val="07puces2"/>
      </w:pPr>
      <w:r w:rsidRPr="00D37200">
        <w:t>Est-il possible de supprimer / traiter les causes générant le problème ?</w:t>
      </w:r>
    </w:p>
    <w:p w14:paraId="5B4A029E" w14:textId="77777777" w:rsidR="00D62E87" w:rsidRPr="00D37200" w:rsidRDefault="00D62E87" w:rsidP="00D62E87">
      <w:pPr>
        <w:pStyle w:val="07puces2"/>
      </w:pPr>
      <w:r w:rsidRPr="00D37200">
        <w:t>Existe-t-il des mesures susceptibles d’éviter le recours à des mesures de contrainte à court ou long terme ?</w:t>
      </w:r>
    </w:p>
    <w:p w14:paraId="41535E89" w14:textId="77777777" w:rsidR="00D62E87" w:rsidRPr="00D37200" w:rsidRDefault="00D62E87" w:rsidP="00D62E87">
      <w:pPr>
        <w:pStyle w:val="07puces"/>
      </w:pPr>
      <w:r w:rsidRPr="00D37200">
        <w:t>Discussion et choix de la MLLM</w:t>
      </w:r>
    </w:p>
    <w:p w14:paraId="365E8044" w14:textId="77777777" w:rsidR="00D62E87" w:rsidRPr="00D37200" w:rsidRDefault="00D62E87" w:rsidP="00D62E87">
      <w:pPr>
        <w:pStyle w:val="07puces2"/>
      </w:pPr>
      <w:r w:rsidRPr="00D37200">
        <w:t>Le ou la bénéficiaire de soins peut-il / elle formuler des préférences / alternatives et est-il possible de les prendre en compte [</w:t>
      </w:r>
      <w:r>
        <w:t>9</w:t>
      </w:r>
      <w:r w:rsidRPr="00D37200">
        <w:t>] ?</w:t>
      </w:r>
    </w:p>
    <w:p w14:paraId="626B8A04" w14:textId="77777777" w:rsidR="00D62E87" w:rsidRPr="00D37200" w:rsidRDefault="00D62E87" w:rsidP="00D62E87">
      <w:pPr>
        <w:pStyle w:val="07puces2"/>
      </w:pPr>
      <w:r w:rsidRPr="00D37200">
        <w:t>Quels sont les effets positifs et négatifs de la MLLM pour le ou la bénéficiaire de soins ?</w:t>
      </w:r>
    </w:p>
    <w:p w14:paraId="529AA913" w14:textId="77777777" w:rsidR="00D62E87" w:rsidRPr="00D37200" w:rsidRDefault="00D62E87" w:rsidP="00D62E87">
      <w:pPr>
        <w:pStyle w:val="07puces2"/>
      </w:pPr>
      <w:r w:rsidRPr="00D37200">
        <w:t>Quels effets secondaires peut avoir la prescription d’une substance psychoactive chez le ou la bénéficiaire de soins ?</w:t>
      </w:r>
    </w:p>
    <w:p w14:paraId="12550DC7" w14:textId="77777777" w:rsidR="00D62E87" w:rsidRPr="00D37200" w:rsidRDefault="00D62E87" w:rsidP="00D62E87">
      <w:pPr>
        <w:pStyle w:val="07puces"/>
      </w:pPr>
      <w:r w:rsidRPr="00D37200">
        <w:t>Quelles ressources peut-on mobiliser afin de limiter les effets négatifs de la MLLM (mesures de compensation / d’accompagnement) ?</w:t>
      </w:r>
    </w:p>
    <w:p w14:paraId="63FE56E5" w14:textId="77777777" w:rsidR="00D62E87" w:rsidRPr="00D37200" w:rsidRDefault="00D62E87" w:rsidP="00D62E87">
      <w:pPr>
        <w:pStyle w:val="07puces"/>
      </w:pPr>
      <w:r w:rsidRPr="00D37200">
        <w:t>Comment va-t-on informer le ou la bénéficiaire de soins (quand, comment, qui). Comment va-t-on informer / aborder la discussion avec la personne représentante thérapeutique ? de préférence en présentiel.</w:t>
      </w:r>
    </w:p>
    <w:p w14:paraId="2F587399" w14:textId="77777777" w:rsidR="00D62E87" w:rsidRPr="00D37200" w:rsidRDefault="00D62E87" w:rsidP="00D62E87">
      <w:pPr>
        <w:pStyle w:val="07puces"/>
      </w:pPr>
      <w:r w:rsidRPr="00D37200">
        <w:t xml:space="preserve">Quelles réactions / sentiments peuvent avoir la personne représentante thérapeutique et le ou la bénéficiaire de soins lorsqu’ils sont informés qu’une MLLM doit / devrait être instaurée ? </w:t>
      </w:r>
    </w:p>
    <w:p w14:paraId="6F577757" w14:textId="77777777" w:rsidR="00D62E87" w:rsidRPr="00D37200" w:rsidRDefault="00D62E87" w:rsidP="00D62E87">
      <w:pPr>
        <w:pStyle w:val="07puces"/>
      </w:pPr>
      <w:r w:rsidRPr="00D37200">
        <w:t>Qu’est-ce qui peut faciliter et / ou rendre difficile pour la personne représentante thérapeutique l’acceptation d’une MLLM ?</w:t>
      </w:r>
    </w:p>
    <w:p w14:paraId="098A3EBE" w14:textId="77777777" w:rsidR="00D62E87" w:rsidRPr="00D37200" w:rsidRDefault="00D62E87" w:rsidP="00D62E87">
      <w:pPr>
        <w:pStyle w:val="07puces"/>
      </w:pPr>
      <w:r w:rsidRPr="00D37200">
        <w:t xml:space="preserve">Le ou la bénéficiaire de soins et / ou la personne représentante thérapeutique a-t-il / elle été informé-e de ses droits ? [1, 2, 3, </w:t>
      </w:r>
      <w:r>
        <w:t>4</w:t>
      </w:r>
      <w:r w:rsidRPr="00D37200">
        <w:t xml:space="preserve">, </w:t>
      </w:r>
      <w:r>
        <w:t>5, 6</w:t>
      </w:r>
      <w:r w:rsidRPr="00D37200">
        <w:t>]</w:t>
      </w:r>
    </w:p>
    <w:p w14:paraId="1795B580" w14:textId="77777777" w:rsidR="00D62E87" w:rsidRDefault="00D62E87" w:rsidP="00D62E87">
      <w:r w:rsidRPr="00950A35">
        <w:t xml:space="preserve">Ces questions préalables sont nécessaires et une synthèse des réponses doit être traçabilisée. Ces questionnements / réflexions font l’objet d’une (ré)évaluation au minimum à chaque évaluation de la situation ou selon son évolution. Cette évaluation sera documentée dans le dossier de soins. </w:t>
      </w:r>
    </w:p>
    <w:p w14:paraId="62FA4036" w14:textId="77777777" w:rsidR="00D62E87" w:rsidRDefault="00D62E87" w:rsidP="00D62E87">
      <w:pPr>
        <w:pStyle w:val="Titre1"/>
      </w:pPr>
      <w:bookmarkStart w:id="10" w:name="_Toc195265492"/>
      <w:bookmarkStart w:id="11" w:name="_Toc216857660"/>
      <w:r>
        <w:t>Pratique</w:t>
      </w:r>
      <w:bookmarkEnd w:id="10"/>
      <w:bookmarkEnd w:id="11"/>
    </w:p>
    <w:p w14:paraId="4502A9C3" w14:textId="77777777" w:rsidR="00D62E87" w:rsidRPr="000A6A3D" w:rsidRDefault="00D62E87" w:rsidP="00D62E87">
      <w:r w:rsidRPr="000A6A3D">
        <w:t xml:space="preserve">Les MLLM sont instaurées à partir des observations et des constats réalisés et documentés par le personnel soignant et l’entourage. La décision de mise en place d’une MLLM est prise par le personnel infirmier diplômé en accord avec le ou la bénéficiaire de soins (mesure de sécurité) et/ou après consultation de la personne représentante thérapeutique en cas d’incapacité de discernement (mesure de contrainte). La décision est validée par le ou la responsable des soins de l’institution ou de l’organisme d’aide et soins à domicile, ainsi que par le ou la médecin traitant-e s’il ou elle est impliqué-e dans la décision. En cas d’urgence, le personnel infirmier diplômé peut imposer une mesure de contrainte et requérir la signature par le ou la responsable des soins, voir du ou de la médecin, ultérieurement. [3, </w:t>
      </w:r>
      <w:r>
        <w:t>6</w:t>
      </w:r>
      <w:r w:rsidRPr="000A6A3D">
        <w:t>].</w:t>
      </w:r>
    </w:p>
    <w:p w14:paraId="7CC6CA33" w14:textId="20AD9383" w:rsidR="00B7774C" w:rsidRDefault="00D62E87" w:rsidP="00D62E87">
      <w:r w:rsidRPr="000A6A3D">
        <w:t>« La mesure choisie doit toujours être la moins intrusive et durer un laps de temps le plus court possible. Il importe ici que l’usage de la contrainte soit le plus faible possible et qu’il soit proportionnel au bénéfice attendu de l’intervention » [</w:t>
      </w:r>
      <w:r>
        <w:t>8</w:t>
      </w:r>
      <w:r w:rsidRPr="000A6A3D">
        <w:t xml:space="preserve">]. </w:t>
      </w:r>
    </w:p>
    <w:p w14:paraId="6ECFEED6" w14:textId="77777777" w:rsidR="00D62E87" w:rsidRPr="00B7774C" w:rsidRDefault="00D62E87" w:rsidP="00B7774C">
      <w:pPr>
        <w:pStyle w:val="Titre2"/>
      </w:pPr>
      <w:bookmarkStart w:id="12" w:name="_Toc195265493"/>
      <w:bookmarkStart w:id="13" w:name="_Toc216857661"/>
      <w:r w:rsidRPr="00B7774C">
        <w:t>Les mesures d’accompagnement</w:t>
      </w:r>
      <w:bookmarkEnd w:id="12"/>
      <w:bookmarkEnd w:id="13"/>
    </w:p>
    <w:p w14:paraId="3A0A7045" w14:textId="77777777" w:rsidR="00D62E87" w:rsidRDefault="00D62E87" w:rsidP="00D62E87">
      <w:r w:rsidRPr="000A6A3D">
        <w:lastRenderedPageBreak/>
        <w:t>Afin d’alléger la mesure de contrainte et d’aider le ou la bénéficiaire de soins à l’accepter, il est indispensable de penser à planifier des mesures d’accompagnement.</w:t>
      </w:r>
      <w:r w:rsidRPr="5BACBB9D">
        <w:t xml:space="preserve"> </w:t>
      </w:r>
    </w:p>
    <w:p w14:paraId="3D81C987" w14:textId="77777777" w:rsidR="00D62E87" w:rsidRDefault="00D62E87" w:rsidP="00D62E87">
      <w:r w:rsidRPr="006302B6">
        <w:t xml:space="preserve">« La mesure de contrainte doit ainsi, dans la mesure du possible, être compensée par une activité individualisée (p. ex. promenade, lecture, partage d’un moment de relation d’aide, physiothérapie, …). Ces mesures, individuelles, sont bénéfiques pour le maintien de la santé des </w:t>
      </w:r>
      <w:r>
        <w:t>bénéficiaires de soins</w:t>
      </w:r>
      <w:r w:rsidRPr="006302B6">
        <w:t> » [</w:t>
      </w:r>
      <w:r>
        <w:t>7</w:t>
      </w:r>
      <w:r w:rsidRPr="006302B6">
        <w:t>]</w:t>
      </w:r>
    </w:p>
    <w:p w14:paraId="49636F7C" w14:textId="1135E537" w:rsidR="00D62E87" w:rsidRDefault="00D62E87" w:rsidP="00D62E87">
      <w:pPr>
        <w:pStyle w:val="Titre2"/>
      </w:pPr>
      <w:bookmarkStart w:id="14" w:name="_Toc194671284"/>
      <w:bookmarkStart w:id="15" w:name="_Toc195265494"/>
      <w:bookmarkStart w:id="16" w:name="_Toc216857662"/>
      <w:r w:rsidRPr="73F88330">
        <w:t>Processus pour l’application d’une MLLM</w:t>
      </w:r>
      <w:bookmarkEnd w:id="14"/>
      <w:bookmarkEnd w:id="15"/>
      <w:bookmarkEnd w:id="16"/>
    </w:p>
    <w:p w14:paraId="3737C4C9" w14:textId="00B347ED" w:rsidR="009D1AD5" w:rsidRPr="009D1AD5" w:rsidRDefault="009D1AD5" w:rsidP="009D1AD5">
      <w:r>
        <w:t>Cf. annexe 12.1</w:t>
      </w:r>
    </w:p>
    <w:p w14:paraId="085C777C" w14:textId="77777777" w:rsidR="00D62E87" w:rsidRDefault="00D62E87" w:rsidP="00D62E87">
      <w:pPr>
        <w:pStyle w:val="Titre1"/>
      </w:pPr>
      <w:bookmarkStart w:id="17" w:name="_Toc195265495"/>
      <w:bookmarkStart w:id="18" w:name="_Toc216857663"/>
      <w:r>
        <w:t>Réunion avec la personne représentante thérapeutique</w:t>
      </w:r>
      <w:bookmarkEnd w:id="17"/>
      <w:bookmarkEnd w:id="18"/>
    </w:p>
    <w:p w14:paraId="39268BE5" w14:textId="77777777" w:rsidR="00D62E87" w:rsidRPr="00336FFC" w:rsidRDefault="00D62E87" w:rsidP="00D62E87">
      <w:r w:rsidRPr="005A7C80">
        <w:t>La personne représentante thérapeutique (RT) doit être informé</w:t>
      </w:r>
      <w:r>
        <w:t>e</w:t>
      </w:r>
      <w:r w:rsidRPr="005A7C80">
        <w:t xml:space="preserve"> dès que possible. Le rendez-vous / la discussion avec le</w:t>
      </w:r>
      <w:r>
        <w:t>-la</w:t>
      </w:r>
      <w:r w:rsidRPr="005A7C80">
        <w:t xml:space="preserve"> RT a pour</w:t>
      </w:r>
      <w:r w:rsidRPr="306EC08D">
        <w:t xml:space="preserve"> but de lui communiquer les considérations formulées par l’équipe et d’aborder avec lui</w:t>
      </w:r>
      <w:r>
        <w:t xml:space="preserve">/elle </w:t>
      </w:r>
      <w:r w:rsidRPr="306EC08D">
        <w:t>les étapes suivantes</w:t>
      </w:r>
      <w:r>
        <w:t> :</w:t>
      </w:r>
    </w:p>
    <w:tbl>
      <w:tblPr>
        <w:tblStyle w:val="Grilledutableau"/>
        <w:tblW w:w="9242" w:type="dxa"/>
        <w:tblLook w:val="04A0" w:firstRow="1" w:lastRow="0" w:firstColumn="1" w:lastColumn="0" w:noHBand="0" w:noVBand="1"/>
      </w:tblPr>
      <w:tblGrid>
        <w:gridCol w:w="9242"/>
      </w:tblGrid>
      <w:tr w:rsidR="00D62E87" w:rsidRPr="002B5846" w14:paraId="141CE050" w14:textId="77777777" w:rsidTr="001740E0">
        <w:trPr>
          <w:trHeight w:val="1559"/>
        </w:trPr>
        <w:tc>
          <w:tcPr>
            <w:tcW w:w="9242" w:type="dxa"/>
          </w:tcPr>
          <w:p w14:paraId="16D19654" w14:textId="77777777" w:rsidR="00D62E87" w:rsidRPr="002B5846" w:rsidRDefault="00D62E87" w:rsidP="00D62E87">
            <w:r w:rsidRPr="002B5846">
              <w:t>Montrer physiquement le moyen de contrainte qui va être utilisé et comment il va être appliqué (circonstances, mesures d’accompagnement.)</w:t>
            </w:r>
          </w:p>
          <w:p w14:paraId="0180C898" w14:textId="77777777" w:rsidR="00D62E87" w:rsidRPr="002B5846" w:rsidRDefault="00D62E87" w:rsidP="00D62E87">
            <w:r w:rsidRPr="002B5846">
              <w:t>Définir les moments sur 24h durant lesquelles la mesure sera active.</w:t>
            </w:r>
          </w:p>
          <w:p w14:paraId="449C2BE9" w14:textId="77777777" w:rsidR="00D62E87" w:rsidRPr="000A6A3D" w:rsidRDefault="00D62E87" w:rsidP="00D62E87">
            <w:r w:rsidRPr="002B5846">
              <w:t xml:space="preserve">La personne représentante thérapeutique doit être consultée, faire part de ses réserves </w:t>
            </w:r>
            <w:r w:rsidRPr="000A6A3D">
              <w:t xml:space="preserve">ou formuler un refus. Elle est également informée du recours possible à la Justice de paix en cas de refus. Le compte-rendu circonstancié de l’entretien doit être traçabilisé. </w:t>
            </w:r>
          </w:p>
          <w:p w14:paraId="364D686E" w14:textId="77777777" w:rsidR="00D62E87" w:rsidRPr="000A6A3D" w:rsidRDefault="00D62E87" w:rsidP="00D62E87">
            <w:r w:rsidRPr="000A6A3D">
              <w:t>L’infirmier-ère qui a pris la décision de même que l’infirmier-ère chef-fe signent le « protocole d’application d’une mesure de contrainte et/ou limitative de liberté de mouvement » établi par le SMC de même que le ou la médecin traitant-e s’il ou elle est impliqué-e dans la décision. Le protocole mentionne que la personne représentante thérapeutique a été informée ou non, la date de l’information le cas échéant ainsi que son nom. Une copie du document lui est transmise.</w:t>
            </w:r>
          </w:p>
          <w:p w14:paraId="52AC20A5" w14:textId="77777777" w:rsidR="00D62E87" w:rsidRPr="000A6A3D" w:rsidRDefault="00D62E87" w:rsidP="00D62E87">
            <w:r w:rsidRPr="000A6A3D">
              <w:t>Le comportement du ou de la bénéficiaire de soins lors de la pause d’une mesure de contrainte doit être observé et notifié.</w:t>
            </w:r>
          </w:p>
          <w:p w14:paraId="306D4E3B" w14:textId="77777777" w:rsidR="00D62E87" w:rsidRPr="000A6A3D" w:rsidRDefault="00D62E87" w:rsidP="00D62E87">
            <w:r w:rsidRPr="000A6A3D">
              <w:t>L’évaluation périodique de l’état du ou de la bénéficiaire de soins et de la nécessité du maintien de la mesure sont faites régulièrement, datées et traçabilisées. Lorsque la mesure est retirée, la personne représentante thérapeutique en est informée et le résultat de l’entretien est traçabilisé.</w:t>
            </w:r>
          </w:p>
          <w:p w14:paraId="6C5F03AC" w14:textId="77777777" w:rsidR="00D62E87" w:rsidRPr="002B5846" w:rsidRDefault="00D62E87" w:rsidP="00D62E87">
            <w:r w:rsidRPr="000A6A3D">
              <w:t>Lorsqu’une mesure de contrainte est instaurée, l’infirmier-ère chef-fe le</w:t>
            </w:r>
            <w:r w:rsidRPr="002B5846">
              <w:t xml:space="preserve"> notifie dans le registre des mesures de contrainte. </w:t>
            </w:r>
          </w:p>
        </w:tc>
      </w:tr>
    </w:tbl>
    <w:p w14:paraId="32D6163C" w14:textId="77777777" w:rsidR="00D62E87" w:rsidRPr="000A6A3D" w:rsidRDefault="00D62E87" w:rsidP="00D62E87">
      <w:r w:rsidRPr="002B5846">
        <w:t xml:space="preserve">En cas de refus d’une mesure de contrainte par la personne représentante thérapeutique, les réflexions selon un principe de proportionnalité ainsi que de balance bénéfice / risque à la mise en place de la MLLM doivent être expliquées </w:t>
      </w:r>
      <w:r>
        <w:t>à la personne r</w:t>
      </w:r>
      <w:r w:rsidRPr="002B5846">
        <w:t>eprésentant</w:t>
      </w:r>
      <w:r>
        <w:t>e</w:t>
      </w:r>
      <w:r w:rsidRPr="002B5846">
        <w:t xml:space="preserve"> thérapeutique et traçabilisées. Des réflexions sur les différentes mesures possibles, moins contraignantes, peuvent être proposées. L’institution / </w:t>
      </w:r>
      <w:r w:rsidRPr="000A6A3D">
        <w:t>ASAD assure également la traçabilité : de la proposition de la mesure de contrainte faite par les soignants ; de la mesure d’accompagnement proposée ; des risques encourus par le ou la bénéficiaire de soins ; des motifs du refus de la personne représentante thérapeutique.</w:t>
      </w:r>
    </w:p>
    <w:p w14:paraId="5A1FC5FA" w14:textId="77777777" w:rsidR="00D62E87" w:rsidRPr="000A6A3D" w:rsidRDefault="00D62E87" w:rsidP="00D62E87">
      <w:r w:rsidRPr="000A6A3D">
        <w:t>L’ensemble des informations sont contenues dans le dossier du ou de la bénéficiaire de soins.</w:t>
      </w:r>
    </w:p>
    <w:p w14:paraId="0FFADAEB" w14:textId="77777777" w:rsidR="00D62E87" w:rsidRDefault="00D62E87" w:rsidP="00D62E87">
      <w:r w:rsidRPr="000A6A3D">
        <w:lastRenderedPageBreak/>
        <w:t>L’institution est responsable de la sécurité du ou de la bénéficiaire de soins [</w:t>
      </w:r>
      <w:r>
        <w:t>10</w:t>
      </w:r>
      <w:r w:rsidRPr="000A6A3D">
        <w:t>]. La personne représentante thérapeutique est dans tous les cas informé</w:t>
      </w:r>
      <w:r>
        <w:t>e</w:t>
      </w:r>
      <w:r w:rsidRPr="000A6A3D">
        <w:t xml:space="preserve"> du recours possible à la Justice de paix.</w:t>
      </w:r>
    </w:p>
    <w:p w14:paraId="5AE527CE" w14:textId="57E05A76" w:rsidR="00B7774C" w:rsidRDefault="00D62E87" w:rsidP="00D62E87">
      <w:pPr>
        <w:rPr>
          <w:color w:val="000000" w:themeColor="text1"/>
        </w:rPr>
      </w:pPr>
      <w:r w:rsidRPr="00023F5B">
        <w:t>Il est conseillé aux institutions / ASAD, en complément du respect du processus et des réflexions recommandées ci-dessus, l’utilisation de ressources d’aide à la réflexion [</w:t>
      </w:r>
      <w:r>
        <w:t>7</w:t>
      </w:r>
      <w:r w:rsidRPr="00023F5B">
        <w:t xml:space="preserve">]. </w:t>
      </w:r>
      <w:r w:rsidRPr="00023F5B">
        <w:rPr>
          <w:color w:val="000000" w:themeColor="text1"/>
        </w:rPr>
        <w:t>Parmi celles-ci, l’élaboration d’un guide de prévention des chutes permet une</w:t>
      </w:r>
      <w:r w:rsidRPr="00D249CF">
        <w:rPr>
          <w:color w:val="000000" w:themeColor="text1"/>
        </w:rPr>
        <w:t xml:space="preserve"> analyse de situation en amont de la mise en place d’une MLLM</w:t>
      </w:r>
      <w:r>
        <w:rPr>
          <w:color w:val="000000" w:themeColor="text1"/>
        </w:rPr>
        <w:t xml:space="preserve"> </w:t>
      </w:r>
      <w:r w:rsidRPr="00E0466E">
        <w:rPr>
          <w:color w:val="000000" w:themeColor="text1"/>
        </w:rPr>
        <w:t>[1</w:t>
      </w:r>
      <w:r>
        <w:rPr>
          <w:color w:val="000000" w:themeColor="text1"/>
        </w:rPr>
        <w:t>1</w:t>
      </w:r>
      <w:r w:rsidRPr="00E0466E">
        <w:rPr>
          <w:color w:val="000000" w:themeColor="text1"/>
        </w:rPr>
        <w:t>].</w:t>
      </w:r>
      <w:r>
        <w:rPr>
          <w:color w:val="000000" w:themeColor="text1"/>
        </w:rPr>
        <w:t xml:space="preserve"> </w:t>
      </w:r>
      <w:r w:rsidRPr="00E0466E">
        <w:rPr>
          <w:color w:val="000000" w:themeColor="text1"/>
        </w:rPr>
        <w:t>La page de l’AFISA dédiée à l’éthique peut également constituer une ressource [1</w:t>
      </w:r>
      <w:r>
        <w:rPr>
          <w:color w:val="000000" w:themeColor="text1"/>
        </w:rPr>
        <w:t>2</w:t>
      </w:r>
      <w:r w:rsidRPr="00E0466E">
        <w:rPr>
          <w:color w:val="000000" w:themeColor="text1"/>
        </w:rPr>
        <w:t>].</w:t>
      </w:r>
    </w:p>
    <w:p w14:paraId="3C4734A0" w14:textId="77777777" w:rsidR="00D62E87" w:rsidRDefault="00D62E87" w:rsidP="00D62E87">
      <w:pPr>
        <w:pStyle w:val="Titre1"/>
      </w:pPr>
      <w:bookmarkStart w:id="19" w:name="_Toc195265496"/>
      <w:bookmarkStart w:id="20" w:name="_Toc216857664"/>
      <w:r>
        <w:t>Informations aux bénéficiaires de soins ainsi qu’aux proches</w:t>
      </w:r>
      <w:bookmarkEnd w:id="19"/>
      <w:bookmarkEnd w:id="20"/>
    </w:p>
    <w:p w14:paraId="1DBDAC99" w14:textId="77777777" w:rsidR="00D62E87" w:rsidRDefault="00D62E87" w:rsidP="00D62E87">
      <w:r w:rsidRPr="00C82905">
        <w:t xml:space="preserve">Les informations relatives aux prestations </w:t>
      </w:r>
      <w:r w:rsidRPr="000A6A3D">
        <w:t>fournies aux bénéficiaires de soins (et si nécessaire à ses proches et représentants) lors de l’accueil dans l’EMS  / de l’intervention de l’ASAD devraient mentionner ce qu’il en est des mesures pouvant constituer une limitation à la liberté personnelle et résultant de contraintes architecturales (jardin et/ou locaux et/ou porte d’entrée fermés), de contraintes organisationnelles (horaires des repas, lieux de fumée, …) et de contraintes sécuritaires (caméra de surveillance, détection de présence dans les couloirs, locaux communs…). L’institution / le service devrait également faire connaitre sa position en ce qui concerne la gestion des mesures de contrainte (qui peut en décider, comment les personnes représentantes thérapeutique en sont informées, quel type de surveillance et de mesures compensatoires sont mises en place, quelles sont les voies de recours externes) [</w:t>
      </w:r>
      <w:r>
        <w:t>7</w:t>
      </w:r>
      <w:r w:rsidRPr="000A6A3D">
        <w:t>].</w:t>
      </w:r>
    </w:p>
    <w:p w14:paraId="10932CA5" w14:textId="77777777" w:rsidR="00D62E87" w:rsidRDefault="00D62E87" w:rsidP="00D62E87">
      <w:r>
        <w:t>Liste des documents fournis aux bénéficiaires de soins ainsi qu’aux proches et représentants concernant la gestion des mesures de contraintes :</w:t>
      </w:r>
    </w:p>
    <w:sdt>
      <w:sdtPr>
        <w:rPr>
          <w:rStyle w:val="Entryboxstyle"/>
        </w:rPr>
        <w:alias w:val="Objet"/>
        <w:tag w:val="Objet"/>
        <w:id w:val="214327735"/>
        <w:placeholder>
          <w:docPart w:val="EAF452D9F12146DEA86EF8A8FD3AE0A0"/>
        </w:placeholder>
        <w:showingPlcHdr/>
      </w:sdtPr>
      <w:sdtEndPr>
        <w:rPr>
          <w:rStyle w:val="Entryboxstyle"/>
        </w:rPr>
      </w:sdtEndPr>
      <w:sdtContent>
        <w:p w14:paraId="79247F38" w14:textId="77777777" w:rsidR="00D62E87" w:rsidRDefault="00D62E87" w:rsidP="00D62E87">
          <w:pPr>
            <w:rPr>
              <w:rStyle w:val="Entryboxstyle"/>
            </w:rPr>
          </w:pPr>
          <w:r w:rsidRPr="009C580B">
            <w:rPr>
              <w:rStyle w:val="Entryboxstyle"/>
              <w:lang w:val="en-US"/>
            </w:rPr>
            <w:t>Liste de</w:t>
          </w:r>
          <w:r>
            <w:rPr>
              <w:rStyle w:val="Entryboxstyle"/>
              <w:lang w:val="en-US"/>
            </w:rPr>
            <w:t>s documents</w:t>
          </w:r>
        </w:p>
      </w:sdtContent>
    </w:sdt>
    <w:p w14:paraId="6E39FB97" w14:textId="77777777" w:rsidR="00D62E87" w:rsidRDefault="00D62E87" w:rsidP="00D62E87">
      <w:pPr>
        <w:pStyle w:val="Titre1"/>
      </w:pPr>
      <w:bookmarkStart w:id="21" w:name="_Toc195265497"/>
      <w:bookmarkStart w:id="22" w:name="_Toc216857665"/>
      <w:r>
        <w:t>Formation du personnel</w:t>
      </w:r>
      <w:bookmarkEnd w:id="21"/>
      <w:bookmarkEnd w:id="22"/>
    </w:p>
    <w:p w14:paraId="5F0C4929" w14:textId="77777777" w:rsidR="00D62E87" w:rsidRDefault="00D62E87" w:rsidP="00D62E87">
      <w:r w:rsidRPr="000A6A3D">
        <w:t>Des formations spécifiques traitant des mesures de contrainte pour tout nouveau personnel, de même qu’une sensibilisation, des supervisions et des groupes de discussion réguliers devraient être mis en place pour les soignant-e-s et autres collaborateurs</w:t>
      </w:r>
      <w:r>
        <w:t xml:space="preserve"> et collaborat</w:t>
      </w:r>
      <w:r w:rsidRPr="000A6A3D">
        <w:t>rices</w:t>
      </w:r>
      <w:r w:rsidRPr="00C82905">
        <w:t xml:space="preserve"> [</w:t>
      </w:r>
      <w:r>
        <w:t>7</w:t>
      </w:r>
      <w:r w:rsidRPr="00C82905">
        <w:t>]</w:t>
      </w:r>
      <w:r>
        <w:t xml:space="preserve"> </w:t>
      </w:r>
      <w:r w:rsidRPr="00C82905">
        <w:t xml:space="preserve">de l’institution / du service ceci en fonction des besoins et objectifs de l’institution. </w:t>
      </w:r>
    </w:p>
    <w:p w14:paraId="755F800F" w14:textId="77777777" w:rsidR="00D62E87" w:rsidRDefault="00D62E87" w:rsidP="00D62E87">
      <w:r>
        <w:t>Liste des formations mises en place pour les collaborateurs et collaboratrices :</w:t>
      </w:r>
    </w:p>
    <w:sdt>
      <w:sdtPr>
        <w:rPr>
          <w:rStyle w:val="Entryboxstyle"/>
        </w:rPr>
        <w:alias w:val="Objet"/>
        <w:tag w:val="Objet"/>
        <w:id w:val="-376856951"/>
        <w:placeholder>
          <w:docPart w:val="6B1390685D1A435EB2559B5A0F1F5F9C"/>
        </w:placeholder>
        <w:showingPlcHdr/>
      </w:sdtPr>
      <w:sdtEndPr>
        <w:rPr>
          <w:rStyle w:val="Entryboxstyle"/>
        </w:rPr>
      </w:sdtEndPr>
      <w:sdtContent>
        <w:p w14:paraId="6BC0BB4E" w14:textId="77777777" w:rsidR="00D62E87" w:rsidRDefault="00D62E87" w:rsidP="00D62E87">
          <w:pPr>
            <w:rPr>
              <w:rStyle w:val="Entryboxstyle"/>
            </w:rPr>
          </w:pPr>
          <w:r w:rsidRPr="009C580B">
            <w:rPr>
              <w:rStyle w:val="Entryboxstyle"/>
              <w:lang w:val="en-US"/>
            </w:rPr>
            <w:t>Liste de</w:t>
          </w:r>
          <w:r>
            <w:rPr>
              <w:rStyle w:val="Entryboxstyle"/>
              <w:lang w:val="en-US"/>
            </w:rPr>
            <w:t>s formations</w:t>
          </w:r>
        </w:p>
      </w:sdtContent>
    </w:sdt>
    <w:p w14:paraId="443F10EC" w14:textId="77777777" w:rsidR="00D62E87" w:rsidRDefault="00D62E87" w:rsidP="00D62E87">
      <w:pPr>
        <w:pStyle w:val="Titre1"/>
      </w:pPr>
      <w:bookmarkStart w:id="23" w:name="_Toc195265498"/>
      <w:bookmarkStart w:id="24" w:name="_Toc216857666"/>
      <w:r>
        <w:t>Références</w:t>
      </w:r>
      <w:bookmarkEnd w:id="23"/>
      <w:bookmarkEnd w:id="24"/>
    </w:p>
    <w:p w14:paraId="3AA8471B" w14:textId="77777777" w:rsidR="00D62E87" w:rsidRDefault="00D62E87" w:rsidP="00D62E87">
      <w:r>
        <w:t>[1] Loi sur la santé du 16 novembre 1999, articles 53, 54, 55</w:t>
      </w:r>
    </w:p>
    <w:p w14:paraId="64BCADCC" w14:textId="77777777" w:rsidR="00D62E87" w:rsidRDefault="00D62E87" w:rsidP="00D62E87">
      <w:r>
        <w:t>[2] Code civil suisse, articles 383, 384, 385</w:t>
      </w:r>
    </w:p>
    <w:p w14:paraId="356466E4" w14:textId="7A2EFE38" w:rsidR="00D62E87" w:rsidRDefault="00D62E87" w:rsidP="00D62E87">
      <w:r>
        <w:t xml:space="preserve">[3] Directives pour l’application d’une mesure de contrainte et/ou limitative de liberté de mouvement (SMC, version du </w:t>
      </w:r>
      <w:r w:rsidR="00BA0A8C">
        <w:t>11.12.</w:t>
      </w:r>
      <w:r>
        <w:t>2025)</w:t>
      </w:r>
    </w:p>
    <w:p w14:paraId="67CC155D" w14:textId="0DE69D20" w:rsidR="00D62E87" w:rsidRPr="00B322D0" w:rsidRDefault="00D62E87" w:rsidP="00D62E87">
      <w:pPr>
        <w:rPr>
          <w:rStyle w:val="Lienhypertexte"/>
          <w:color w:val="000000" w:themeColor="text1"/>
        </w:rPr>
      </w:pPr>
      <w:r>
        <w:t xml:space="preserve">[4] Bonnes pratiques pour la mise en place d’une mesure de sécurité volontaire chez une personne capable de discernement (SMC-AFISA, version du </w:t>
      </w:r>
      <w:r w:rsidR="00BA0A8C">
        <w:t>11.12</w:t>
      </w:r>
      <w:r>
        <w:t>.2025)</w:t>
      </w:r>
    </w:p>
    <w:p w14:paraId="1B5C7724" w14:textId="77777777" w:rsidR="00D62E87" w:rsidRDefault="00D62E87" w:rsidP="00D62E87">
      <w:r w:rsidRPr="00750A8C">
        <w:t>[</w:t>
      </w:r>
      <w:r>
        <w:t>5</w:t>
      </w:r>
      <w:r w:rsidRPr="00750A8C">
        <w:t>]</w:t>
      </w:r>
      <w:r>
        <w:t xml:space="preserve"> </w:t>
      </w:r>
      <w:r w:rsidRPr="00750A8C">
        <w:t xml:space="preserve">Document Droits et protection des résidents (AFISA, version </w:t>
      </w:r>
      <w:r>
        <w:t>du 1.01.2025)</w:t>
      </w:r>
      <w:r w:rsidRPr="00750A8C">
        <w:t xml:space="preserve"> </w:t>
      </w:r>
    </w:p>
    <w:p w14:paraId="45535833" w14:textId="2DAC3EB0" w:rsidR="00D62E87" w:rsidRDefault="00D62E87" w:rsidP="00D62E87">
      <w:r w:rsidRPr="00750A8C">
        <w:lastRenderedPageBreak/>
        <w:t>[</w:t>
      </w:r>
      <w:r>
        <w:t>6</w:t>
      </w:r>
      <w:r w:rsidRPr="00750A8C">
        <w:t xml:space="preserve">] Protocole d’application d’une mesure de contrainte et/ou limitative de liberté de mouvement » (SMC-AFISA, </w:t>
      </w:r>
      <w:r>
        <w:t xml:space="preserve">version du </w:t>
      </w:r>
      <w:r w:rsidR="00BA0A8C">
        <w:t>11.12</w:t>
      </w:r>
      <w:r>
        <w:t>.2025)</w:t>
      </w:r>
    </w:p>
    <w:p w14:paraId="296B783E" w14:textId="77777777" w:rsidR="00D62E87" w:rsidRDefault="00D62E87" w:rsidP="00D62E87">
      <w:r>
        <w:t xml:space="preserve">[7] </w:t>
      </w:r>
      <w:r w:rsidRPr="00750A8C">
        <w:t>Adapté ou cité selon les recommandations du Conseil d’éthique de l’AVDEMS « Mesures de contrainte en EMS » janvier 2015.</w:t>
      </w:r>
    </w:p>
    <w:p w14:paraId="1AF0A297" w14:textId="77777777" w:rsidR="00D62E87" w:rsidRPr="00750A8C" w:rsidRDefault="00D62E87" w:rsidP="00D62E87">
      <w:r>
        <w:t xml:space="preserve">[8] </w:t>
      </w:r>
      <w:r w:rsidRPr="00750A8C">
        <w:t>Revue médicale Suisse, pr Samia Hurst, mesures limitant la liberté de mouvement : quelques clés éthiques, 2019</w:t>
      </w:r>
    </w:p>
    <w:p w14:paraId="1C9A39F3" w14:textId="77777777" w:rsidR="00D62E87" w:rsidRPr="00750A8C" w:rsidRDefault="00D62E87" w:rsidP="00D62E87">
      <w:r w:rsidRPr="00750A8C">
        <w:t>[</w:t>
      </w:r>
      <w:r>
        <w:t>9</w:t>
      </w:r>
      <w:r w:rsidRPr="00750A8C">
        <w:t>] Adapté ou cité selon les directives mesures de contraintes en médecine de l’Académie suisse des sciences médicales, 2015</w:t>
      </w:r>
    </w:p>
    <w:p w14:paraId="63ADD081" w14:textId="77777777" w:rsidR="00D62E87" w:rsidRDefault="00D62E87" w:rsidP="00D62E87">
      <w:r w:rsidRPr="00750A8C">
        <w:t>[</w:t>
      </w:r>
      <w:r>
        <w:t>10</w:t>
      </w:r>
      <w:r w:rsidRPr="00750A8C">
        <w:t>] Code pénal suisse, article 127</w:t>
      </w:r>
    </w:p>
    <w:p w14:paraId="1E24CBAB" w14:textId="18124D74" w:rsidR="00D62E87" w:rsidRPr="00E0466E" w:rsidRDefault="00D62E87" w:rsidP="00D62E87">
      <w:r w:rsidRPr="00E0466E">
        <w:t>[</w:t>
      </w:r>
      <w:r>
        <w:t>11</w:t>
      </w:r>
      <w:r w:rsidRPr="00E0466E">
        <w:t xml:space="preserve">] </w:t>
      </w:r>
      <w:r w:rsidR="00255AF9">
        <w:t>Modèle de g</w:t>
      </w:r>
      <w:r w:rsidRPr="00E0466E">
        <w:t>uide de prévention des chutes</w:t>
      </w:r>
      <w:r>
        <w:t xml:space="preserve"> des établissements médicaux-sociaux et des services d’aide et de soins à domicile</w:t>
      </w:r>
      <w:r w:rsidRPr="00E0466E">
        <w:t xml:space="preserve"> (SMC- AFISA, </w:t>
      </w:r>
      <w:r>
        <w:t xml:space="preserve">version du </w:t>
      </w:r>
      <w:r w:rsidR="00BA0A8C">
        <w:t>11.12</w:t>
      </w:r>
      <w:r>
        <w:t>.2025)</w:t>
      </w:r>
    </w:p>
    <w:p w14:paraId="04A61AB1" w14:textId="77777777" w:rsidR="00D62E87" w:rsidRDefault="00D62E87" w:rsidP="00D62E87">
      <w:r w:rsidRPr="00A92A85">
        <w:t>[1</w:t>
      </w:r>
      <w:r>
        <w:t>2</w:t>
      </w:r>
      <w:r w:rsidRPr="00A92A85">
        <w:t xml:space="preserve">] </w:t>
      </w:r>
      <w:r w:rsidRPr="00F1180E">
        <w:t xml:space="preserve">Valeurs éthiques de l'association | </w:t>
      </w:r>
      <w:hyperlink r:id="rId8" w:history="1">
        <w:r w:rsidRPr="00EC1FF9">
          <w:rPr>
            <w:rStyle w:val="Lienhypertexte"/>
          </w:rPr>
          <w:t>www.afisa-vfas.ch</w:t>
        </w:r>
      </w:hyperlink>
    </w:p>
    <w:p w14:paraId="46F024C2" w14:textId="77777777" w:rsidR="00D62E87" w:rsidRDefault="00D62E87" w:rsidP="00D62E87">
      <w:pPr>
        <w:pStyle w:val="Titre1"/>
      </w:pPr>
      <w:bookmarkStart w:id="25" w:name="_Toc195265499"/>
      <w:bookmarkStart w:id="26" w:name="_Toc216857667"/>
      <w:r>
        <w:t>Remerciements</w:t>
      </w:r>
      <w:bookmarkEnd w:id="25"/>
      <w:bookmarkEnd w:id="26"/>
    </w:p>
    <w:p w14:paraId="09488E73" w14:textId="6F630C35" w:rsidR="007C68B2" w:rsidRDefault="00D62E87" w:rsidP="00D62E87">
      <w:r>
        <w:t xml:space="preserve">Nous remercions l’EMS de la Vallée de la Jogne à Charmey qui nous a fourni son concept « Prévention des chutes et utilisation des moyens de contrainte au home de la Vallée de la Jogne ». Il a servi de base à la rédaction du présent document. </w:t>
      </w:r>
    </w:p>
    <w:p w14:paraId="45D83C5F" w14:textId="77777777" w:rsidR="007C68B2" w:rsidRDefault="007C68B2">
      <w:pPr>
        <w:spacing w:after="0" w:line="240" w:lineRule="auto"/>
      </w:pPr>
      <w:r>
        <w:br w:type="page"/>
      </w:r>
    </w:p>
    <w:p w14:paraId="42DC92B6" w14:textId="4F7DE52E" w:rsidR="00292CF2" w:rsidRDefault="00292CF2" w:rsidP="00292CF2">
      <w:pPr>
        <w:pStyle w:val="Titre1"/>
      </w:pPr>
      <w:bookmarkStart w:id="27" w:name="_Toc216857668"/>
      <w:r>
        <w:lastRenderedPageBreak/>
        <w:t>Annexe</w:t>
      </w:r>
      <w:bookmarkEnd w:id="27"/>
    </w:p>
    <w:p w14:paraId="61DF4380" w14:textId="6A5F64A7" w:rsidR="00D62E87" w:rsidRDefault="007C68B2" w:rsidP="007C68B2">
      <w:pPr>
        <w:pStyle w:val="Titre2"/>
      </w:pPr>
      <w:bookmarkStart w:id="28" w:name="_Toc216857669"/>
      <w:r>
        <w:t>Processus pour l’application d’une MLLM (3;4)</w:t>
      </w:r>
      <w:bookmarkEnd w:id="28"/>
    </w:p>
    <w:p w14:paraId="4D2D8254" w14:textId="04BEC185" w:rsidR="00D62E87" w:rsidRDefault="007C68B2" w:rsidP="00D62E87">
      <w:r>
        <w:rPr>
          <w:noProof/>
        </w:rPr>
        <w:drawing>
          <wp:anchor distT="0" distB="0" distL="114300" distR="114300" simplePos="0" relativeHeight="251675648" behindDoc="0" locked="0" layoutInCell="1" allowOverlap="1" wp14:anchorId="0FC6D99C" wp14:editId="22825CAC">
            <wp:simplePos x="0" y="0"/>
            <wp:positionH relativeFrom="column">
              <wp:posOffset>375920</wp:posOffset>
            </wp:positionH>
            <wp:positionV relativeFrom="paragraph">
              <wp:posOffset>193675</wp:posOffset>
            </wp:positionV>
            <wp:extent cx="5181600" cy="6739890"/>
            <wp:effectExtent l="0" t="0" r="0" b="3810"/>
            <wp:wrapTopAndBottom/>
            <wp:docPr id="804188766" name="Image 2" descr="Une image contenant texte, capture d’écran, cerc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88766" name="Image 2" descr="Une image contenant texte, capture d’écran, cercle, Polic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181600" cy="6739890"/>
                    </a:xfrm>
                    <a:prstGeom prst="rect">
                      <a:avLst/>
                    </a:prstGeom>
                  </pic:spPr>
                </pic:pic>
              </a:graphicData>
            </a:graphic>
            <wp14:sizeRelH relativeFrom="margin">
              <wp14:pctWidth>0</wp14:pctWidth>
            </wp14:sizeRelH>
            <wp14:sizeRelV relativeFrom="margin">
              <wp14:pctHeight>0</wp14:pctHeight>
            </wp14:sizeRelV>
          </wp:anchor>
        </w:drawing>
      </w:r>
    </w:p>
    <w:p w14:paraId="65EDC1E1" w14:textId="1E10C769" w:rsidR="00D62E87" w:rsidRDefault="00D62E87" w:rsidP="00D62E87"/>
    <w:p w14:paraId="6D33CE1F" w14:textId="0A02BFCE" w:rsidR="00D62E87" w:rsidRDefault="00D62E87" w:rsidP="00D62E87"/>
    <w:p w14:paraId="639D65C3" w14:textId="77777777" w:rsidR="00A75708" w:rsidRPr="00D62E87" w:rsidRDefault="00A75708" w:rsidP="00D62E87">
      <w:pPr>
        <w:rPr>
          <w:lang w:val="fr-CH"/>
        </w:rPr>
      </w:pPr>
    </w:p>
    <w:sectPr w:rsidR="00A75708" w:rsidRPr="00D62E87" w:rsidSect="00861F1A">
      <w:headerReference w:type="even" r:id="rId10"/>
      <w:headerReference w:type="default" r:id="rId11"/>
      <w:head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r w:rsidRPr="003C7C2F">
            <w:rPr>
              <w:b/>
              <w:bCs/>
              <w:lang w:val="fr-CH"/>
            </w:rPr>
            <w:t xml:space="preserve">Kantonsarztamt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00313293" o:spid="_x0000_i1025" type="#_x0000_t75" style="width:9.75pt;height:9.75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1495"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802" w:hanging="360"/>
      </w:pPr>
      <w:rPr>
        <w:rFonts w:ascii="Courier New" w:hAnsi="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92108"/>
    <w:rsid w:val="00092D1B"/>
    <w:rsid w:val="00096870"/>
    <w:rsid w:val="000A7029"/>
    <w:rsid w:val="000B26E0"/>
    <w:rsid w:val="00133E7B"/>
    <w:rsid w:val="0014014D"/>
    <w:rsid w:val="0014544B"/>
    <w:rsid w:val="00164469"/>
    <w:rsid w:val="00164C2E"/>
    <w:rsid w:val="001770D1"/>
    <w:rsid w:val="001B7BE4"/>
    <w:rsid w:val="001D5039"/>
    <w:rsid w:val="00216573"/>
    <w:rsid w:val="002404C1"/>
    <w:rsid w:val="00255AF9"/>
    <w:rsid w:val="00264B3F"/>
    <w:rsid w:val="00270EBE"/>
    <w:rsid w:val="00277B85"/>
    <w:rsid w:val="002863F0"/>
    <w:rsid w:val="002874C2"/>
    <w:rsid w:val="00292CF2"/>
    <w:rsid w:val="00293302"/>
    <w:rsid w:val="00293F50"/>
    <w:rsid w:val="002B4996"/>
    <w:rsid w:val="002D6283"/>
    <w:rsid w:val="002F6816"/>
    <w:rsid w:val="00314032"/>
    <w:rsid w:val="00393167"/>
    <w:rsid w:val="003E1E20"/>
    <w:rsid w:val="003E285D"/>
    <w:rsid w:val="003E3689"/>
    <w:rsid w:val="004114B6"/>
    <w:rsid w:val="00415DBA"/>
    <w:rsid w:val="00425F06"/>
    <w:rsid w:val="004405AB"/>
    <w:rsid w:val="00440CE5"/>
    <w:rsid w:val="0045221D"/>
    <w:rsid w:val="0046773B"/>
    <w:rsid w:val="00496127"/>
    <w:rsid w:val="004A09F6"/>
    <w:rsid w:val="004D5C7D"/>
    <w:rsid w:val="004E4E8A"/>
    <w:rsid w:val="004E782A"/>
    <w:rsid w:val="004F5083"/>
    <w:rsid w:val="00505A51"/>
    <w:rsid w:val="00505F92"/>
    <w:rsid w:val="0051087C"/>
    <w:rsid w:val="00510EDE"/>
    <w:rsid w:val="005427DE"/>
    <w:rsid w:val="00546422"/>
    <w:rsid w:val="00553D5C"/>
    <w:rsid w:val="00576A37"/>
    <w:rsid w:val="005A51BA"/>
    <w:rsid w:val="0063021A"/>
    <w:rsid w:val="00644AD9"/>
    <w:rsid w:val="00662EB9"/>
    <w:rsid w:val="00665884"/>
    <w:rsid w:val="00680568"/>
    <w:rsid w:val="006C3812"/>
    <w:rsid w:val="006E1B85"/>
    <w:rsid w:val="007009B3"/>
    <w:rsid w:val="00703783"/>
    <w:rsid w:val="0072031D"/>
    <w:rsid w:val="00741666"/>
    <w:rsid w:val="0076349D"/>
    <w:rsid w:val="007762D7"/>
    <w:rsid w:val="007C68B2"/>
    <w:rsid w:val="007C7B87"/>
    <w:rsid w:val="007F326E"/>
    <w:rsid w:val="00822159"/>
    <w:rsid w:val="00833C19"/>
    <w:rsid w:val="008559DB"/>
    <w:rsid w:val="00861F1A"/>
    <w:rsid w:val="008719AE"/>
    <w:rsid w:val="008822AB"/>
    <w:rsid w:val="00893BF2"/>
    <w:rsid w:val="008D4E35"/>
    <w:rsid w:val="008E1627"/>
    <w:rsid w:val="008E7D9E"/>
    <w:rsid w:val="00902A3E"/>
    <w:rsid w:val="00904277"/>
    <w:rsid w:val="00905A45"/>
    <w:rsid w:val="0091601B"/>
    <w:rsid w:val="00935A3B"/>
    <w:rsid w:val="00940066"/>
    <w:rsid w:val="00946AF2"/>
    <w:rsid w:val="00954497"/>
    <w:rsid w:val="009556F8"/>
    <w:rsid w:val="009C072A"/>
    <w:rsid w:val="009D1AD5"/>
    <w:rsid w:val="009F6BCE"/>
    <w:rsid w:val="00A07C3A"/>
    <w:rsid w:val="00A30E5F"/>
    <w:rsid w:val="00A34C16"/>
    <w:rsid w:val="00A512AF"/>
    <w:rsid w:val="00A75708"/>
    <w:rsid w:val="00A848F0"/>
    <w:rsid w:val="00A871DB"/>
    <w:rsid w:val="00A87A0D"/>
    <w:rsid w:val="00A97A26"/>
    <w:rsid w:val="00AA07DB"/>
    <w:rsid w:val="00AB7EE4"/>
    <w:rsid w:val="00AC3D56"/>
    <w:rsid w:val="00AD0EC3"/>
    <w:rsid w:val="00AD75C8"/>
    <w:rsid w:val="00AE66F8"/>
    <w:rsid w:val="00AF0634"/>
    <w:rsid w:val="00B1162A"/>
    <w:rsid w:val="00B1195A"/>
    <w:rsid w:val="00B20A5A"/>
    <w:rsid w:val="00B510BF"/>
    <w:rsid w:val="00B60C3F"/>
    <w:rsid w:val="00B66003"/>
    <w:rsid w:val="00B73A30"/>
    <w:rsid w:val="00B7774C"/>
    <w:rsid w:val="00BA0A8C"/>
    <w:rsid w:val="00BD07B6"/>
    <w:rsid w:val="00BF0177"/>
    <w:rsid w:val="00BF50CB"/>
    <w:rsid w:val="00C0175E"/>
    <w:rsid w:val="00C04BE0"/>
    <w:rsid w:val="00C102B8"/>
    <w:rsid w:val="00C21A51"/>
    <w:rsid w:val="00C44F32"/>
    <w:rsid w:val="00C547A9"/>
    <w:rsid w:val="00C65098"/>
    <w:rsid w:val="00C84306"/>
    <w:rsid w:val="00C84D6E"/>
    <w:rsid w:val="00CD06C0"/>
    <w:rsid w:val="00CE0480"/>
    <w:rsid w:val="00CE59B8"/>
    <w:rsid w:val="00D01033"/>
    <w:rsid w:val="00D04CFE"/>
    <w:rsid w:val="00D21B1F"/>
    <w:rsid w:val="00D27DE5"/>
    <w:rsid w:val="00D31417"/>
    <w:rsid w:val="00D37FA5"/>
    <w:rsid w:val="00D420B8"/>
    <w:rsid w:val="00D44029"/>
    <w:rsid w:val="00D565A6"/>
    <w:rsid w:val="00D62E87"/>
    <w:rsid w:val="00DC0D38"/>
    <w:rsid w:val="00DE3A24"/>
    <w:rsid w:val="00DF483F"/>
    <w:rsid w:val="00DF51C0"/>
    <w:rsid w:val="00E0636C"/>
    <w:rsid w:val="00E277C3"/>
    <w:rsid w:val="00E520C8"/>
    <w:rsid w:val="00E62C1A"/>
    <w:rsid w:val="00E87FC8"/>
    <w:rsid w:val="00EA639D"/>
    <w:rsid w:val="00EA6AA0"/>
    <w:rsid w:val="00EB0B19"/>
    <w:rsid w:val="00EB4D7A"/>
    <w:rsid w:val="00EB4FB9"/>
    <w:rsid w:val="00EB6284"/>
    <w:rsid w:val="00EC122D"/>
    <w:rsid w:val="00EE68CF"/>
    <w:rsid w:val="00F058AA"/>
    <w:rsid w:val="00F34171"/>
    <w:rsid w:val="00F3646F"/>
    <w:rsid w:val="00F762C3"/>
    <w:rsid w:val="00F91C7D"/>
    <w:rsid w:val="00F95A58"/>
    <w:rsid w:val="00FB5C51"/>
    <w:rsid w:val="00FC05F2"/>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sa-vfa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029355CA274503AF2B964CD71C603A"/>
        <w:category>
          <w:name w:val="Général"/>
          <w:gallery w:val="placeholder"/>
        </w:category>
        <w:types>
          <w:type w:val="bbPlcHdr"/>
        </w:types>
        <w:behaviors>
          <w:behavior w:val="content"/>
        </w:behaviors>
        <w:guid w:val="{4F61F1E7-BC01-4BFC-B3A4-2D415714858C}"/>
      </w:docPartPr>
      <w:docPartBody>
        <w:p w:rsidR="00352599" w:rsidRDefault="00352599" w:rsidP="00352599">
          <w:pPr>
            <w:pStyle w:val="48029355CA274503AF2B964CD71C603A"/>
          </w:pPr>
          <w:r w:rsidRPr="004D6296">
            <w:rPr>
              <w:rStyle w:val="Entryboxstyle"/>
            </w:rPr>
            <w:t xml:space="preserve">Liste des situations </w:t>
          </w:r>
        </w:p>
      </w:docPartBody>
    </w:docPart>
    <w:docPart>
      <w:docPartPr>
        <w:name w:val="EF541750337B4E8B8350652628F4936E"/>
        <w:category>
          <w:name w:val="Général"/>
          <w:gallery w:val="placeholder"/>
        </w:category>
        <w:types>
          <w:type w:val="bbPlcHdr"/>
        </w:types>
        <w:behaviors>
          <w:behavior w:val="content"/>
        </w:behaviors>
        <w:guid w:val="{FAC3C629-994F-4A58-867A-3F404A67E29A}"/>
      </w:docPartPr>
      <w:docPartBody>
        <w:p w:rsidR="00352599" w:rsidRDefault="00352599" w:rsidP="00352599">
          <w:pPr>
            <w:pStyle w:val="EF541750337B4E8B8350652628F4936E"/>
          </w:pPr>
          <w:r w:rsidRPr="00104F98">
            <w:rPr>
              <w:rStyle w:val="Entryboxstyle"/>
            </w:rPr>
            <w:t>Liste des mesures limitatives de mouvement utilisées</w:t>
          </w:r>
        </w:p>
      </w:docPartBody>
    </w:docPart>
    <w:docPart>
      <w:docPartPr>
        <w:name w:val="EAF452D9F12146DEA86EF8A8FD3AE0A0"/>
        <w:category>
          <w:name w:val="Général"/>
          <w:gallery w:val="placeholder"/>
        </w:category>
        <w:types>
          <w:type w:val="bbPlcHdr"/>
        </w:types>
        <w:behaviors>
          <w:behavior w:val="content"/>
        </w:behaviors>
        <w:guid w:val="{F900E4DC-9A12-413E-9E49-F1E2E658E453}"/>
      </w:docPartPr>
      <w:docPartBody>
        <w:p w:rsidR="00352599" w:rsidRDefault="00352599" w:rsidP="00352599">
          <w:pPr>
            <w:pStyle w:val="EAF452D9F12146DEA86EF8A8FD3AE0A0"/>
          </w:pPr>
          <w:r w:rsidRPr="009C580B">
            <w:rPr>
              <w:rStyle w:val="Entryboxstyle"/>
              <w:lang w:val="en-US"/>
            </w:rPr>
            <w:t>Liste de</w:t>
          </w:r>
          <w:r>
            <w:rPr>
              <w:rStyle w:val="Entryboxstyle"/>
              <w:lang w:val="en-US"/>
            </w:rPr>
            <w:t>s documents</w:t>
          </w:r>
        </w:p>
      </w:docPartBody>
    </w:docPart>
    <w:docPart>
      <w:docPartPr>
        <w:name w:val="6B1390685D1A435EB2559B5A0F1F5F9C"/>
        <w:category>
          <w:name w:val="Général"/>
          <w:gallery w:val="placeholder"/>
        </w:category>
        <w:types>
          <w:type w:val="bbPlcHdr"/>
        </w:types>
        <w:behaviors>
          <w:behavior w:val="content"/>
        </w:behaviors>
        <w:guid w:val="{D7CBDD05-3EB7-427D-A61F-17711EB620D0}"/>
      </w:docPartPr>
      <w:docPartBody>
        <w:p w:rsidR="00352599" w:rsidRDefault="00352599" w:rsidP="00352599">
          <w:pPr>
            <w:pStyle w:val="6B1390685D1A435EB2559B5A0F1F5F9C"/>
          </w:pPr>
          <w:r w:rsidRPr="009C580B">
            <w:rPr>
              <w:rStyle w:val="Entryboxstyle"/>
              <w:lang w:val="en-US"/>
            </w:rPr>
            <w:t>Liste de</w:t>
          </w:r>
          <w:r>
            <w:rPr>
              <w:rStyle w:val="Entryboxstyle"/>
              <w:lang w:val="en-US"/>
            </w:rPr>
            <w:t>s formations</w:t>
          </w:r>
        </w:p>
      </w:docPartBody>
    </w:docPart>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270EBE"/>
    <w:rsid w:val="00277B85"/>
    <w:rsid w:val="002F6816"/>
    <w:rsid w:val="00352599"/>
    <w:rsid w:val="004E12B9"/>
    <w:rsid w:val="00644AD9"/>
    <w:rsid w:val="00662EB9"/>
    <w:rsid w:val="007009B3"/>
    <w:rsid w:val="007762D7"/>
    <w:rsid w:val="007F326E"/>
    <w:rsid w:val="009F6BCE"/>
    <w:rsid w:val="00A07C3A"/>
    <w:rsid w:val="00AD0EC3"/>
    <w:rsid w:val="00AD75C8"/>
    <w:rsid w:val="00AE66F8"/>
    <w:rsid w:val="00B510BF"/>
    <w:rsid w:val="00BD07B6"/>
    <w:rsid w:val="00D420B8"/>
    <w:rsid w:val="00D565A6"/>
    <w:rsid w:val="00D81509"/>
    <w:rsid w:val="00DC0D38"/>
    <w:rsid w:val="00E81423"/>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 w:type="character" w:customStyle="1" w:styleId="Entryboxstyle">
    <w:name w:val="Entrybox_style"/>
    <w:basedOn w:val="Policepardfaut"/>
    <w:uiPriority w:val="1"/>
    <w:rsid w:val="00352599"/>
    <w:rPr>
      <w:rFonts w:asciiTheme="minorHAnsi" w:hAnsiTheme="minorHAnsi"/>
      <w:i/>
      <w:color w:val="EE0000"/>
      <w:sz w:val="24"/>
    </w:rPr>
  </w:style>
  <w:style w:type="paragraph" w:customStyle="1" w:styleId="48029355CA274503AF2B964CD71C603A">
    <w:name w:val="48029355CA274503AF2B964CD71C603A"/>
    <w:rsid w:val="00352599"/>
  </w:style>
  <w:style w:type="paragraph" w:customStyle="1" w:styleId="EF541750337B4E8B8350652628F4936E">
    <w:name w:val="EF541750337B4E8B8350652628F4936E"/>
    <w:rsid w:val="00352599"/>
  </w:style>
  <w:style w:type="paragraph" w:customStyle="1" w:styleId="EAF452D9F12146DEA86EF8A8FD3AE0A0">
    <w:name w:val="EAF452D9F12146DEA86EF8A8FD3AE0A0"/>
    <w:rsid w:val="00352599"/>
  </w:style>
  <w:style w:type="paragraph" w:customStyle="1" w:styleId="6B1390685D1A435EB2559B5A0F1F5F9C">
    <w:name w:val="6B1390685D1A435EB2559B5A0F1F5F9C"/>
    <w:rsid w:val="00352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2782</Words>
  <Characters>15053</Characters>
  <Application>Microsoft Office Word</Application>
  <DocSecurity>0</DocSecurity>
  <Lines>250</Lines>
  <Paragraphs>139</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17696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Aeby Annabelle</cp:lastModifiedBy>
  <cp:revision>3</cp:revision>
  <cp:lastPrinted>2011-01-26T07:21:00Z</cp:lastPrinted>
  <dcterms:created xsi:type="dcterms:W3CDTF">2026-03-26T16:14:00Z</dcterms:created>
  <dcterms:modified xsi:type="dcterms:W3CDTF">2026-03-26T16:14:00Z</dcterms:modified>
  <cp:category/>
</cp:coreProperties>
</file>