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DC71" w14:textId="633C18A9" w:rsidR="00FD0818" w:rsidRDefault="00A26A4D" w:rsidP="00FD0818">
      <w:pPr>
        <w:jc w:val="right"/>
      </w:pPr>
      <w:r>
        <w:t>CHA</w:t>
      </w:r>
      <w:r w:rsidR="000D27F7" w:rsidRPr="00B169A4">
        <w:t>/</w:t>
      </w:r>
      <w:r w:rsidR="00543D59" w:rsidRPr="00B169A4">
        <w:t>Avant-p</w:t>
      </w:r>
      <w:r w:rsidR="000D27F7" w:rsidRPr="00B169A4">
        <w:t>rojet du</w:t>
      </w:r>
      <w:r w:rsidR="00F5349A">
        <w:t xml:space="preserve"> </w:t>
      </w:r>
      <w:r>
        <w:t>02.03.26</w:t>
      </w:r>
    </w:p>
    <w:p w14:paraId="733ABABB" w14:textId="10E020FF" w:rsidR="00FD0818" w:rsidRPr="00FC7F16" w:rsidRDefault="005F3F80" w:rsidP="00FC7F16">
      <w:pPr>
        <w:pStyle w:val="05titreprincipalouobjetgras"/>
        <w:tabs>
          <w:tab w:val="right" w:pos="9920"/>
        </w:tabs>
      </w:pPr>
      <w:r>
        <w:t>Rapport</w:t>
      </w:r>
      <w:r w:rsidR="00FD0818" w:rsidRPr="00FC7F16">
        <w:t xml:space="preserve"> </w:t>
      </w:r>
      <w:r w:rsidR="00543D59">
        <w:t>explicatif 202</w:t>
      </w:r>
      <w:r w:rsidR="00F01DB3">
        <w:t>5</w:t>
      </w:r>
      <w:r w:rsidR="00543D59">
        <w:t>-</w:t>
      </w:r>
      <w:r w:rsidR="00F01DB3">
        <w:t>GC</w:t>
      </w:r>
      <w:r w:rsidR="00543D59">
        <w:t>-</w:t>
      </w:r>
      <w:r w:rsidR="00F01DB3">
        <w:t>85</w:t>
      </w:r>
    </w:p>
    <w:p w14:paraId="2F1A966A" w14:textId="77777777" w:rsidR="00FD0818" w:rsidRPr="000000BC" w:rsidRDefault="00FD0818" w:rsidP="000000BC">
      <w:pPr>
        <w:pStyle w:val="05titreprincipalouobjetgras"/>
      </w:pPr>
      <w:r w:rsidRPr="008A20EE">
        <w:t>—</w:t>
      </w:r>
    </w:p>
    <w:p w14:paraId="2A092B5D" w14:textId="7AA07D12" w:rsidR="001E1E5C" w:rsidRDefault="00543D59" w:rsidP="00461369">
      <w:pPr>
        <w:pStyle w:val="04titreprincipalouobjetnormal"/>
      </w:pPr>
      <w:r w:rsidRPr="00A4120F">
        <w:t xml:space="preserve">Avant-projet de loi </w:t>
      </w:r>
      <w:r>
        <w:t xml:space="preserve">modifiant </w:t>
      </w:r>
      <w:r w:rsidR="00DA04E4" w:rsidRPr="00DA04E4">
        <w:t>l</w:t>
      </w:r>
      <w:r w:rsidR="00915CA1">
        <w:t>es règles de</w:t>
      </w:r>
      <w:r w:rsidR="00DA04E4" w:rsidRPr="00DA04E4">
        <w:t xml:space="preserve"> procédure administrative </w:t>
      </w:r>
      <w:r w:rsidR="003D1711">
        <w:t>relative</w:t>
      </w:r>
      <w:r w:rsidR="00915CA1">
        <w:t>s</w:t>
      </w:r>
      <w:r w:rsidR="003D1711">
        <w:t xml:space="preserve"> à</w:t>
      </w:r>
      <w:r w:rsidR="00DA04E4" w:rsidRPr="00DA04E4">
        <w:t xml:space="preserve"> la notification d’actes</w:t>
      </w:r>
    </w:p>
    <w:p w14:paraId="3CD153DF" w14:textId="1898BA9A" w:rsidR="00B01E1B" w:rsidRPr="00B01E1B" w:rsidRDefault="00543D59" w:rsidP="00B01E1B">
      <w:pPr>
        <w:pStyle w:val="06lead"/>
        <w:rPr>
          <w:i w:val="0"/>
          <w:sz w:val="24"/>
        </w:rPr>
      </w:pPr>
      <w:r>
        <w:t xml:space="preserve">Le présent avant-projet </w:t>
      </w:r>
      <w:r w:rsidR="006C676F">
        <w:t xml:space="preserve">de loi </w:t>
      </w:r>
      <w:r>
        <w:t xml:space="preserve">donne suite à la motion </w:t>
      </w:r>
      <w:r w:rsidR="00E722D5">
        <w:t>2025-GC-85</w:t>
      </w:r>
      <w:r w:rsidR="00915CA1">
        <w:t xml:space="preserve"> (Notifications d’actes le week-end et les jours fériés par courrier A Plus)</w:t>
      </w:r>
      <w:r w:rsidR="00E722D5">
        <w:t xml:space="preserve"> </w:t>
      </w:r>
      <w:r>
        <w:t>acceptée par le Grand Conseil le 17 décembre 2025.</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458B579F" w14:textId="77777777" w:rsidR="00FD0818" w:rsidRDefault="00FD0818" w:rsidP="00D04CC2">
          <w:pPr>
            <w:pStyle w:val="En-ttedetabledesmatires"/>
            <w:spacing w:before="360"/>
          </w:pPr>
          <w:r>
            <w:t>Table des matières</w:t>
          </w:r>
        </w:p>
        <w:p w14:paraId="0DAD3ECA" w14:textId="77777777" w:rsidR="00FD0818" w:rsidRPr="00EA2538" w:rsidRDefault="00FD0818" w:rsidP="00FD0818">
          <w:pPr>
            <w:pStyle w:val="Tiret"/>
          </w:pPr>
          <w:r>
            <w:t>—</w:t>
          </w:r>
        </w:p>
        <w:p w14:paraId="1AEB1419" w14:textId="6799E354" w:rsidR="00792EFB" w:rsidRDefault="00FD0818">
          <w:pPr>
            <w:pStyle w:val="TM1"/>
            <w:rPr>
              <w:rFonts w:asciiTheme="minorHAnsi" w:eastAsiaTheme="minorEastAsia" w:hAnsiTheme="minorHAnsi"/>
              <w:b w:val="0"/>
              <w:kern w:val="2"/>
              <w:sz w:val="24"/>
              <w:szCs w:val="24"/>
              <w:lang w:eastAsia="fr-CH"/>
              <w14:ligatures w14:val="standardContextual"/>
            </w:rPr>
          </w:pPr>
          <w:r>
            <w:rPr>
              <w:color w:val="009581" w:themeColor="accent3"/>
            </w:rPr>
            <w:fldChar w:fldCharType="begin"/>
          </w:r>
          <w:r>
            <w:instrText xml:space="preserve"> TOC \o "1-3" \h \z \u </w:instrText>
          </w:r>
          <w:r>
            <w:rPr>
              <w:color w:val="009581" w:themeColor="accent3"/>
            </w:rPr>
            <w:fldChar w:fldCharType="separate"/>
          </w:r>
          <w:hyperlink w:anchor="_Toc223009554" w:history="1">
            <w:r w:rsidR="00792EFB" w:rsidRPr="00F74537">
              <w:rPr>
                <w:rStyle w:val="Lienhypertexte"/>
              </w:rPr>
              <w:t>1</w:t>
            </w:r>
            <w:r w:rsidR="00792EFB">
              <w:rPr>
                <w:rFonts w:asciiTheme="minorHAnsi" w:eastAsiaTheme="minorEastAsia" w:hAnsiTheme="minorHAnsi"/>
                <w:b w:val="0"/>
                <w:kern w:val="2"/>
                <w:sz w:val="24"/>
                <w:szCs w:val="24"/>
                <w:lang w:eastAsia="fr-CH"/>
                <w14:ligatures w14:val="standardContextual"/>
              </w:rPr>
              <w:tab/>
            </w:r>
            <w:r w:rsidR="00792EFB" w:rsidRPr="00F74537">
              <w:rPr>
                <w:rStyle w:val="Lienhypertexte"/>
              </w:rPr>
              <w:t>Objet de la modification</w:t>
            </w:r>
            <w:r w:rsidR="00792EFB">
              <w:rPr>
                <w:webHidden/>
              </w:rPr>
              <w:tab/>
            </w:r>
            <w:r w:rsidR="00792EFB">
              <w:rPr>
                <w:webHidden/>
              </w:rPr>
              <w:fldChar w:fldCharType="begin"/>
            </w:r>
            <w:r w:rsidR="00792EFB">
              <w:rPr>
                <w:webHidden/>
              </w:rPr>
              <w:instrText xml:space="preserve"> PAGEREF _Toc223009554 \h </w:instrText>
            </w:r>
            <w:r w:rsidR="00792EFB">
              <w:rPr>
                <w:webHidden/>
              </w:rPr>
            </w:r>
            <w:r w:rsidR="00792EFB">
              <w:rPr>
                <w:webHidden/>
              </w:rPr>
              <w:fldChar w:fldCharType="separate"/>
            </w:r>
            <w:r w:rsidR="00792EFB">
              <w:rPr>
                <w:webHidden/>
              </w:rPr>
              <w:t>2</w:t>
            </w:r>
            <w:r w:rsidR="00792EFB">
              <w:rPr>
                <w:webHidden/>
              </w:rPr>
              <w:fldChar w:fldCharType="end"/>
            </w:r>
          </w:hyperlink>
        </w:p>
        <w:p w14:paraId="476EBFEC" w14:textId="1002AA74" w:rsidR="00792EFB" w:rsidRDefault="00792EFB">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9555" w:history="1">
            <w:r w:rsidRPr="00F74537">
              <w:rPr>
                <w:rStyle w:val="Lienhypertexte"/>
              </w:rPr>
              <w:t>1.1</w:t>
            </w:r>
            <w:r>
              <w:rPr>
                <w:rFonts w:asciiTheme="minorHAnsi" w:eastAsiaTheme="minorEastAsia" w:hAnsiTheme="minorHAnsi"/>
                <w:b w:val="0"/>
                <w:kern w:val="2"/>
                <w:sz w:val="24"/>
                <w:szCs w:val="24"/>
                <w:lang w:eastAsia="fr-CH"/>
                <w14:ligatures w14:val="standardContextual"/>
              </w:rPr>
              <w:tab/>
            </w:r>
            <w:r w:rsidRPr="00F74537">
              <w:rPr>
                <w:rStyle w:val="Lienhypertexte"/>
              </w:rPr>
              <w:t>Contexte</w:t>
            </w:r>
            <w:r>
              <w:rPr>
                <w:webHidden/>
              </w:rPr>
              <w:tab/>
            </w:r>
            <w:r>
              <w:rPr>
                <w:webHidden/>
              </w:rPr>
              <w:fldChar w:fldCharType="begin"/>
            </w:r>
            <w:r>
              <w:rPr>
                <w:webHidden/>
              </w:rPr>
              <w:instrText xml:space="preserve"> PAGEREF _Toc223009555 \h </w:instrText>
            </w:r>
            <w:r>
              <w:rPr>
                <w:webHidden/>
              </w:rPr>
            </w:r>
            <w:r>
              <w:rPr>
                <w:webHidden/>
              </w:rPr>
              <w:fldChar w:fldCharType="separate"/>
            </w:r>
            <w:r>
              <w:rPr>
                <w:webHidden/>
              </w:rPr>
              <w:t>2</w:t>
            </w:r>
            <w:r>
              <w:rPr>
                <w:webHidden/>
              </w:rPr>
              <w:fldChar w:fldCharType="end"/>
            </w:r>
          </w:hyperlink>
        </w:p>
        <w:p w14:paraId="7EC5AD74" w14:textId="4A3CEBEB" w:rsidR="00792EFB" w:rsidRDefault="00792EFB">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9556" w:history="1">
            <w:r w:rsidRPr="00F74537">
              <w:rPr>
                <w:rStyle w:val="Lienhypertexte"/>
              </w:rPr>
              <w:t>1.2</w:t>
            </w:r>
            <w:r>
              <w:rPr>
                <w:rFonts w:asciiTheme="minorHAnsi" w:eastAsiaTheme="minorEastAsia" w:hAnsiTheme="minorHAnsi"/>
                <w:b w:val="0"/>
                <w:kern w:val="2"/>
                <w:sz w:val="24"/>
                <w:szCs w:val="24"/>
                <w:lang w:eastAsia="fr-CH"/>
                <w14:ligatures w14:val="standardContextual"/>
              </w:rPr>
              <w:tab/>
            </w:r>
            <w:r w:rsidRPr="00F74537">
              <w:rPr>
                <w:rStyle w:val="Lienhypertexte"/>
              </w:rPr>
              <w:t>Système actuel</w:t>
            </w:r>
            <w:r>
              <w:rPr>
                <w:webHidden/>
              </w:rPr>
              <w:tab/>
            </w:r>
            <w:r>
              <w:rPr>
                <w:webHidden/>
              </w:rPr>
              <w:fldChar w:fldCharType="begin"/>
            </w:r>
            <w:r>
              <w:rPr>
                <w:webHidden/>
              </w:rPr>
              <w:instrText xml:space="preserve"> PAGEREF _Toc223009556 \h </w:instrText>
            </w:r>
            <w:r>
              <w:rPr>
                <w:webHidden/>
              </w:rPr>
            </w:r>
            <w:r>
              <w:rPr>
                <w:webHidden/>
              </w:rPr>
              <w:fldChar w:fldCharType="separate"/>
            </w:r>
            <w:r>
              <w:rPr>
                <w:webHidden/>
              </w:rPr>
              <w:t>2</w:t>
            </w:r>
            <w:r>
              <w:rPr>
                <w:webHidden/>
              </w:rPr>
              <w:fldChar w:fldCharType="end"/>
            </w:r>
          </w:hyperlink>
        </w:p>
        <w:p w14:paraId="009C2A7D" w14:textId="3550A5B5" w:rsidR="00792EFB" w:rsidRDefault="00792EFB">
          <w:pPr>
            <w:pStyle w:val="TM1"/>
            <w:rPr>
              <w:rFonts w:asciiTheme="minorHAnsi" w:eastAsiaTheme="minorEastAsia" w:hAnsiTheme="minorHAnsi"/>
              <w:b w:val="0"/>
              <w:kern w:val="2"/>
              <w:sz w:val="24"/>
              <w:szCs w:val="24"/>
              <w:lang w:eastAsia="fr-CH"/>
              <w14:ligatures w14:val="standardContextual"/>
            </w:rPr>
          </w:pPr>
          <w:hyperlink w:anchor="_Toc223009557" w:history="1">
            <w:r w:rsidRPr="00F74537">
              <w:rPr>
                <w:rStyle w:val="Lienhypertexte"/>
                <w:lang w:val="fr-FR"/>
              </w:rPr>
              <w:t>2</w:t>
            </w:r>
            <w:r>
              <w:rPr>
                <w:rFonts w:asciiTheme="minorHAnsi" w:eastAsiaTheme="minorEastAsia" w:hAnsiTheme="minorHAnsi"/>
                <w:b w:val="0"/>
                <w:kern w:val="2"/>
                <w:sz w:val="24"/>
                <w:szCs w:val="24"/>
                <w:lang w:eastAsia="fr-CH"/>
                <w14:ligatures w14:val="standardContextual"/>
              </w:rPr>
              <w:tab/>
            </w:r>
            <w:r w:rsidRPr="00F74537">
              <w:rPr>
                <w:rStyle w:val="Lienhypertexte"/>
                <w:lang w:val="fr-FR"/>
              </w:rPr>
              <w:t>Commentaires des dispositions</w:t>
            </w:r>
            <w:r>
              <w:rPr>
                <w:webHidden/>
              </w:rPr>
              <w:tab/>
            </w:r>
            <w:r>
              <w:rPr>
                <w:webHidden/>
              </w:rPr>
              <w:fldChar w:fldCharType="begin"/>
            </w:r>
            <w:r>
              <w:rPr>
                <w:webHidden/>
              </w:rPr>
              <w:instrText xml:space="preserve"> PAGEREF _Toc223009557 \h </w:instrText>
            </w:r>
            <w:r>
              <w:rPr>
                <w:webHidden/>
              </w:rPr>
            </w:r>
            <w:r>
              <w:rPr>
                <w:webHidden/>
              </w:rPr>
              <w:fldChar w:fldCharType="separate"/>
            </w:r>
            <w:r>
              <w:rPr>
                <w:webHidden/>
              </w:rPr>
              <w:t>4</w:t>
            </w:r>
            <w:r>
              <w:rPr>
                <w:webHidden/>
              </w:rPr>
              <w:fldChar w:fldCharType="end"/>
            </w:r>
          </w:hyperlink>
        </w:p>
        <w:p w14:paraId="0216ADE5" w14:textId="64BC8930" w:rsidR="00792EFB" w:rsidRDefault="00792EFB">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9558" w:history="1">
            <w:r w:rsidRPr="00F74537">
              <w:rPr>
                <w:rStyle w:val="Lienhypertexte"/>
              </w:rPr>
              <w:t>2.1</w:t>
            </w:r>
            <w:r>
              <w:rPr>
                <w:rFonts w:asciiTheme="minorHAnsi" w:eastAsiaTheme="minorEastAsia" w:hAnsiTheme="minorHAnsi"/>
                <w:b w:val="0"/>
                <w:kern w:val="2"/>
                <w:sz w:val="24"/>
                <w:szCs w:val="24"/>
                <w:lang w:eastAsia="fr-CH"/>
                <w14:ligatures w14:val="standardContextual"/>
              </w:rPr>
              <w:tab/>
            </w:r>
            <w:r w:rsidRPr="00F74537">
              <w:rPr>
                <w:rStyle w:val="Lienhypertexte"/>
              </w:rPr>
              <w:t>Art. 27 al. 1a CPJA</w:t>
            </w:r>
            <w:r>
              <w:rPr>
                <w:webHidden/>
              </w:rPr>
              <w:tab/>
            </w:r>
            <w:r>
              <w:rPr>
                <w:webHidden/>
              </w:rPr>
              <w:fldChar w:fldCharType="begin"/>
            </w:r>
            <w:r>
              <w:rPr>
                <w:webHidden/>
              </w:rPr>
              <w:instrText xml:space="preserve"> PAGEREF _Toc223009558 \h </w:instrText>
            </w:r>
            <w:r>
              <w:rPr>
                <w:webHidden/>
              </w:rPr>
            </w:r>
            <w:r>
              <w:rPr>
                <w:webHidden/>
              </w:rPr>
              <w:fldChar w:fldCharType="separate"/>
            </w:r>
            <w:r>
              <w:rPr>
                <w:webHidden/>
              </w:rPr>
              <w:t>4</w:t>
            </w:r>
            <w:r>
              <w:rPr>
                <w:webHidden/>
              </w:rPr>
              <w:fldChar w:fldCharType="end"/>
            </w:r>
          </w:hyperlink>
        </w:p>
        <w:p w14:paraId="3B19CB50" w14:textId="6DBD67FA" w:rsidR="00792EFB" w:rsidRDefault="00792EFB">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9559" w:history="1">
            <w:r w:rsidRPr="00F74537">
              <w:rPr>
                <w:rStyle w:val="Lienhypertexte"/>
              </w:rPr>
              <w:t>2.2</w:t>
            </w:r>
            <w:r>
              <w:rPr>
                <w:rFonts w:asciiTheme="minorHAnsi" w:eastAsiaTheme="minorEastAsia" w:hAnsiTheme="minorHAnsi"/>
                <w:b w:val="0"/>
                <w:kern w:val="2"/>
                <w:sz w:val="24"/>
                <w:szCs w:val="24"/>
                <w:lang w:eastAsia="fr-CH"/>
                <w14:ligatures w14:val="standardContextual"/>
              </w:rPr>
              <w:tab/>
            </w:r>
            <w:r w:rsidRPr="00F74537">
              <w:rPr>
                <w:rStyle w:val="Lienhypertexte"/>
              </w:rPr>
              <w:t>Art. 68 al. 1a LRF</w:t>
            </w:r>
            <w:r>
              <w:rPr>
                <w:webHidden/>
              </w:rPr>
              <w:tab/>
            </w:r>
            <w:r>
              <w:rPr>
                <w:webHidden/>
              </w:rPr>
              <w:fldChar w:fldCharType="begin"/>
            </w:r>
            <w:r>
              <w:rPr>
                <w:webHidden/>
              </w:rPr>
              <w:instrText xml:space="preserve"> PAGEREF _Toc223009559 \h </w:instrText>
            </w:r>
            <w:r>
              <w:rPr>
                <w:webHidden/>
              </w:rPr>
            </w:r>
            <w:r>
              <w:rPr>
                <w:webHidden/>
              </w:rPr>
              <w:fldChar w:fldCharType="separate"/>
            </w:r>
            <w:r>
              <w:rPr>
                <w:webHidden/>
              </w:rPr>
              <w:t>4</w:t>
            </w:r>
            <w:r>
              <w:rPr>
                <w:webHidden/>
              </w:rPr>
              <w:fldChar w:fldCharType="end"/>
            </w:r>
          </w:hyperlink>
        </w:p>
        <w:p w14:paraId="679985FA" w14:textId="4EE8334B" w:rsidR="00792EFB" w:rsidRDefault="00792EFB">
          <w:pPr>
            <w:pStyle w:val="TM1"/>
            <w:rPr>
              <w:rFonts w:asciiTheme="minorHAnsi" w:eastAsiaTheme="minorEastAsia" w:hAnsiTheme="minorHAnsi"/>
              <w:b w:val="0"/>
              <w:kern w:val="2"/>
              <w:sz w:val="24"/>
              <w:szCs w:val="24"/>
              <w:lang w:eastAsia="fr-CH"/>
              <w14:ligatures w14:val="standardContextual"/>
            </w:rPr>
          </w:pPr>
          <w:hyperlink w:anchor="_Toc223009560" w:history="1">
            <w:r w:rsidRPr="00F74537">
              <w:rPr>
                <w:rStyle w:val="Lienhypertexte"/>
              </w:rPr>
              <w:t>3</w:t>
            </w:r>
            <w:r>
              <w:rPr>
                <w:rFonts w:asciiTheme="minorHAnsi" w:eastAsiaTheme="minorEastAsia" w:hAnsiTheme="minorHAnsi"/>
                <w:b w:val="0"/>
                <w:kern w:val="2"/>
                <w:sz w:val="24"/>
                <w:szCs w:val="24"/>
                <w:lang w:eastAsia="fr-CH"/>
                <w14:ligatures w14:val="standardContextual"/>
              </w:rPr>
              <w:tab/>
            </w:r>
            <w:r w:rsidRPr="00F74537">
              <w:rPr>
                <w:rStyle w:val="Lienhypertexte"/>
              </w:rPr>
              <w:t>Conséquences de l’avant-projet</w:t>
            </w:r>
            <w:r>
              <w:rPr>
                <w:webHidden/>
              </w:rPr>
              <w:tab/>
            </w:r>
            <w:r>
              <w:rPr>
                <w:webHidden/>
              </w:rPr>
              <w:fldChar w:fldCharType="begin"/>
            </w:r>
            <w:r>
              <w:rPr>
                <w:webHidden/>
              </w:rPr>
              <w:instrText xml:space="preserve"> PAGEREF _Toc223009560 \h </w:instrText>
            </w:r>
            <w:r>
              <w:rPr>
                <w:webHidden/>
              </w:rPr>
            </w:r>
            <w:r>
              <w:rPr>
                <w:webHidden/>
              </w:rPr>
              <w:fldChar w:fldCharType="separate"/>
            </w:r>
            <w:r>
              <w:rPr>
                <w:webHidden/>
              </w:rPr>
              <w:t>4</w:t>
            </w:r>
            <w:r>
              <w:rPr>
                <w:webHidden/>
              </w:rPr>
              <w:fldChar w:fldCharType="end"/>
            </w:r>
          </w:hyperlink>
        </w:p>
        <w:p w14:paraId="07B5A51C" w14:textId="7487EB4B" w:rsidR="00792EFB" w:rsidRDefault="00792EFB">
          <w:pPr>
            <w:pStyle w:val="TM1"/>
            <w:rPr>
              <w:rFonts w:asciiTheme="minorHAnsi" w:eastAsiaTheme="minorEastAsia" w:hAnsiTheme="minorHAnsi"/>
              <w:b w:val="0"/>
              <w:kern w:val="2"/>
              <w:sz w:val="24"/>
              <w:szCs w:val="24"/>
              <w:lang w:eastAsia="fr-CH"/>
              <w14:ligatures w14:val="standardContextual"/>
            </w:rPr>
          </w:pPr>
          <w:hyperlink w:anchor="_Toc223009561" w:history="1">
            <w:r w:rsidRPr="00F74537">
              <w:rPr>
                <w:rStyle w:val="Lienhypertexte"/>
              </w:rPr>
              <w:t>4</w:t>
            </w:r>
            <w:r>
              <w:rPr>
                <w:rFonts w:asciiTheme="minorHAnsi" w:eastAsiaTheme="minorEastAsia" w:hAnsiTheme="minorHAnsi"/>
                <w:b w:val="0"/>
                <w:kern w:val="2"/>
                <w:sz w:val="24"/>
                <w:szCs w:val="24"/>
                <w:lang w:eastAsia="fr-CH"/>
                <w14:ligatures w14:val="standardContextual"/>
              </w:rPr>
              <w:tab/>
            </w:r>
            <w:r w:rsidRPr="00F74537">
              <w:rPr>
                <w:rStyle w:val="Lienhypertexte"/>
              </w:rPr>
              <w:t>Conformité avec le droit supérieur</w:t>
            </w:r>
            <w:r>
              <w:rPr>
                <w:webHidden/>
              </w:rPr>
              <w:tab/>
            </w:r>
            <w:r>
              <w:rPr>
                <w:webHidden/>
              </w:rPr>
              <w:fldChar w:fldCharType="begin"/>
            </w:r>
            <w:r>
              <w:rPr>
                <w:webHidden/>
              </w:rPr>
              <w:instrText xml:space="preserve"> PAGEREF _Toc223009561 \h </w:instrText>
            </w:r>
            <w:r>
              <w:rPr>
                <w:webHidden/>
              </w:rPr>
            </w:r>
            <w:r>
              <w:rPr>
                <w:webHidden/>
              </w:rPr>
              <w:fldChar w:fldCharType="separate"/>
            </w:r>
            <w:r>
              <w:rPr>
                <w:webHidden/>
              </w:rPr>
              <w:t>4</w:t>
            </w:r>
            <w:r>
              <w:rPr>
                <w:webHidden/>
              </w:rPr>
              <w:fldChar w:fldCharType="end"/>
            </w:r>
          </w:hyperlink>
        </w:p>
        <w:p w14:paraId="008C0AFD" w14:textId="5E8BDC1E" w:rsidR="00FD0818" w:rsidRDefault="00FD0818">
          <w:r>
            <w:fldChar w:fldCharType="end"/>
          </w:r>
        </w:p>
      </w:sdtContent>
    </w:sdt>
    <w:p w14:paraId="178E2FA7" w14:textId="77777777" w:rsidR="00FD0818" w:rsidRDefault="00CE5D56" w:rsidP="00FD0818">
      <w:r>
        <w:br w:type="page"/>
      </w:r>
    </w:p>
    <w:p w14:paraId="44C6E5CC" w14:textId="6CF3A2B0" w:rsidR="00D55A8D" w:rsidRDefault="00543D59" w:rsidP="00DC4643">
      <w:pPr>
        <w:pStyle w:val="Titre1"/>
      </w:pPr>
      <w:bookmarkStart w:id="0" w:name="_Toc223009554"/>
      <w:r>
        <w:lastRenderedPageBreak/>
        <w:t>Objet de la modification</w:t>
      </w:r>
      <w:bookmarkEnd w:id="0"/>
    </w:p>
    <w:p w14:paraId="1D6A9712" w14:textId="77777777" w:rsidR="008756FD" w:rsidRDefault="008756FD" w:rsidP="00970383">
      <w:pPr>
        <w:pStyle w:val="Tiret"/>
      </w:pPr>
      <w:r w:rsidRPr="00254641">
        <w:t>—</w:t>
      </w:r>
    </w:p>
    <w:p w14:paraId="22B853B9" w14:textId="5FA49BFD" w:rsidR="00D55A8D" w:rsidRDefault="00543D59" w:rsidP="00DC4643">
      <w:pPr>
        <w:pStyle w:val="Titre2"/>
      </w:pPr>
      <w:bookmarkStart w:id="1" w:name="_Toc223009555"/>
      <w:r>
        <w:t>Contexte</w:t>
      </w:r>
      <w:bookmarkEnd w:id="1"/>
    </w:p>
    <w:p w14:paraId="69716D85" w14:textId="658942F4" w:rsidR="00543D59" w:rsidRPr="00FE2EB2" w:rsidRDefault="00543D59" w:rsidP="0078584E">
      <w:pPr>
        <w:pStyle w:val="07atexteprincipal"/>
        <w:rPr>
          <w:lang w:val="fr-CH"/>
        </w:rPr>
      </w:pPr>
      <w:r w:rsidRPr="00FE2EB2">
        <w:rPr>
          <w:lang w:val="fr-CH"/>
        </w:rPr>
        <w:t>Par motion déposée le 12</w:t>
      </w:r>
      <w:r>
        <w:rPr>
          <w:lang w:val="fr-CH"/>
        </w:rPr>
        <w:t xml:space="preserve"> mars </w:t>
      </w:r>
      <w:r w:rsidRPr="00FE2EB2">
        <w:rPr>
          <w:lang w:val="fr-CH"/>
        </w:rPr>
        <w:t xml:space="preserve">2025, les députées Sandra Lepori et Francine Defferrard </w:t>
      </w:r>
      <w:r>
        <w:rPr>
          <w:lang w:val="fr-CH"/>
        </w:rPr>
        <w:t>ont demandé à ce</w:t>
      </w:r>
      <w:r w:rsidRPr="00FE2EB2">
        <w:rPr>
          <w:lang w:val="fr-CH"/>
        </w:rPr>
        <w:t xml:space="preserve"> que l’article 27 du code </w:t>
      </w:r>
      <w:r>
        <w:rPr>
          <w:lang w:val="fr-CH"/>
        </w:rPr>
        <w:t xml:space="preserve">du 23 mai 1991 </w:t>
      </w:r>
      <w:r w:rsidRPr="00FE2EB2">
        <w:rPr>
          <w:lang w:val="fr-CH"/>
        </w:rPr>
        <w:t>de procédure et de juridiction administrative (CPJA) d’une part et les autres</w:t>
      </w:r>
      <w:r w:rsidR="00784BD1">
        <w:rPr>
          <w:lang w:val="fr-CH"/>
        </w:rPr>
        <w:t xml:space="preserve"> </w:t>
      </w:r>
      <w:r w:rsidR="0078584E" w:rsidRPr="0078584E">
        <w:rPr>
          <w:lang w:val="fr-CH"/>
        </w:rPr>
        <w:t>lois cantonales de procédure</w:t>
      </w:r>
      <w:r w:rsidR="00784BD1" w:rsidRPr="00FE2EB2">
        <w:rPr>
          <w:lang w:val="fr-CH"/>
        </w:rPr>
        <w:t xml:space="preserve"> </w:t>
      </w:r>
      <w:r w:rsidRPr="00FE2EB2">
        <w:rPr>
          <w:lang w:val="fr-CH"/>
        </w:rPr>
        <w:t>d’autre part soient modifiés sur le modèle du nouvel article 142 al. 1</w:t>
      </w:r>
      <w:r w:rsidRPr="00BF7BD6">
        <w:rPr>
          <w:vertAlign w:val="superscript"/>
          <w:lang w:val="fr-CH"/>
        </w:rPr>
        <w:t>bis</w:t>
      </w:r>
      <w:r w:rsidRPr="00FE2EB2">
        <w:rPr>
          <w:lang w:val="fr-CH"/>
        </w:rPr>
        <w:t xml:space="preserve"> du code de procédure civile du 19 décembre 2008 (CPC ; </w:t>
      </w:r>
      <w:hyperlink r:id="rId11" w:history="1">
        <w:r w:rsidRPr="00FE2EB2">
          <w:rPr>
            <w:rStyle w:val="Lienhypertexte"/>
            <w:lang w:val="fr-CH"/>
          </w:rPr>
          <w:t>RS 272</w:t>
        </w:r>
      </w:hyperlink>
      <w:r w:rsidRPr="00FE2EB2">
        <w:rPr>
          <w:lang w:val="fr-CH"/>
        </w:rPr>
        <w:t>).</w:t>
      </w:r>
    </w:p>
    <w:p w14:paraId="3F837E61" w14:textId="72B74ACB" w:rsidR="00543D59" w:rsidRDefault="00543D59" w:rsidP="00543D59">
      <w:pPr>
        <w:pStyle w:val="07atexteprincipal"/>
        <w:rPr>
          <w:rFonts w:cstheme="minorHAnsi"/>
          <w:color w:val="000000" w:themeColor="text1"/>
          <w:shd w:val="clear" w:color="auto" w:fill="FFFFFF"/>
        </w:rPr>
      </w:pPr>
      <w:r w:rsidRPr="00FE2EB2">
        <w:rPr>
          <w:lang w:val="fr-CH"/>
        </w:rPr>
        <w:t>Cet article, entré en vigueur le 1</w:t>
      </w:r>
      <w:r w:rsidRPr="00FE2EB2">
        <w:rPr>
          <w:vertAlign w:val="superscript"/>
          <w:lang w:val="fr-CH"/>
        </w:rPr>
        <w:t>er</w:t>
      </w:r>
      <w:r w:rsidRPr="00FE2EB2">
        <w:rPr>
          <w:lang w:val="fr-CH"/>
        </w:rPr>
        <w:t xml:space="preserve"> janvier 2025, dispose que « </w:t>
      </w:r>
      <w:r w:rsidRPr="00FE2EB2">
        <w:rPr>
          <w:rFonts w:cstheme="minorHAnsi"/>
          <w:color w:val="000000" w:themeColor="text1"/>
          <w:shd w:val="clear" w:color="auto" w:fill="FFFFFF"/>
        </w:rPr>
        <w:t>lorsqu’un acte notifié par envoi postal normal au sens de l’art. 138, al. 4, est reçu un samedi, un dimanche ou un jour férié prévu par le droit fédéral ou le droit cantonal du siège du tribunal, la communication au sens de l’al. 1 est réputée avoir lieu le premier jour ouvrable qui suit</w:t>
      </w:r>
      <w:r w:rsidRPr="00FE2EB2">
        <w:rPr>
          <w:rFonts w:cstheme="minorHAnsi"/>
          <w:b/>
          <w:bCs/>
          <w:color w:val="000000" w:themeColor="text1"/>
          <w:shd w:val="clear" w:color="auto" w:fill="FFFFFF"/>
        </w:rPr>
        <w:t> »</w:t>
      </w:r>
      <w:r w:rsidRPr="00FE2EB2">
        <w:rPr>
          <w:rFonts w:cstheme="minorHAnsi"/>
          <w:color w:val="000000" w:themeColor="text1"/>
          <w:shd w:val="clear" w:color="auto" w:fill="FFFFFF"/>
        </w:rPr>
        <w:t>.</w:t>
      </w:r>
      <w:r>
        <w:rPr>
          <w:rFonts w:cstheme="minorHAnsi"/>
          <w:color w:val="000000" w:themeColor="text1"/>
          <w:shd w:val="clear" w:color="auto" w:fill="FFFFFF"/>
        </w:rPr>
        <w:t xml:space="preserve"> </w:t>
      </w:r>
      <w:r w:rsidR="00404604">
        <w:rPr>
          <w:rFonts w:cstheme="minorHAnsi"/>
          <w:color w:val="000000" w:themeColor="text1"/>
          <w:shd w:val="clear" w:color="auto" w:fill="FFFFFF"/>
        </w:rPr>
        <w:t xml:space="preserve">La loi fédérale </w:t>
      </w:r>
      <w:r w:rsidR="0078584E">
        <w:rPr>
          <w:rFonts w:cstheme="minorHAnsi"/>
          <w:color w:val="000000" w:themeColor="text1"/>
          <w:shd w:val="clear" w:color="auto" w:fill="FFFFFF"/>
        </w:rPr>
        <w:t xml:space="preserve">du </w:t>
      </w:r>
      <w:r w:rsidR="00404604">
        <w:rPr>
          <w:rFonts w:cstheme="minorHAnsi"/>
          <w:color w:val="000000" w:themeColor="text1"/>
          <w:shd w:val="clear" w:color="auto" w:fill="FFFFFF"/>
        </w:rPr>
        <w:t>26 septembre 2025 sur les notifications d’actes le week</w:t>
      </w:r>
      <w:r w:rsidR="0063217D">
        <w:rPr>
          <w:rFonts w:cstheme="minorHAnsi"/>
          <w:color w:val="000000" w:themeColor="text1"/>
          <w:shd w:val="clear" w:color="auto" w:fill="FFFFFF"/>
        </w:rPr>
        <w:t>-</w:t>
      </w:r>
      <w:r w:rsidR="00404604">
        <w:rPr>
          <w:rFonts w:cstheme="minorHAnsi"/>
          <w:color w:val="000000" w:themeColor="text1"/>
          <w:shd w:val="clear" w:color="auto" w:fill="FFFFFF"/>
        </w:rPr>
        <w:t>end et les jours fériés étend le principe à d’autres lois fédérales (</w:t>
      </w:r>
      <w:hyperlink r:id="rId12" w:history="1">
        <w:r w:rsidR="00404604" w:rsidRPr="00404604">
          <w:rPr>
            <w:rStyle w:val="Lienhypertexte"/>
            <w:rFonts w:cstheme="minorHAnsi"/>
            <w:shd w:val="clear" w:color="auto" w:fill="FFFFFF"/>
          </w:rPr>
          <w:t>FF</w:t>
        </w:r>
        <w:r w:rsidR="00404604">
          <w:rPr>
            <w:rStyle w:val="Lienhypertexte"/>
            <w:rFonts w:cstheme="minorHAnsi"/>
            <w:shd w:val="clear" w:color="auto" w:fill="FFFFFF"/>
          </w:rPr>
          <w:t> </w:t>
        </w:r>
        <w:r w:rsidR="00404604" w:rsidRPr="00404604">
          <w:rPr>
            <w:rStyle w:val="Lienhypertexte"/>
            <w:rFonts w:cstheme="minorHAnsi"/>
            <w:shd w:val="clear" w:color="auto" w:fill="FFFFFF"/>
          </w:rPr>
          <w:t>2025 2891</w:t>
        </w:r>
      </w:hyperlink>
      <w:r w:rsidR="00404604">
        <w:rPr>
          <w:rFonts w:cstheme="minorHAnsi"/>
          <w:color w:val="000000" w:themeColor="text1"/>
          <w:shd w:val="clear" w:color="auto" w:fill="FFFFFF"/>
        </w:rPr>
        <w:t>).</w:t>
      </w:r>
    </w:p>
    <w:p w14:paraId="32941AC4" w14:textId="217FE1B3" w:rsidR="00543D59" w:rsidRDefault="00543D59" w:rsidP="00543D59">
      <w:pPr>
        <w:pStyle w:val="07atexteprincipal"/>
      </w:pPr>
      <w:r>
        <w:t xml:space="preserve">Le Conseil d’Etat a </w:t>
      </w:r>
      <w:r w:rsidR="0062343A">
        <w:t>proposé l’acceptation de la motion</w:t>
      </w:r>
      <w:r w:rsidR="00915CA1" w:rsidRPr="00915CA1">
        <w:t xml:space="preserve"> </w:t>
      </w:r>
      <w:r w:rsidR="00915CA1">
        <w:t>au Grand Conseil</w:t>
      </w:r>
      <w:r w:rsidR="0062343A">
        <w:t xml:space="preserve">. </w:t>
      </w:r>
      <w:r w:rsidR="00915CA1">
        <w:t>Ce dernier</w:t>
      </w:r>
      <w:r w:rsidR="0062343A">
        <w:t xml:space="preserve"> </w:t>
      </w:r>
      <w:r>
        <w:t xml:space="preserve">l’a </w:t>
      </w:r>
      <w:r w:rsidR="00D1193B">
        <w:t xml:space="preserve">acceptée </w:t>
      </w:r>
      <w:r>
        <w:t>à l’unanimité le 17 décembre 2025.</w:t>
      </w:r>
    </w:p>
    <w:p w14:paraId="07D9E3F5" w14:textId="1457E0B0" w:rsidR="00051411" w:rsidRDefault="00543D59" w:rsidP="00543D59">
      <w:pPr>
        <w:pStyle w:val="Titre2"/>
      </w:pPr>
      <w:bookmarkStart w:id="2" w:name="_Toc223009556"/>
      <w:r>
        <w:t>Système actuel</w:t>
      </w:r>
      <w:bookmarkEnd w:id="2"/>
    </w:p>
    <w:p w14:paraId="23DDED2B" w14:textId="69E31665" w:rsidR="00543D59" w:rsidRDefault="00543D59" w:rsidP="00543D59">
      <w:pPr>
        <w:pStyle w:val="07atexteprincipal"/>
        <w:rPr>
          <w:lang w:val="fr-CH"/>
        </w:rPr>
      </w:pPr>
      <w:r>
        <w:rPr>
          <w:lang w:val="fr-CH"/>
        </w:rPr>
        <w:t>La motion doit résoudre un problème de computation des délais lors de la notification d’actes, lorsque la communication a lieu par envoi postal, et plus particulièrement par « courrier A Plus ». Ce problème se pose</w:t>
      </w:r>
      <w:r w:rsidR="00784BD1">
        <w:rPr>
          <w:lang w:val="fr-CH"/>
        </w:rPr>
        <w:t>,</w:t>
      </w:r>
      <w:r>
        <w:rPr>
          <w:lang w:val="fr-CH"/>
        </w:rPr>
        <w:t xml:space="preserve"> à l’échelon cantonal</w:t>
      </w:r>
      <w:r w:rsidR="00573670">
        <w:rPr>
          <w:lang w:val="fr-CH"/>
        </w:rPr>
        <w:t>,</w:t>
      </w:r>
      <w:r>
        <w:rPr>
          <w:lang w:val="fr-CH"/>
        </w:rPr>
        <w:t xml:space="preserve"> aussi bien dans les procédures administratives que dans les procédures de juridiction administrative.</w:t>
      </w:r>
    </w:p>
    <w:p w14:paraId="13E04D03" w14:textId="77777777" w:rsidR="00543D59" w:rsidRDefault="00543D59" w:rsidP="00543D59">
      <w:pPr>
        <w:pStyle w:val="07atexteprincipal"/>
        <w:rPr>
          <w:shd w:val="clear" w:color="auto" w:fill="FFFFFF"/>
        </w:rPr>
      </w:pPr>
      <w:r>
        <w:rPr>
          <w:shd w:val="clear" w:color="auto" w:fill="FFFFFF"/>
        </w:rPr>
        <w:t>La notification (ou communication) d’actes officiels a pour l’instant encore très largement lieu par voie postale. Elle déclenche souvent des délais, notamment d’opposition, de réclamation ou de recours, et ces délais commencent en principe à courir dès le lendemain de la communication.</w:t>
      </w:r>
    </w:p>
    <w:p w14:paraId="1EF71D05" w14:textId="5211E15A" w:rsidR="00543D59" w:rsidRDefault="00543D59" w:rsidP="00543D59">
      <w:pPr>
        <w:pStyle w:val="07atexteprincipal"/>
        <w:rPr>
          <w:lang w:val="fr-CH"/>
        </w:rPr>
      </w:pPr>
      <w:r w:rsidRPr="00F3270A">
        <w:rPr>
          <w:lang w:val="fr-CH"/>
        </w:rPr>
        <w:t xml:space="preserve">Par envoi postal, on entend </w:t>
      </w:r>
      <w:r w:rsidRPr="00FE2EB2">
        <w:t>un envoi portant une adresse et revêtant la forme définitive sous laquelle il doit être acheminé par le</w:t>
      </w:r>
      <w:r>
        <w:t>s</w:t>
      </w:r>
      <w:r w:rsidRPr="00FE2EB2">
        <w:t xml:space="preserve"> prestataire</w:t>
      </w:r>
      <w:r>
        <w:t>s</w:t>
      </w:r>
      <w:r w:rsidRPr="00FE2EB2">
        <w:t xml:space="preserve"> de services postaux, notamment les lettres, les colis, les journaux et les périodiques (art. 2 let. b LPO ; </w:t>
      </w:r>
      <w:hyperlink r:id="rId13" w:history="1">
        <w:r w:rsidRPr="00FE2EB2">
          <w:rPr>
            <w:rStyle w:val="Lienhypertexte"/>
          </w:rPr>
          <w:t>RS 783.0</w:t>
        </w:r>
      </w:hyperlink>
      <w:r w:rsidRPr="00FE2EB2">
        <w:t xml:space="preserve">). Les prestataires de services postaux sont définis à l’article 1 let. a de l’ordonnance du 29 août 2012 sur la poste (OPO ; </w:t>
      </w:r>
      <w:hyperlink r:id="rId14" w:history="1">
        <w:r w:rsidRPr="00FE2EB2">
          <w:rPr>
            <w:rStyle w:val="Lienhypertexte"/>
          </w:rPr>
          <w:t>RS 783.01</w:t>
        </w:r>
      </w:hyperlink>
      <w:r w:rsidRPr="00FE2EB2">
        <w:t>)</w:t>
      </w:r>
      <w:r>
        <w:t>, mais</w:t>
      </w:r>
      <w:r w:rsidRPr="00FE2EB2">
        <w:t xml:space="preserve"> </w:t>
      </w:r>
      <w:r w:rsidRPr="00F3270A">
        <w:rPr>
          <w:rFonts w:cstheme="minorHAnsi"/>
          <w:shd w:val="clear" w:color="auto" w:fill="FFFFFF"/>
        </w:rPr>
        <w:t>la Poste suisse a un monopole sur la distribution des lettres jusqu'à 50 grammes (art.</w:t>
      </w:r>
      <w:r>
        <w:rPr>
          <w:rFonts w:cstheme="minorHAnsi"/>
          <w:shd w:val="clear" w:color="auto" w:fill="FFFFFF"/>
        </w:rPr>
        <w:t> </w:t>
      </w:r>
      <w:r w:rsidRPr="00F3270A">
        <w:rPr>
          <w:rFonts w:cstheme="minorHAnsi"/>
          <w:shd w:val="clear" w:color="auto" w:fill="FFFFFF"/>
        </w:rPr>
        <w:t xml:space="preserve">18 al. 1 </w:t>
      </w:r>
      <w:hyperlink r:id="rId15" w:history="1">
        <w:r w:rsidRPr="00717F8F">
          <w:rPr>
            <w:rStyle w:val="Lienhypertexte"/>
            <w:rFonts w:cstheme="minorHAnsi"/>
            <w:shd w:val="clear" w:color="auto" w:fill="FFFFFF"/>
          </w:rPr>
          <w:t>LPO</w:t>
        </w:r>
      </w:hyperlink>
      <w:r w:rsidRPr="00F3270A">
        <w:rPr>
          <w:rFonts w:cstheme="minorHAnsi"/>
          <w:shd w:val="clear" w:color="auto" w:fill="FFFFFF"/>
        </w:rPr>
        <w:t>).</w:t>
      </w:r>
      <w:r>
        <w:rPr>
          <w:rFonts w:cstheme="minorHAnsi"/>
          <w:shd w:val="clear" w:color="auto" w:fill="FFFFFF"/>
        </w:rPr>
        <w:t xml:space="preserve"> </w:t>
      </w:r>
      <w:r>
        <w:t xml:space="preserve">L’envoi postal comprend </w:t>
      </w:r>
      <w:r w:rsidRPr="00F3270A">
        <w:rPr>
          <w:lang w:val="fr-CH"/>
        </w:rPr>
        <w:t>le courrier « normal », qui ne requiert pas la signature du destinataire, et le courrier « recommandé », qui requiert cette signature. Le courrier normal peut prendre diverses formes :</w:t>
      </w:r>
      <w:r w:rsidR="002E20D2">
        <w:rPr>
          <w:lang w:val="fr-CH"/>
        </w:rPr>
        <w:t> </w:t>
      </w:r>
      <w:r w:rsidRPr="00F3270A">
        <w:rPr>
          <w:lang w:val="fr-CH"/>
        </w:rPr>
        <w:t>courrier B, courrier A (simple) et courrier dit « A Plus »</w:t>
      </w:r>
      <w:r>
        <w:rPr>
          <w:lang w:val="fr-CH"/>
        </w:rPr>
        <w:t>.</w:t>
      </w:r>
    </w:p>
    <w:p w14:paraId="092113C0" w14:textId="6D42348B" w:rsidR="00543D59" w:rsidRDefault="00543D59" w:rsidP="00543D59">
      <w:pPr>
        <w:pStyle w:val="07atexteprincipal"/>
        <w:rPr>
          <w:rFonts w:eastAsia="Calibri"/>
          <w:lang w:val="fr-CH" w:eastAsia="en-US"/>
        </w:rPr>
      </w:pPr>
      <w:r w:rsidRPr="001B3BC3">
        <w:rPr>
          <w:lang w:val="fr-CH"/>
        </w:rPr>
        <w:t>C</w:t>
      </w:r>
      <w:r>
        <w:rPr>
          <w:lang w:val="fr-CH"/>
        </w:rPr>
        <w:t xml:space="preserve">e </w:t>
      </w:r>
      <w:r w:rsidRPr="001B3BC3">
        <w:rPr>
          <w:lang w:val="fr-CH"/>
        </w:rPr>
        <w:t xml:space="preserve">dernier est utilisé depuis </w:t>
      </w:r>
      <w:r>
        <w:rPr>
          <w:lang w:val="fr-CH"/>
        </w:rPr>
        <w:t>plusieurs</w:t>
      </w:r>
      <w:r w:rsidRPr="001B3BC3">
        <w:rPr>
          <w:lang w:val="fr-CH"/>
        </w:rPr>
        <w:t xml:space="preserve"> années par la Poste suisse</w:t>
      </w:r>
      <w:r>
        <w:rPr>
          <w:lang w:val="fr-CH"/>
        </w:rPr>
        <w:t xml:space="preserve"> et est doté d’un numéro qui permet à </w:t>
      </w:r>
      <w:r w:rsidRPr="001B3BC3">
        <w:rPr>
          <w:lang w:val="fr-CH"/>
        </w:rPr>
        <w:t xml:space="preserve">l’expéditeur </w:t>
      </w:r>
      <w:r>
        <w:rPr>
          <w:lang w:val="fr-CH"/>
        </w:rPr>
        <w:t xml:space="preserve">ou à l’expéditrice de </w:t>
      </w:r>
      <w:r w:rsidRPr="001B3BC3">
        <w:rPr>
          <w:lang w:val="fr-CH"/>
        </w:rPr>
        <w:t xml:space="preserve">déterminer la date de remise </w:t>
      </w:r>
      <w:r>
        <w:rPr>
          <w:lang w:val="fr-CH"/>
        </w:rPr>
        <w:t xml:space="preserve">du courrier </w:t>
      </w:r>
      <w:r w:rsidRPr="001B3BC3">
        <w:rPr>
          <w:lang w:val="fr-CH"/>
        </w:rPr>
        <w:t>dans la boîte aux lettres ou</w:t>
      </w:r>
      <w:r>
        <w:rPr>
          <w:lang w:val="fr-CH"/>
        </w:rPr>
        <w:t xml:space="preserve"> dans la</w:t>
      </w:r>
      <w:r w:rsidRPr="001B3BC3">
        <w:rPr>
          <w:lang w:val="fr-CH"/>
        </w:rPr>
        <w:t xml:space="preserve"> case postale du ou de la destinataire</w:t>
      </w:r>
      <w:r>
        <w:rPr>
          <w:lang w:val="fr-CH"/>
        </w:rPr>
        <w:t xml:space="preserve"> (système de suivi sur Internet « track &amp; trace »). L’expéditeur ou l’expéditrice peut </w:t>
      </w:r>
      <w:r w:rsidR="005D7B67">
        <w:rPr>
          <w:lang w:val="fr-CH"/>
        </w:rPr>
        <w:t xml:space="preserve">alors </w:t>
      </w:r>
      <w:r>
        <w:rPr>
          <w:lang w:val="fr-CH"/>
        </w:rPr>
        <w:t xml:space="preserve">vérifier quand le courrier est entré dans la zone d’influence du ou de la destinataire. Or, selon la jurisprudence, c’est précisément </w:t>
      </w:r>
      <w:r w:rsidR="005D7B67">
        <w:rPr>
          <w:lang w:val="fr-CH"/>
        </w:rPr>
        <w:t xml:space="preserve">cette </w:t>
      </w:r>
      <w:r>
        <w:rPr>
          <w:lang w:val="fr-CH"/>
        </w:rPr>
        <w:t>entrée dans la zone d’influence qui fait office de communication ou de notification et qui constitue le moment déterminant servant de base à la computation des délais (« déclenchement du délai »)</w:t>
      </w:r>
      <w:r w:rsidRPr="007572B8">
        <w:rPr>
          <w:lang w:val="fr-CH"/>
        </w:rPr>
        <w:t xml:space="preserve">. Cela a été confirmé expressément pour le </w:t>
      </w:r>
      <w:r w:rsidRPr="007572B8">
        <w:t>courrier « A Plus », en raison de sa traçabilité : il est réputé notifié dès son dépôt dans la boîte aux lettres ou la case postale de son</w:t>
      </w:r>
      <w:r>
        <w:t xml:space="preserve"> ou sa</w:t>
      </w:r>
      <w:r w:rsidRPr="007572B8">
        <w:t xml:space="preserve"> destinataire, moment qui constitue le point de départ pour le calcul du délai de recours (TF, arrêt </w:t>
      </w:r>
      <w:hyperlink r:id="rId16" w:history="1">
        <w:r w:rsidRPr="007572B8">
          <w:rPr>
            <w:rStyle w:val="Lienhypertexte"/>
          </w:rPr>
          <w:t>2C_117/2024</w:t>
        </w:r>
      </w:hyperlink>
      <w:r w:rsidRPr="007572B8">
        <w:t xml:space="preserve">, cons. 6.1 ou </w:t>
      </w:r>
      <w:hyperlink r:id="rId17" w:history="1">
        <w:r w:rsidRPr="007572B8">
          <w:rPr>
            <w:rStyle w:val="Lienhypertexte"/>
          </w:rPr>
          <w:t>2C_170/2022</w:t>
        </w:r>
      </w:hyperlink>
      <w:r w:rsidRPr="007572B8">
        <w:t xml:space="preserve"> cons. 5.2). Ainsi, si </w:t>
      </w:r>
      <w:r w:rsidRPr="007572B8">
        <w:rPr>
          <w:lang w:val="fr-CH"/>
        </w:rPr>
        <w:t>le courrier « A Plus » est distribué le samedi, les délais déclenchés par cette communication commencent à courir le dimanche. Ils sont donc déjà en cours si les destinataires, en particulier l</w:t>
      </w:r>
      <w:r>
        <w:rPr>
          <w:lang w:val="fr-CH"/>
        </w:rPr>
        <w:t xml:space="preserve">es études d’avocats et avocates, ne relèvent pas leur </w:t>
      </w:r>
      <w:r w:rsidRPr="00FE2EB2">
        <w:rPr>
          <w:rFonts w:eastAsia="Calibri"/>
          <w:lang w:val="fr-CH" w:eastAsia="en-US"/>
        </w:rPr>
        <w:t xml:space="preserve">case postale </w:t>
      </w:r>
      <w:r>
        <w:rPr>
          <w:rFonts w:eastAsia="Calibri"/>
          <w:lang w:val="fr-CH" w:eastAsia="en-US"/>
        </w:rPr>
        <w:t xml:space="preserve">le samedi ou que leurs </w:t>
      </w:r>
      <w:r w:rsidRPr="00FE2EB2">
        <w:rPr>
          <w:rFonts w:eastAsia="Calibri"/>
          <w:lang w:val="fr-CH" w:eastAsia="en-US"/>
        </w:rPr>
        <w:t xml:space="preserve">bureaux sont fermés </w:t>
      </w:r>
      <w:r>
        <w:rPr>
          <w:rFonts w:eastAsia="Calibri"/>
          <w:lang w:val="fr-CH" w:eastAsia="en-US"/>
        </w:rPr>
        <w:t xml:space="preserve">ce jour-là, ce qui les raccourcit de plusieurs jours. En outre, les destinataires peuvent </w:t>
      </w:r>
      <w:r w:rsidR="00915CA1">
        <w:rPr>
          <w:rFonts w:eastAsia="Calibri"/>
          <w:lang w:val="fr-CH" w:eastAsia="en-US"/>
        </w:rPr>
        <w:t>être induits en erreur s</w:t>
      </w:r>
      <w:r>
        <w:rPr>
          <w:rFonts w:eastAsia="Calibri"/>
          <w:lang w:val="fr-CH" w:eastAsia="en-US"/>
        </w:rPr>
        <w:t>i la communication a été remise le samedi ou le lundi puisque l’information ne figure pas sur l’envoi, et cela est source d’erreurs et peut entraîner des pertes de droits.</w:t>
      </w:r>
    </w:p>
    <w:p w14:paraId="54FF5270" w14:textId="3519363D" w:rsidR="00543D59" w:rsidRDefault="00543D59" w:rsidP="00543D59">
      <w:pPr>
        <w:pStyle w:val="07atexteprincipal"/>
        <w:rPr>
          <w:rFonts w:eastAsia="Calibri"/>
          <w:lang w:val="fr-CH" w:eastAsia="en-US"/>
        </w:rPr>
      </w:pPr>
      <w:r w:rsidRPr="00FE2EB2">
        <w:rPr>
          <w:rFonts w:eastAsia="Calibri"/>
          <w:lang w:val="fr-CH" w:eastAsia="en-US"/>
        </w:rPr>
        <w:t>L’article 142 al. 1</w:t>
      </w:r>
      <w:r w:rsidRPr="00BF7BD6">
        <w:rPr>
          <w:rFonts w:eastAsia="Calibri"/>
          <w:vertAlign w:val="superscript"/>
          <w:lang w:val="fr-CH" w:eastAsia="en-US"/>
        </w:rPr>
        <w:t>bis</w:t>
      </w:r>
      <w:r w:rsidRPr="00FE2EB2">
        <w:rPr>
          <w:rFonts w:eastAsia="Calibri"/>
          <w:lang w:val="fr-CH" w:eastAsia="en-US"/>
        </w:rPr>
        <w:t xml:space="preserve"> CPC a été édicté en vue d’éluder cette problématique</w:t>
      </w:r>
      <w:r>
        <w:rPr>
          <w:rFonts w:eastAsia="Calibri"/>
          <w:lang w:val="fr-CH" w:eastAsia="en-US"/>
        </w:rPr>
        <w:t xml:space="preserve"> dans le domaine de la procédure civile : il pose une fiction selon laquelle une communication effectuée par voie postale un samedi sans qu’une signature soit requise doit être considérée comme ayant eu lieu le lundi, </w:t>
      </w:r>
      <w:r w:rsidRPr="007404C1">
        <w:rPr>
          <w:rFonts w:eastAsia="Calibri"/>
          <w:lang w:val="fr-CH" w:eastAsia="en-US"/>
        </w:rPr>
        <w:t>respectivement le premier jour ouvrable suivant, ce qui signifie que le délai commence à courir le mardi ou le jour ouvrable</w:t>
      </w:r>
      <w:r w:rsidR="00915CA1" w:rsidRPr="00915CA1">
        <w:rPr>
          <w:rFonts w:eastAsia="Calibri"/>
          <w:lang w:val="fr-CH" w:eastAsia="en-US"/>
        </w:rPr>
        <w:t xml:space="preserve"> </w:t>
      </w:r>
      <w:r w:rsidR="00915CA1" w:rsidRPr="007404C1">
        <w:rPr>
          <w:rFonts w:eastAsia="Calibri"/>
          <w:lang w:val="fr-CH" w:eastAsia="en-US"/>
        </w:rPr>
        <w:t>suivant</w:t>
      </w:r>
      <w:r>
        <w:rPr>
          <w:rFonts w:eastAsia="Calibri"/>
          <w:lang w:val="fr-CH" w:eastAsia="en-US"/>
        </w:rPr>
        <w:t xml:space="preserve">. </w:t>
      </w:r>
      <w:r w:rsidR="0078584E" w:rsidRPr="00B401B6">
        <w:rPr>
          <w:rFonts w:eastAsia="Calibri"/>
          <w:lang w:val="fr-CH" w:eastAsia="en-US"/>
        </w:rPr>
        <w:t>La</w:t>
      </w:r>
      <w:r w:rsidR="00744F54" w:rsidRPr="00B401B6">
        <w:rPr>
          <w:rFonts w:eastAsia="Calibri"/>
          <w:lang w:val="fr-CH" w:eastAsia="en-US"/>
        </w:rPr>
        <w:t xml:space="preserve"> loi</w:t>
      </w:r>
      <w:r w:rsidR="00744F54">
        <w:rPr>
          <w:rFonts w:eastAsia="Calibri"/>
          <w:lang w:val="fr-CH" w:eastAsia="en-US"/>
        </w:rPr>
        <w:t xml:space="preserve"> fédérale </w:t>
      </w:r>
      <w:r>
        <w:rPr>
          <w:rFonts w:eastAsia="Calibri"/>
          <w:lang w:val="fr-CH" w:eastAsia="en-US"/>
        </w:rPr>
        <w:t>sur les notifications d’actes le week-end et les jours fériés va dans le même sens, en généralisant cette solution aux autres domaines du droit.</w:t>
      </w:r>
    </w:p>
    <w:p w14:paraId="620A7A89" w14:textId="1410A7CE" w:rsidR="00543D59" w:rsidRDefault="00543D59" w:rsidP="00543D59">
      <w:pPr>
        <w:pStyle w:val="07atexteprincipal"/>
      </w:pPr>
      <w:r>
        <w:t xml:space="preserve">Avec </w:t>
      </w:r>
      <w:r w:rsidR="0078584E" w:rsidRPr="00B401B6">
        <w:t>cette dernière</w:t>
      </w:r>
      <w:r w:rsidRPr="00B401B6">
        <w:t xml:space="preserve"> loi</w:t>
      </w:r>
      <w:r>
        <w:t xml:space="preserve">, l’objectif de la Confédération est d’aboutir à une réglementation uniforme à l’échelon suisse des notifications effectuées un samedi. Les cantons ont dès lors été invités lors de la consultation sur l’avant-projet à évaluer les adaptations nécessaires de leur législation pour parvenir à ce résultat (Message du 12.02.2025, </w:t>
      </w:r>
      <w:hyperlink r:id="rId18" w:history="1">
        <w:r w:rsidRPr="005D7B67">
          <w:rPr>
            <w:rStyle w:val="Lienhypertexte"/>
            <w:rFonts w:cstheme="minorHAnsi"/>
            <w:u w:val="none"/>
            <w:shd w:val="clear" w:color="auto" w:fill="FFFFFF"/>
          </w:rPr>
          <w:t>FF 2025 565</w:t>
        </w:r>
      </w:hyperlink>
      <w:r>
        <w:t xml:space="preserve">, pts 2.1, 2.2 et 4.3). La Confédération ne dispose en effet pas de la compétence pour imposer cette solution de manière générale aux cantons. </w:t>
      </w:r>
      <w:r w:rsidRPr="005D5661">
        <w:t>Elle ne peut obliger les cantons que dans le domaine fiscal, sur la base de l’article 129 Cst. féd. et par le biais de la loi fédérale sur l’harmonisation des impôts directs (LHID)</w:t>
      </w:r>
      <w:r>
        <w:t xml:space="preserve">, comme le prévoit </w:t>
      </w:r>
      <w:r w:rsidR="0078584E">
        <w:t>la</w:t>
      </w:r>
      <w:r w:rsidRPr="00021BE9">
        <w:t xml:space="preserve"> loi fédérale</w:t>
      </w:r>
      <w:r>
        <w:t>.</w:t>
      </w:r>
    </w:p>
    <w:p w14:paraId="28816C02" w14:textId="742C94A5" w:rsidR="001C153A" w:rsidRDefault="00525525" w:rsidP="00543D59">
      <w:pPr>
        <w:pStyle w:val="07atexteprincipal"/>
      </w:pPr>
      <w:r>
        <w:t>Au sein des cantons suisses, les cantons d’Appenzell Rhodes-Intérieures</w:t>
      </w:r>
      <w:r>
        <w:rPr>
          <w:rStyle w:val="Appelnotedebasdep"/>
        </w:rPr>
        <w:footnoteReference w:id="2"/>
      </w:r>
      <w:r>
        <w:t>, de Genève</w:t>
      </w:r>
      <w:r>
        <w:rPr>
          <w:rStyle w:val="Appelnotedebasdep"/>
        </w:rPr>
        <w:footnoteReference w:id="3"/>
      </w:r>
      <w:r>
        <w:t>, de Neuchâtel</w:t>
      </w:r>
      <w:r>
        <w:rPr>
          <w:rStyle w:val="Appelnotedebasdep"/>
        </w:rPr>
        <w:footnoteReference w:id="4"/>
      </w:r>
      <w:r>
        <w:t xml:space="preserve"> et de Vaud</w:t>
      </w:r>
      <w:r>
        <w:rPr>
          <w:rStyle w:val="Appelnotedebasdep"/>
        </w:rPr>
        <w:footnoteReference w:id="5"/>
      </w:r>
      <w:r>
        <w:t xml:space="preserve"> ont déjà procédé aux modifications de leur législation cantonale en s’inspirant de l’article 142 al. 1</w:t>
      </w:r>
      <w:r w:rsidRPr="00FB10CF">
        <w:rPr>
          <w:vertAlign w:val="superscript"/>
        </w:rPr>
        <w:t>bis</w:t>
      </w:r>
      <w:r>
        <w:t xml:space="preserve"> CPC</w:t>
      </w:r>
      <w:r w:rsidR="001C153A">
        <w:t>.</w:t>
      </w:r>
    </w:p>
    <w:p w14:paraId="7A1996E2" w14:textId="2448F7BA" w:rsidR="00E8591D" w:rsidRDefault="000C5192" w:rsidP="000C5192">
      <w:pPr>
        <w:pStyle w:val="07atexteprincipal"/>
      </w:pPr>
      <w:r>
        <w:t>Il convient dès lors d’adapter les règles du CPJA relatives à la computation des délais dans le sens des dispositions fédérales.</w:t>
      </w:r>
      <w:r w:rsidR="00E8591D">
        <w:t xml:space="preserve"> Comme celles-ci, pour le domaine de la procédure administrative, traitent conjointement le problème du courrier A Plus et celui du courrier recommandé (cf. le nouvel art. 20 al. 2</w:t>
      </w:r>
      <w:r w:rsidR="00E8591D" w:rsidRPr="00E8591D">
        <w:rPr>
          <w:vertAlign w:val="superscript"/>
        </w:rPr>
        <w:t>bis</w:t>
      </w:r>
      <w:r w:rsidR="00E8591D">
        <w:t xml:space="preserve"> PA), le projet reprend ce modèle.</w:t>
      </w:r>
    </w:p>
    <w:p w14:paraId="64BAAFC1" w14:textId="4F228372" w:rsidR="000C5192" w:rsidRDefault="000C5192" w:rsidP="000C5192">
      <w:pPr>
        <w:pStyle w:val="07atexteprincipal"/>
      </w:pPr>
      <w:r>
        <w:t xml:space="preserve">Pour les autres lois cantonales, les règles du CPJA s’appliqueront alors en principe sans qu’il soit indispensable de le préciser, soit en raison d’un renvoi exprès à ce code, soit, lorsqu’un tel renvoi fait défaut, en raison du fait que le </w:t>
      </w:r>
      <w:r w:rsidRPr="002A291C">
        <w:rPr>
          <w:lang w:val="fr-CH"/>
        </w:rPr>
        <w:t xml:space="preserve">CPJA s’applique d’office </w:t>
      </w:r>
      <w:r w:rsidRPr="00E8591D">
        <w:rPr>
          <w:i/>
          <w:iCs/>
          <w:lang w:val="fr-CH"/>
        </w:rPr>
        <w:t>et de par lui-même</w:t>
      </w:r>
      <w:r w:rsidRPr="002A291C">
        <w:rPr>
          <w:lang w:val="fr-CH"/>
        </w:rPr>
        <w:t xml:space="preserve"> à toutes les procédures administratives et de juridiction administrative</w:t>
      </w:r>
      <w:r>
        <w:rPr>
          <w:lang w:val="fr-CH"/>
        </w:rPr>
        <w:t>.</w:t>
      </w:r>
    </w:p>
    <w:p w14:paraId="7B5F62A4" w14:textId="6198ABDD" w:rsidR="000C5192" w:rsidRDefault="000C5192" w:rsidP="000C5192">
      <w:pPr>
        <w:pStyle w:val="07atexteprincipal"/>
      </w:pPr>
      <w:r>
        <w:t>Une analyse approfondie de la législation fribourgeoise a toutefois montré que la loi sur le registre foncier (</w:t>
      </w:r>
      <w:hyperlink r:id="rId19" w:history="1">
        <w:r w:rsidRPr="000C5192">
          <w:rPr>
            <w:rStyle w:val="Lienhypertexte"/>
          </w:rPr>
          <w:t>RSF 214.5.1</w:t>
        </w:r>
      </w:hyperlink>
      <w:r>
        <w:t> ; LRF) fait exception, puisqu’elle dispose de son propre article sur la computation des délais ; elle doit donc être également modifiée</w:t>
      </w:r>
      <w:r w:rsidRPr="00CC1A27">
        <w:t>.</w:t>
      </w:r>
    </w:p>
    <w:p w14:paraId="470BD088" w14:textId="26A49006" w:rsidR="00543D59" w:rsidRDefault="000C5192" w:rsidP="00543D59">
      <w:pPr>
        <w:pStyle w:val="07atexteprincipal"/>
      </w:pPr>
      <w:r>
        <w:t>L</w:t>
      </w:r>
      <w:r w:rsidR="00B91BF3">
        <w:t>a loi sur l’exercice des droits politiques</w:t>
      </w:r>
      <w:r w:rsidR="00CC1A27">
        <w:t xml:space="preserve"> (LEDP)</w:t>
      </w:r>
      <w:r w:rsidR="00B91BF3">
        <w:t xml:space="preserve">, </w:t>
      </w:r>
      <w:r>
        <w:t>malgré le fait qu’elle d</w:t>
      </w:r>
      <w:r w:rsidR="00B91BF3">
        <w:t>ispose également de son propre système de computation de délais</w:t>
      </w:r>
      <w:r>
        <w:t xml:space="preserve">, n’a en revanche pas à être modifiée, </w:t>
      </w:r>
      <w:r w:rsidRPr="00E8591D">
        <w:t>ce qui a été confirmé lors d’un échange avec la Direction des institutions, de l’agriculture et des forêts, en charge de cette loi.</w:t>
      </w:r>
      <w:r w:rsidR="00B91BF3">
        <w:t xml:space="preserve"> </w:t>
      </w:r>
      <w:r>
        <w:t>Le système spécial de computation des délais de l’article 144a LEDP concerne en effet uniquement les opérations spécifiques effectuées selon la LEDP (dépôts de listes, initiatives, référendums, etc.), pour lesquelles les règles de notification par courrier postal n’ont pas de portée directe</w:t>
      </w:r>
      <w:r w:rsidR="002E20D2">
        <w:t>.</w:t>
      </w:r>
      <w:r>
        <w:t xml:space="preserve"> Les questions de voies de droit, quant à elles, restent soumises aux règles du CPJA, y compris celles qui concernent les notifications (cf.</w:t>
      </w:r>
      <w:r w:rsidR="002E20D2">
        <w:t> </w:t>
      </w:r>
      <w:r>
        <w:t>art.</w:t>
      </w:r>
      <w:r w:rsidR="002E20D2">
        <w:t> </w:t>
      </w:r>
      <w:r>
        <w:t>144a al. 4, ainsi que les divers renvois figurant aux art. 148ss LEDP).</w:t>
      </w:r>
    </w:p>
    <w:p w14:paraId="26256585" w14:textId="43ABFF36" w:rsidR="008B353B" w:rsidRPr="00B91BF3" w:rsidRDefault="008B353B" w:rsidP="008B353B">
      <w:pPr>
        <w:pStyle w:val="07atexteprincipal"/>
        <w:rPr>
          <w:rFonts w:eastAsia="Calibri"/>
          <w:lang w:val="fr-CH" w:eastAsia="en-US"/>
        </w:rPr>
      </w:pPr>
      <w:r>
        <w:rPr>
          <w:lang w:val="fr-CH"/>
        </w:rPr>
        <w:t>Enfin, malgré le fait que la loi fédérale sur les notifications d’actes le week-end et les jours fériés modifie la loi fédérale sur</w:t>
      </w:r>
      <w:r w:rsidRPr="00CA7D67">
        <w:rPr>
          <w:lang w:val="fr-CH"/>
        </w:rPr>
        <w:t xml:space="preserve"> l’harmonisation des impôts directs des cantons et des communes (LHID)</w:t>
      </w:r>
      <w:r>
        <w:rPr>
          <w:lang w:val="fr-CH"/>
        </w:rPr>
        <w:t>, la LICD ne nécessite pas non plus d’adaptation en raison notamment de l’article 182 LICD, qui renvoie déjà aux règles procédurales du CPJA.</w:t>
      </w:r>
    </w:p>
    <w:p w14:paraId="524F6EC2" w14:textId="3C599236" w:rsidR="00051411" w:rsidRPr="00543D59" w:rsidRDefault="00CA7D67" w:rsidP="00543D59">
      <w:pPr>
        <w:pStyle w:val="Titre1"/>
        <w:rPr>
          <w:lang w:val="fr-FR"/>
        </w:rPr>
      </w:pPr>
      <w:bookmarkStart w:id="3" w:name="_Toc223009557"/>
      <w:r>
        <w:rPr>
          <w:lang w:val="fr-FR"/>
        </w:rPr>
        <w:t xml:space="preserve">Commentaires </w:t>
      </w:r>
      <w:r w:rsidR="00543D59">
        <w:rPr>
          <w:lang w:val="fr-FR"/>
        </w:rPr>
        <w:t>des dispositions</w:t>
      </w:r>
      <w:bookmarkEnd w:id="3"/>
    </w:p>
    <w:p w14:paraId="7DCC2F5E" w14:textId="2426B3A4" w:rsidR="006F1789" w:rsidRDefault="006F1789" w:rsidP="006F1789">
      <w:pPr>
        <w:pStyle w:val="Titre2"/>
      </w:pPr>
      <w:bookmarkStart w:id="4" w:name="_Toc223009558"/>
      <w:r>
        <w:t xml:space="preserve">Art. 27 </w:t>
      </w:r>
      <w:r w:rsidR="002201F4">
        <w:t xml:space="preserve">al. 1a </w:t>
      </w:r>
      <w:r>
        <w:t>CPJA</w:t>
      </w:r>
      <w:bookmarkEnd w:id="4"/>
    </w:p>
    <w:p w14:paraId="5893E72D" w14:textId="7211C413" w:rsidR="00C02343" w:rsidRDefault="000F639C" w:rsidP="006F1789">
      <w:pPr>
        <w:pStyle w:val="07atexteprincipal"/>
      </w:pPr>
      <w:r>
        <w:t>Les motionnaires ont</w:t>
      </w:r>
      <w:r w:rsidR="008B6B85">
        <w:t>, à juste titre,</w:t>
      </w:r>
      <w:r>
        <w:t xml:space="preserve"> </w:t>
      </w:r>
      <w:r w:rsidR="00EB2458">
        <w:t xml:space="preserve">explicitement </w:t>
      </w:r>
      <w:r>
        <w:t xml:space="preserve">demandé une modification de </w:t>
      </w:r>
      <w:r w:rsidR="00283C8B">
        <w:t>l’article 27 CPJA relati</w:t>
      </w:r>
      <w:r w:rsidR="00CD7BAE">
        <w:t>f</w:t>
      </w:r>
      <w:r w:rsidR="00283C8B">
        <w:t xml:space="preserve"> à</w:t>
      </w:r>
      <w:r>
        <w:t xml:space="preserve"> la computation des délais. Un alinéa est donc ajouté après l’actuel alinéa 1 relatif au départ du délai.</w:t>
      </w:r>
      <w:r w:rsidR="00C02343">
        <w:t xml:space="preserve"> </w:t>
      </w:r>
      <w:r w:rsidR="007414BE">
        <w:t xml:space="preserve">Cet alinéa </w:t>
      </w:r>
      <w:r w:rsidR="00283C8B">
        <w:t>reprend</w:t>
      </w:r>
      <w:r w:rsidR="008B353B">
        <w:t xml:space="preserve">, sous une formule légèrement adaptée de sorte à faire le lien avec l’alinéa 1, </w:t>
      </w:r>
      <w:r w:rsidR="00283C8B">
        <w:t>le</w:t>
      </w:r>
      <w:r w:rsidR="00525525">
        <w:t xml:space="preserve"> </w:t>
      </w:r>
      <w:r w:rsidR="00525525" w:rsidRPr="00CD7BAE">
        <w:t>nouvel</w:t>
      </w:r>
      <w:r w:rsidR="00525525">
        <w:t xml:space="preserve"> art</w:t>
      </w:r>
      <w:r w:rsidR="00283C8B">
        <w:t>icle</w:t>
      </w:r>
      <w:r w:rsidR="00525525">
        <w:t xml:space="preserve"> 20</w:t>
      </w:r>
      <w:r w:rsidR="00283C8B">
        <w:t>,</w:t>
      </w:r>
      <w:r w:rsidR="00525525">
        <w:t xml:space="preserve"> al</w:t>
      </w:r>
      <w:r w:rsidR="00283C8B">
        <w:t>inéa</w:t>
      </w:r>
      <w:r w:rsidR="00525525">
        <w:t xml:space="preserve"> 2</w:t>
      </w:r>
      <w:r w:rsidR="00CD7BAE" w:rsidRPr="008B353B">
        <w:rPr>
          <w:vertAlign w:val="superscript"/>
        </w:rPr>
        <w:t>bis</w:t>
      </w:r>
      <w:r w:rsidR="00525525">
        <w:t xml:space="preserve"> </w:t>
      </w:r>
      <w:r w:rsidR="00C02343">
        <w:t>let. b de la loi</w:t>
      </w:r>
      <w:r w:rsidR="00C02343" w:rsidRPr="00C02343">
        <w:t xml:space="preserve"> fédérale du 20 décembre 1968 sur la procédure administrative </w:t>
      </w:r>
      <w:r w:rsidR="00C02343">
        <w:t>(</w:t>
      </w:r>
      <w:hyperlink r:id="rId20" w:history="1">
        <w:r w:rsidR="00525525" w:rsidRPr="00F37F4F">
          <w:rPr>
            <w:rStyle w:val="Lienhypertexte"/>
          </w:rPr>
          <w:t>PA</w:t>
        </w:r>
      </w:hyperlink>
      <w:r w:rsidR="00C02343">
        <w:t>)</w:t>
      </w:r>
      <w:r w:rsidR="00525525">
        <w:t>.</w:t>
      </w:r>
    </w:p>
    <w:p w14:paraId="7EBBF863" w14:textId="73DC40A9" w:rsidR="008B353B" w:rsidRPr="006F1789" w:rsidRDefault="008B353B" w:rsidP="008B353B">
      <w:pPr>
        <w:pStyle w:val="07atexteprincipal"/>
      </w:pPr>
      <w:r>
        <w:t xml:space="preserve">En outre, dans un souci de cohérence et d’information, afin de donner un aperçu complet des règles de notification lorsque les envois ont lieu par courrier postal, l’avant-projet complète cet article 27 al. 1a CPJA en y ancrant </w:t>
      </w:r>
      <w:r w:rsidR="00525525">
        <w:t>le délai de garde de sept jours lorsqu’un courrier est remis contre signature</w:t>
      </w:r>
      <w:r w:rsidR="00CD7BAE">
        <w:t>.</w:t>
      </w:r>
      <w:r>
        <w:t xml:space="preserve"> Il s’agit d’une fiction légale définie dans un premier temps par la jurisprudence du Tribunal fédéral et qui a ensuite été codifiée dans diverses lois de procédure, sur le plan fédéral et dans plusieurs cantons. L’avant-projet reprend dès lors sur ce point une formule globalement analogue à celle </w:t>
      </w:r>
      <w:r w:rsidR="00E8591D">
        <w:t xml:space="preserve">du nouvel </w:t>
      </w:r>
      <w:r>
        <w:t>article 20 al. 2</w:t>
      </w:r>
      <w:r w:rsidRPr="00F6465B">
        <w:rPr>
          <w:vertAlign w:val="superscript"/>
        </w:rPr>
        <w:t>bis</w:t>
      </w:r>
      <w:r>
        <w:t xml:space="preserve"> </w:t>
      </w:r>
      <w:hyperlink r:id="rId21" w:history="1">
        <w:r w:rsidRPr="00C02343">
          <w:rPr>
            <w:rStyle w:val="Lienhypertexte"/>
          </w:rPr>
          <w:t>PA</w:t>
        </w:r>
      </w:hyperlink>
      <w:r>
        <w:t>.</w:t>
      </w:r>
    </w:p>
    <w:p w14:paraId="7D25680E" w14:textId="22058B28" w:rsidR="006F1789" w:rsidRDefault="006F1789" w:rsidP="006F1789">
      <w:pPr>
        <w:pStyle w:val="Titre2"/>
      </w:pPr>
      <w:bookmarkStart w:id="5" w:name="_Toc223009559"/>
      <w:r>
        <w:t xml:space="preserve">Art. 68 </w:t>
      </w:r>
      <w:r w:rsidR="002201F4">
        <w:t xml:space="preserve">al. 1a </w:t>
      </w:r>
      <w:r>
        <w:t>LRF</w:t>
      </w:r>
      <w:bookmarkEnd w:id="5"/>
    </w:p>
    <w:p w14:paraId="5606BD4C" w14:textId="497FCA48" w:rsidR="006F1789" w:rsidRPr="006F1789" w:rsidRDefault="00016C40" w:rsidP="006F1789">
      <w:pPr>
        <w:pStyle w:val="07atexteprincipal"/>
      </w:pPr>
      <w:r>
        <w:t xml:space="preserve">La </w:t>
      </w:r>
      <w:r w:rsidR="00FB10CF">
        <w:t>loi sur le registre foncier (</w:t>
      </w:r>
      <w:r>
        <w:t>LRF</w:t>
      </w:r>
      <w:r w:rsidR="00FB10CF">
        <w:t>)</w:t>
      </w:r>
      <w:r>
        <w:t xml:space="preserve"> dispose de ses propres règles en matière de computation des délais. La modification de l’article </w:t>
      </w:r>
      <w:r w:rsidR="00A93C95">
        <w:t xml:space="preserve">68 par la création d’un alinéa 1a est </w:t>
      </w:r>
      <w:r w:rsidR="00DC6D9A">
        <w:t>basée</w:t>
      </w:r>
      <w:r w:rsidR="00A93C95">
        <w:t xml:space="preserve"> sur les mêmes motifs que ceux qui fondent la modification de l’article 27 CPJA. Il est donc renvoyé aux explications </w:t>
      </w:r>
      <w:r w:rsidR="00A93C95" w:rsidRPr="00FB10CF">
        <w:rPr>
          <w:i/>
          <w:iCs/>
        </w:rPr>
        <w:t>supra</w:t>
      </w:r>
      <w:r w:rsidR="00A93C95">
        <w:t>.</w:t>
      </w:r>
    </w:p>
    <w:p w14:paraId="45D3E500" w14:textId="42F3A6FC" w:rsidR="00A50DFB" w:rsidRPr="00A50DFB" w:rsidRDefault="00EB12B8" w:rsidP="00543D59">
      <w:pPr>
        <w:pStyle w:val="Titre1"/>
      </w:pPr>
      <w:bookmarkStart w:id="6" w:name="_Toc223009560"/>
      <w:r>
        <w:t>Conséquences de l’avant-projet</w:t>
      </w:r>
      <w:bookmarkEnd w:id="6"/>
    </w:p>
    <w:p w14:paraId="21D6A3C2" w14:textId="6A76CC4A" w:rsidR="00543D59" w:rsidRDefault="00EB12B8" w:rsidP="00543D59">
      <w:pPr>
        <w:pStyle w:val="07atexteprincipal"/>
      </w:pPr>
      <w:r>
        <w:t>L’avant-projet</w:t>
      </w:r>
      <w:r w:rsidR="00543D59">
        <w:t xml:space="preserve"> d’acte </w:t>
      </w:r>
      <w:r>
        <w:t>n’</w:t>
      </w:r>
      <w:r w:rsidR="00543D59">
        <w:t xml:space="preserve">aura </w:t>
      </w:r>
      <w:r>
        <w:t xml:space="preserve">pas </w:t>
      </w:r>
      <w:r w:rsidR="00543D59">
        <w:t xml:space="preserve">de conséquences </w:t>
      </w:r>
      <w:r>
        <w:t xml:space="preserve">financières </w:t>
      </w:r>
      <w:r w:rsidR="00543D59">
        <w:t>en cas de notification</w:t>
      </w:r>
      <w:r w:rsidR="007E5A4F">
        <w:t>s</w:t>
      </w:r>
      <w:r w:rsidR="00543D59">
        <w:t xml:space="preserve"> </w:t>
      </w:r>
      <w:r w:rsidR="007E5A4F">
        <w:t xml:space="preserve">d’actes </w:t>
      </w:r>
      <w:r w:rsidR="00543D59">
        <w:t>le week</w:t>
      </w:r>
      <w:r w:rsidR="00C0459B">
        <w:t>-</w:t>
      </w:r>
      <w:r w:rsidR="00543D59">
        <w:t xml:space="preserve">end ou les jours fériés. Il n’y aura </w:t>
      </w:r>
      <w:r>
        <w:t xml:space="preserve">pas non </w:t>
      </w:r>
      <w:r w:rsidR="00543D59">
        <w:t>plus de conséquences sur le personnel.</w:t>
      </w:r>
    </w:p>
    <w:p w14:paraId="3A7AF8D7" w14:textId="7503B030" w:rsidR="00845C3C" w:rsidRDefault="0075377E" w:rsidP="00845C3C">
      <w:pPr>
        <w:pStyle w:val="07atexteprincipal"/>
        <w:rPr>
          <w:bCs/>
          <w:lang w:val="fr-CH"/>
        </w:rPr>
      </w:pPr>
      <w:r>
        <w:rPr>
          <w:bCs/>
          <w:lang w:val="fr-CH"/>
        </w:rPr>
        <w:t xml:space="preserve">L’avant-projet de loi </w:t>
      </w:r>
      <w:r w:rsidR="008B353B">
        <w:rPr>
          <w:bCs/>
          <w:lang w:val="fr-CH"/>
        </w:rPr>
        <w:t>n’est</w:t>
      </w:r>
      <w:r>
        <w:rPr>
          <w:bCs/>
          <w:lang w:val="fr-CH"/>
        </w:rPr>
        <w:t xml:space="preserve"> pas soumis au referendum financier</w:t>
      </w:r>
      <w:r w:rsidR="006E3936">
        <w:rPr>
          <w:bCs/>
          <w:lang w:val="fr-CH"/>
        </w:rPr>
        <w:t xml:space="preserve"> (art. 46 al. 1 let. b </w:t>
      </w:r>
      <w:hyperlink r:id="rId22" w:history="1">
        <w:r w:rsidR="006E3936" w:rsidRPr="002B464F">
          <w:rPr>
            <w:rStyle w:val="Lienhypertexte"/>
            <w:bCs/>
            <w:lang w:val="fr-CH"/>
          </w:rPr>
          <w:t>Cst.</w:t>
        </w:r>
      </w:hyperlink>
      <w:r w:rsidR="006E3936">
        <w:rPr>
          <w:bCs/>
          <w:lang w:val="fr-CH"/>
        </w:rPr>
        <w:t>)</w:t>
      </w:r>
      <w:r w:rsidR="005C4D98">
        <w:rPr>
          <w:bCs/>
          <w:lang w:val="fr-CH"/>
        </w:rPr>
        <w:t xml:space="preserve"> et n</w:t>
      </w:r>
      <w:r w:rsidR="00845C3C">
        <w:rPr>
          <w:bCs/>
          <w:lang w:val="fr-CH"/>
        </w:rPr>
        <w:t>’a pas d’effet sur le développement durable.</w:t>
      </w:r>
    </w:p>
    <w:p w14:paraId="694602A8" w14:textId="31C9B2AC" w:rsidR="005C4D98" w:rsidRPr="00D93233" w:rsidRDefault="007E5A4F" w:rsidP="005C4D98">
      <w:pPr>
        <w:pStyle w:val="07atexteprincipal"/>
      </w:pPr>
      <w:r>
        <w:t xml:space="preserve">Enfin, </w:t>
      </w:r>
      <w:r w:rsidR="005C4D98">
        <w:t xml:space="preserve">il n’y a pas d’incidence sur la répartition des tâches Etat-communes. </w:t>
      </w:r>
      <w:r w:rsidR="005C4D98" w:rsidRPr="00C0459B">
        <w:t>Les conseils communaux et les organes administratifs des communes et les autres corporations de droit public sont toutefois des autorités administratives au sens de l’art</w:t>
      </w:r>
      <w:r w:rsidR="00743619">
        <w:t>icle</w:t>
      </w:r>
      <w:r w:rsidR="005C4D98" w:rsidRPr="00C0459B">
        <w:t xml:space="preserve"> 2 al. 1 let. b CPJA. Les communes sont partant concernées par cette modification.</w:t>
      </w:r>
    </w:p>
    <w:p w14:paraId="259BFACE" w14:textId="3BD165BF" w:rsidR="00C1496A" w:rsidRDefault="00543D59" w:rsidP="00543D59">
      <w:pPr>
        <w:pStyle w:val="Titre1"/>
      </w:pPr>
      <w:bookmarkStart w:id="7" w:name="_Toc223009561"/>
      <w:r>
        <w:t>Conformité avec le droit supérieur</w:t>
      </w:r>
      <w:bookmarkEnd w:id="7"/>
    </w:p>
    <w:p w14:paraId="06080285" w14:textId="48BFBF01" w:rsidR="003A6724" w:rsidRDefault="00EB12B8" w:rsidP="00845C3C">
      <w:pPr>
        <w:pStyle w:val="07atexteprincipal"/>
        <w:rPr>
          <w:bCs/>
          <w:lang w:val="fr-CH"/>
        </w:rPr>
      </w:pPr>
      <w:r>
        <w:rPr>
          <w:bCs/>
          <w:lang w:val="fr-CH"/>
        </w:rPr>
        <w:t>L’avant-</w:t>
      </w:r>
      <w:r w:rsidR="006F1789">
        <w:rPr>
          <w:bCs/>
          <w:lang w:val="fr-CH"/>
        </w:rPr>
        <w:t>projet d’acte est</w:t>
      </w:r>
      <w:r w:rsidR="006F1789" w:rsidRPr="00A10356">
        <w:rPr>
          <w:bCs/>
          <w:lang w:val="fr-CH"/>
        </w:rPr>
        <w:t xml:space="preserve"> une </w:t>
      </w:r>
      <w:r>
        <w:rPr>
          <w:bCs/>
          <w:lang w:val="fr-CH"/>
        </w:rPr>
        <w:t>reprise</w:t>
      </w:r>
      <w:r w:rsidRPr="00A10356">
        <w:rPr>
          <w:bCs/>
          <w:lang w:val="fr-CH"/>
        </w:rPr>
        <w:t xml:space="preserve"> </w:t>
      </w:r>
      <w:r w:rsidR="006F1789" w:rsidRPr="00A10356">
        <w:rPr>
          <w:bCs/>
          <w:lang w:val="fr-CH"/>
        </w:rPr>
        <w:t>du droit fédéral</w:t>
      </w:r>
      <w:r>
        <w:rPr>
          <w:bCs/>
          <w:lang w:val="fr-CH"/>
        </w:rPr>
        <w:t xml:space="preserve"> par souci d’harmonisation </w:t>
      </w:r>
      <w:r w:rsidR="005C4D98">
        <w:rPr>
          <w:bCs/>
          <w:lang w:val="fr-CH"/>
        </w:rPr>
        <w:t xml:space="preserve">des règles relatives à la </w:t>
      </w:r>
      <w:r>
        <w:rPr>
          <w:bCs/>
          <w:lang w:val="fr-CH"/>
        </w:rPr>
        <w:t>notification d’actes</w:t>
      </w:r>
      <w:r w:rsidR="006F1789" w:rsidRPr="00A10356">
        <w:rPr>
          <w:bCs/>
          <w:lang w:val="fr-CH"/>
        </w:rPr>
        <w:t xml:space="preserve">. </w:t>
      </w:r>
      <w:r w:rsidR="006F1789">
        <w:rPr>
          <w:bCs/>
          <w:lang w:val="fr-CH"/>
        </w:rPr>
        <w:t>Il</w:t>
      </w:r>
      <w:r w:rsidR="006F1789" w:rsidRPr="00A10356">
        <w:rPr>
          <w:bCs/>
          <w:lang w:val="fr-CH"/>
        </w:rPr>
        <w:t xml:space="preserve"> est par conséquent compatible avec le droit supérieur.</w:t>
      </w:r>
    </w:p>
    <w:sectPr w:rsidR="003A6724" w:rsidSect="0086240D">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C2A3" w14:textId="77777777" w:rsidR="00797A1D" w:rsidRPr="00A70C97" w:rsidRDefault="00797A1D" w:rsidP="00A70C97">
      <w:pPr>
        <w:pStyle w:val="Pieddepage"/>
        <w:rPr>
          <w:b/>
        </w:rPr>
      </w:pPr>
      <w:r w:rsidRPr="00A70C97">
        <w:rPr>
          <w:b/>
        </w:rPr>
        <w:t>—</w:t>
      </w:r>
    </w:p>
    <w:p w14:paraId="3FDEDA01" w14:textId="77777777" w:rsidR="00797A1D" w:rsidRDefault="00797A1D"/>
    <w:p w14:paraId="635E3CB1" w14:textId="77777777" w:rsidR="00797A1D" w:rsidRDefault="00797A1D"/>
  </w:endnote>
  <w:endnote w:type="continuationSeparator" w:id="0">
    <w:p w14:paraId="2D284465" w14:textId="77777777" w:rsidR="00797A1D" w:rsidRPr="00A70C97" w:rsidRDefault="00797A1D" w:rsidP="00A70C97">
      <w:pPr>
        <w:pStyle w:val="Pieddepage"/>
        <w:rPr>
          <w:b/>
        </w:rPr>
      </w:pPr>
      <w:r w:rsidRPr="00A70C97">
        <w:rPr>
          <w:b/>
        </w:rPr>
        <w:t>—</w:t>
      </w:r>
    </w:p>
    <w:p w14:paraId="7CD4B300" w14:textId="77777777" w:rsidR="00797A1D" w:rsidRDefault="00797A1D"/>
    <w:p w14:paraId="06E3FED0" w14:textId="77777777" w:rsidR="00797A1D" w:rsidRDefault="00797A1D"/>
  </w:endnote>
  <w:endnote w:type="continuationNotice" w:id="1">
    <w:p w14:paraId="3D3024D2" w14:textId="77777777" w:rsidR="00797A1D" w:rsidRPr="00A70C97" w:rsidRDefault="00797A1D">
      <w:pPr>
        <w:spacing w:before="0" w:after="0" w:line="240" w:lineRule="auto"/>
        <w:rPr>
          <w:rFonts w:asciiTheme="majorHAnsi" w:hAnsiTheme="majorHAnsi" w:cstheme="majorHAnsi"/>
          <w:sz w:val="16"/>
          <w:szCs w:val="16"/>
        </w:rPr>
      </w:pPr>
    </w:p>
    <w:p w14:paraId="7B0152F1" w14:textId="77777777" w:rsidR="00797A1D" w:rsidRDefault="00797A1D"/>
    <w:p w14:paraId="7CD7F2C4" w14:textId="77777777" w:rsidR="00797A1D" w:rsidRDefault="00797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BB41" w14:textId="77777777" w:rsidR="00C90A0E" w:rsidRDefault="00771BD1" w:rsidP="00AD2B58">
    <w:pPr>
      <w:pStyle w:val="Pieddepage"/>
    </w:pPr>
    <w:r w:rsidRPr="00913B6D">
      <w:fldChar w:fldCharType="begin"/>
    </w:r>
    <w:r w:rsidRPr="00913B6D">
      <w:instrText xml:space="preserve"> PAGE  \* Arabic  \* MERGEFORMAT </w:instrText>
    </w:r>
    <w:r w:rsidRPr="00913B6D">
      <w:fldChar w:fldCharType="separate"/>
    </w:r>
    <w:r w:rsidR="00970383">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1B05" w14:textId="77777777" w:rsidR="00C90A0E" w:rsidRDefault="00771BD1" w:rsidP="009E7B88">
    <w:pPr>
      <w:pStyle w:val="Pieddepage"/>
      <w:jc w:val="right"/>
    </w:pPr>
    <w:r w:rsidRPr="003226C3">
      <w:fldChar w:fldCharType="begin"/>
    </w:r>
    <w:r w:rsidRPr="003226C3">
      <w:instrText xml:space="preserve"> PAGE  \* Arabic  \* MERGEFORMAT </w:instrText>
    </w:r>
    <w:r w:rsidRPr="003226C3">
      <w:fldChar w:fldCharType="separate"/>
    </w:r>
    <w:r w:rsidR="00970383">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496C" w14:textId="77777777" w:rsidR="00C90A0E" w:rsidRDefault="00874FE1" w:rsidP="009E7B88">
    <w:pPr>
      <w:pStyle w:val="Pieddepage"/>
      <w:jc w:val="right"/>
    </w:pPr>
    <w:r w:rsidRPr="003226C3">
      <w:fldChar w:fldCharType="begin"/>
    </w:r>
    <w:r w:rsidRPr="003226C3">
      <w:instrText xml:space="preserve"> PAGE  \* Arabic  \* MERGEFORMAT </w:instrText>
    </w:r>
    <w:r w:rsidRPr="003226C3">
      <w:fldChar w:fldCharType="separate"/>
    </w:r>
    <w:r w:rsidR="00970383">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3BD3" w14:textId="77777777" w:rsidR="00797A1D" w:rsidRDefault="00797A1D" w:rsidP="005507ED">
      <w:r>
        <w:separator/>
      </w:r>
    </w:p>
  </w:footnote>
  <w:footnote w:type="continuationSeparator" w:id="0">
    <w:p w14:paraId="10EA7C15" w14:textId="77777777" w:rsidR="00797A1D" w:rsidRPr="00427DDB" w:rsidRDefault="00797A1D"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35C3D68E" w14:textId="77777777" w:rsidR="00797A1D" w:rsidRPr="00A70C97" w:rsidRDefault="00797A1D">
      <w:pPr>
        <w:spacing w:before="0" w:after="0" w:line="240" w:lineRule="auto"/>
        <w:rPr>
          <w:rFonts w:asciiTheme="majorHAnsi" w:hAnsiTheme="majorHAnsi" w:cstheme="majorHAnsi"/>
          <w:sz w:val="16"/>
          <w:szCs w:val="16"/>
        </w:rPr>
      </w:pPr>
    </w:p>
  </w:footnote>
  <w:footnote w:id="2">
    <w:p w14:paraId="04EC2431" w14:textId="77777777" w:rsidR="00525525" w:rsidRPr="00A10356" w:rsidRDefault="00525525" w:rsidP="00525525">
      <w:pPr>
        <w:pStyle w:val="Notedebasdepage"/>
        <w:rPr>
          <w:lang w:val="de-CH"/>
        </w:rPr>
      </w:pPr>
      <w:r>
        <w:rPr>
          <w:rStyle w:val="Appelnotedebasdep"/>
        </w:rPr>
        <w:footnoteRef/>
      </w:r>
      <w:r w:rsidRPr="00A10356">
        <w:rPr>
          <w:lang w:val="de-CH"/>
        </w:rPr>
        <w:t xml:space="preserve"> </w:t>
      </w:r>
      <w:r>
        <w:rPr>
          <w:lang w:val="de-CH"/>
        </w:rPr>
        <w:t xml:space="preserve">AI : </w:t>
      </w:r>
      <w:hyperlink r:id="rId1" w:history="1">
        <w:r w:rsidRPr="00936159">
          <w:rPr>
            <w:rStyle w:val="Lienhypertexte"/>
            <w:lang w:val="de-CH"/>
          </w:rPr>
          <w:t>RS 172.700</w:t>
        </w:r>
      </w:hyperlink>
      <w:r w:rsidRPr="00A10356">
        <w:rPr>
          <w:lang w:val="de-CH"/>
        </w:rPr>
        <w:t xml:space="preserve"> Gesetz über den Frist</w:t>
      </w:r>
      <w:r>
        <w:rPr>
          <w:lang w:val="de-CH"/>
        </w:rPr>
        <w:t>enlauf (FriG).</w:t>
      </w:r>
    </w:p>
  </w:footnote>
  <w:footnote w:id="3">
    <w:p w14:paraId="72351E60" w14:textId="77777777" w:rsidR="00525525" w:rsidRPr="002E6B5E" w:rsidRDefault="00525525" w:rsidP="00525525">
      <w:pPr>
        <w:pStyle w:val="Notedebasdepage"/>
      </w:pPr>
      <w:r>
        <w:rPr>
          <w:rStyle w:val="Appelnotedebasdep"/>
        </w:rPr>
        <w:footnoteRef/>
      </w:r>
      <w:r w:rsidRPr="002E6B5E">
        <w:t xml:space="preserve"> </w:t>
      </w:r>
      <w:r>
        <w:t xml:space="preserve">GE : </w:t>
      </w:r>
      <w:hyperlink r:id="rId2" w:history="1">
        <w:r w:rsidRPr="00A10356">
          <w:rPr>
            <w:rStyle w:val="Lienhypertexte"/>
          </w:rPr>
          <w:t>RS A 2 30</w:t>
        </w:r>
      </w:hyperlink>
      <w:r w:rsidRPr="00A10356">
        <w:t xml:space="preserve"> Loi sur la comp</w:t>
      </w:r>
      <w:r>
        <w:t xml:space="preserve">utation des délais échéant un samedi (LDélais) ; </w:t>
      </w:r>
      <w:hyperlink r:id="rId3" w:history="1">
        <w:r w:rsidRPr="00734854">
          <w:rPr>
            <w:rStyle w:val="Lienhypertexte"/>
          </w:rPr>
          <w:t>RS D 03 5</w:t>
        </w:r>
      </w:hyperlink>
      <w:r>
        <w:t xml:space="preserve"> Loi générale sur les contributions publiques (LCP) ; </w:t>
      </w:r>
      <w:hyperlink r:id="rId4" w:history="1">
        <w:r w:rsidRPr="00734854">
          <w:rPr>
            <w:rStyle w:val="Lienhypertexte"/>
          </w:rPr>
          <w:t>RS D 3 17</w:t>
        </w:r>
      </w:hyperlink>
      <w:r>
        <w:t xml:space="preserve"> Loi de procédure fiscale (LPFisc) et </w:t>
      </w:r>
      <w:hyperlink r:id="rId5" w:history="1">
        <w:r w:rsidRPr="00734854">
          <w:rPr>
            <w:rStyle w:val="Lienhypertexte"/>
          </w:rPr>
          <w:t>RS E 5 10</w:t>
        </w:r>
      </w:hyperlink>
      <w:r>
        <w:t xml:space="preserve"> Loi sur la procédure administrative (LPA).</w:t>
      </w:r>
    </w:p>
  </w:footnote>
  <w:footnote w:id="4">
    <w:p w14:paraId="7ADB3A03" w14:textId="77777777" w:rsidR="00525525" w:rsidRDefault="00525525" w:rsidP="00525525">
      <w:pPr>
        <w:pStyle w:val="Notedebasdepage"/>
      </w:pPr>
      <w:r>
        <w:rPr>
          <w:rStyle w:val="Appelnotedebasdep"/>
        </w:rPr>
        <w:footnoteRef/>
      </w:r>
      <w:r>
        <w:t xml:space="preserve"> NE : </w:t>
      </w:r>
      <w:hyperlink r:id="rId6" w:history="1">
        <w:r w:rsidRPr="00D65E27">
          <w:rPr>
            <w:rStyle w:val="Lienhypertexte"/>
          </w:rPr>
          <w:t>RS 152.130</w:t>
        </w:r>
      </w:hyperlink>
      <w:r>
        <w:t xml:space="preserve"> Loi sur la procédure administrative (LPA).</w:t>
      </w:r>
    </w:p>
  </w:footnote>
  <w:footnote w:id="5">
    <w:p w14:paraId="474D9015" w14:textId="77777777" w:rsidR="00525525" w:rsidRDefault="00525525" w:rsidP="00525525">
      <w:pPr>
        <w:pStyle w:val="Notedebasdepage"/>
      </w:pPr>
      <w:r>
        <w:rPr>
          <w:rStyle w:val="Appelnotedebasdep"/>
        </w:rPr>
        <w:footnoteRef/>
      </w:r>
      <w:r>
        <w:t xml:space="preserve"> VD : </w:t>
      </w:r>
      <w:hyperlink r:id="rId7" w:history="1">
        <w:r w:rsidRPr="00A62A65">
          <w:rPr>
            <w:rStyle w:val="Lienhypertexte"/>
          </w:rPr>
          <w:t>RS 173.05</w:t>
        </w:r>
      </w:hyperlink>
      <w:r>
        <w:t xml:space="preserve"> Loi sur la computation des délais comprenant un samedi (LSam) et </w:t>
      </w:r>
      <w:hyperlink r:id="rId8" w:history="1">
        <w:r w:rsidRPr="00A62A65">
          <w:rPr>
            <w:rStyle w:val="Lienhypertexte"/>
          </w:rPr>
          <w:t>RS 173.36</w:t>
        </w:r>
      </w:hyperlink>
      <w:r>
        <w:t xml:space="preserve"> Loi sur la procédure administrative (LPA-VD).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D6AD" w14:textId="77777777" w:rsidR="00C90A0E" w:rsidRPr="00C125C0" w:rsidRDefault="00C90A0E"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B49D" w14:textId="77777777" w:rsidR="00C90A0E" w:rsidRPr="00C125C0" w:rsidRDefault="00C90A0E"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FD0818" w:rsidRPr="00FD0818" w14:paraId="3DED0120" w14:textId="77777777" w:rsidTr="00FC7F16">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9D94DF" w14:textId="77777777" w:rsidR="00FD0818" w:rsidRPr="00FD0818" w:rsidRDefault="00FD0818" w:rsidP="00FD0818">
          <w:pPr>
            <w:keepNext/>
            <w:keepLines/>
            <w:spacing w:line="460" w:lineRule="atLeast"/>
            <w:contextualSpacing/>
            <w:rPr>
              <w:rFonts w:asciiTheme="majorHAnsi" w:eastAsiaTheme="majorEastAsia" w:hAnsiTheme="majorHAnsi" w:cstheme="majorBidi"/>
              <w:b w:val="0"/>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756B165C" wp14:editId="2845C5AE">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6515D1" w14:textId="77777777" w:rsidR="00FD0818" w:rsidRPr="00FD0818" w:rsidRDefault="00FD0818"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auto"/>
              <w:kern w:val="32"/>
              <w:sz w:val="16"/>
              <w:szCs w:val="52"/>
            </w:rPr>
          </w:pPr>
          <w:r w:rsidRPr="00FD0818">
            <w:rPr>
              <w:rFonts w:asciiTheme="majorHAnsi" w:eastAsiaTheme="majorEastAsia" w:hAnsiTheme="majorHAnsi" w:cstheme="majorBidi"/>
              <w:bCs/>
              <w:color w:val="auto"/>
              <w:kern w:val="32"/>
              <w:sz w:val="16"/>
              <w:szCs w:val="52"/>
            </w:rPr>
            <w:t>Conseil d’Etat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CE</w:t>
          </w:r>
        </w:p>
        <w:p w14:paraId="6C02AE7E" w14:textId="77777777" w:rsidR="00FD0818" w:rsidRPr="00FD0818" w:rsidRDefault="00FD0818"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auto"/>
              <w:kern w:val="32"/>
              <w:sz w:val="16"/>
              <w:szCs w:val="52"/>
            </w:rPr>
          </w:pPr>
          <w:r w:rsidRPr="00FD0818">
            <w:rPr>
              <w:rFonts w:asciiTheme="majorHAnsi" w:eastAsiaTheme="majorEastAsia" w:hAnsiTheme="majorHAnsi" w:cstheme="majorBidi"/>
              <w:bCs/>
              <w:color w:val="auto"/>
              <w:kern w:val="32"/>
              <w:sz w:val="16"/>
              <w:szCs w:val="52"/>
            </w:rPr>
            <w:t>Staatsrat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SR</w:t>
          </w:r>
        </w:p>
      </w:tc>
    </w:tr>
  </w:tbl>
  <w:p w14:paraId="4850EB16" w14:textId="77777777" w:rsidR="00C90A0E" w:rsidRDefault="00C90A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9" w15:restartNumberingAfterBreak="0">
    <w:nsid w:val="1BCA4211"/>
    <w:multiLevelType w:val="hybridMultilevel"/>
    <w:tmpl w:val="9D042E2E"/>
    <w:lvl w:ilvl="0" w:tplc="0DB068B8">
      <w:start w:val="1"/>
      <w:numFmt w:val="lowerLetter"/>
      <w:pStyle w:val="Listealphabtique"/>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1" w15:restartNumberingAfterBreak="0">
    <w:nsid w:val="1E554843"/>
    <w:multiLevelType w:val="multilevel"/>
    <w:tmpl w:val="6E089A12"/>
    <w:name w:val="SITel Liste numérotée2"/>
    <w:numStyleLink w:val="EtatFRNumrotation"/>
  </w:abstractNum>
  <w:abstractNum w:abstractNumId="12" w15:restartNumberingAfterBreak="0">
    <w:nsid w:val="244946CA"/>
    <w:multiLevelType w:val="multilevel"/>
    <w:tmpl w:val="6E089A12"/>
    <w:name w:val="SITel Liste numérotée22"/>
    <w:numStyleLink w:val="EtatFRNumrotation"/>
  </w:abstractNum>
  <w:abstractNum w:abstractNumId="13" w15:restartNumberingAfterBreak="0">
    <w:nsid w:val="26BC24A9"/>
    <w:multiLevelType w:val="multilevel"/>
    <w:tmpl w:val="6E089A12"/>
    <w:name w:val="SITel Liste numérotée3"/>
    <w:numStyleLink w:val="EtatFRNumrotation"/>
  </w:abstractNum>
  <w:abstractNum w:abstractNumId="14"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5"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6A7442"/>
    <w:multiLevelType w:val="multilevel"/>
    <w:tmpl w:val="C812CDBA"/>
    <w:numStyleLink w:val="EtatFRPuces"/>
  </w:abstractNum>
  <w:abstractNum w:abstractNumId="17" w15:restartNumberingAfterBreak="0">
    <w:nsid w:val="3FF139E0"/>
    <w:multiLevelType w:val="multilevel"/>
    <w:tmpl w:val="6E089A12"/>
    <w:numStyleLink w:val="EtatFRNumrotation"/>
  </w:abstractNum>
  <w:abstractNum w:abstractNumId="18" w15:restartNumberingAfterBreak="0">
    <w:nsid w:val="4AD33EFC"/>
    <w:multiLevelType w:val="multilevel"/>
    <w:tmpl w:val="02280202"/>
    <w:numStyleLink w:val="EtatFRNumrotationhirarchique"/>
  </w:abstractNum>
  <w:abstractNum w:abstractNumId="19"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4A0AF0"/>
    <w:multiLevelType w:val="hybridMultilevel"/>
    <w:tmpl w:val="4AE8150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D8E3644"/>
    <w:multiLevelType w:val="multilevel"/>
    <w:tmpl w:val="C812CDBA"/>
    <w:numStyleLink w:val="EtatFRPuces"/>
  </w:abstractNum>
  <w:abstractNum w:abstractNumId="22" w15:restartNumberingAfterBreak="0">
    <w:nsid w:val="74BE68D6"/>
    <w:multiLevelType w:val="multilevel"/>
    <w:tmpl w:val="6E089A12"/>
    <w:numStyleLink w:val="EtatFRNumrotation"/>
  </w:abstractNum>
  <w:abstractNum w:abstractNumId="23" w15:restartNumberingAfterBreak="0">
    <w:nsid w:val="7A072877"/>
    <w:multiLevelType w:val="multilevel"/>
    <w:tmpl w:val="6E089A12"/>
    <w:numStyleLink w:val="EtatFRNumrotation"/>
  </w:abstractNum>
  <w:abstractNum w:abstractNumId="24" w15:restartNumberingAfterBreak="0">
    <w:nsid w:val="7B2916EA"/>
    <w:multiLevelType w:val="multilevel"/>
    <w:tmpl w:val="C812CDBA"/>
    <w:numStyleLink w:val="EtatFRPuces"/>
  </w:abstractNum>
  <w:num w:numId="1" w16cid:durableId="911549334">
    <w:abstractNumId w:val="7"/>
  </w:num>
  <w:num w:numId="2" w16cid:durableId="1461532308">
    <w:abstractNumId w:val="5"/>
  </w:num>
  <w:num w:numId="3" w16cid:durableId="1087113003">
    <w:abstractNumId w:val="10"/>
  </w:num>
  <w:num w:numId="4" w16cid:durableId="953092821">
    <w:abstractNumId w:val="14"/>
  </w:num>
  <w:num w:numId="5" w16cid:durableId="866791554">
    <w:abstractNumId w:val="6"/>
  </w:num>
  <w:num w:numId="6" w16cid:durableId="477648285">
    <w:abstractNumId w:val="8"/>
  </w:num>
  <w:num w:numId="7" w16cid:durableId="1748991327">
    <w:abstractNumId w:val="17"/>
  </w:num>
  <w:num w:numId="8" w16cid:durableId="102120199">
    <w:abstractNumId w:val="4"/>
  </w:num>
  <w:num w:numId="9" w16cid:durableId="1691031566">
    <w:abstractNumId w:val="2"/>
  </w:num>
  <w:num w:numId="10" w16cid:durableId="274870602">
    <w:abstractNumId w:val="1"/>
  </w:num>
  <w:num w:numId="11" w16cid:durableId="1978951079">
    <w:abstractNumId w:val="18"/>
  </w:num>
  <w:num w:numId="12" w16cid:durableId="1407024335">
    <w:abstractNumId w:val="23"/>
  </w:num>
  <w:num w:numId="13" w16cid:durableId="1069185000">
    <w:abstractNumId w:val="22"/>
  </w:num>
  <w:num w:numId="14" w16cid:durableId="593515476">
    <w:abstractNumId w:val="21"/>
  </w:num>
  <w:num w:numId="15" w16cid:durableId="1055543966">
    <w:abstractNumId w:val="19"/>
  </w:num>
  <w:num w:numId="16" w16cid:durableId="785587733">
    <w:abstractNumId w:val="15"/>
  </w:num>
  <w:num w:numId="17" w16cid:durableId="300162250">
    <w:abstractNumId w:val="16"/>
  </w:num>
  <w:num w:numId="18" w16cid:durableId="467746288">
    <w:abstractNumId w:val="0"/>
  </w:num>
  <w:num w:numId="19" w16cid:durableId="1063874700">
    <w:abstractNumId w:val="24"/>
  </w:num>
  <w:num w:numId="20" w16cid:durableId="441148323">
    <w:abstractNumId w:val="20"/>
  </w:num>
  <w:num w:numId="21" w16cid:durableId="241305063">
    <w:abstractNumId w:val="9"/>
  </w:num>
  <w:num w:numId="22" w16cid:durableId="10040949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DF45CB"/>
    <w:rsid w:val="000000BC"/>
    <w:rsid w:val="00001CCE"/>
    <w:rsid w:val="0000462C"/>
    <w:rsid w:val="00004A5C"/>
    <w:rsid w:val="00006105"/>
    <w:rsid w:val="0000757B"/>
    <w:rsid w:val="00010995"/>
    <w:rsid w:val="00011BBB"/>
    <w:rsid w:val="00016C40"/>
    <w:rsid w:val="00016DB7"/>
    <w:rsid w:val="00017FBF"/>
    <w:rsid w:val="00023BFD"/>
    <w:rsid w:val="00030A2B"/>
    <w:rsid w:val="00036420"/>
    <w:rsid w:val="00041B7A"/>
    <w:rsid w:val="0004664B"/>
    <w:rsid w:val="0004700E"/>
    <w:rsid w:val="00050646"/>
    <w:rsid w:val="00051411"/>
    <w:rsid w:val="0005174E"/>
    <w:rsid w:val="000547A1"/>
    <w:rsid w:val="00055BA8"/>
    <w:rsid w:val="00061312"/>
    <w:rsid w:val="00063E79"/>
    <w:rsid w:val="000646F4"/>
    <w:rsid w:val="000647A2"/>
    <w:rsid w:val="00067C48"/>
    <w:rsid w:val="00070830"/>
    <w:rsid w:val="000712A5"/>
    <w:rsid w:val="0007194D"/>
    <w:rsid w:val="000740AC"/>
    <w:rsid w:val="0007458C"/>
    <w:rsid w:val="00076F29"/>
    <w:rsid w:val="0008755E"/>
    <w:rsid w:val="00091518"/>
    <w:rsid w:val="000949E5"/>
    <w:rsid w:val="00095452"/>
    <w:rsid w:val="000A002D"/>
    <w:rsid w:val="000B148F"/>
    <w:rsid w:val="000B252E"/>
    <w:rsid w:val="000B2C5D"/>
    <w:rsid w:val="000B4FF3"/>
    <w:rsid w:val="000B693C"/>
    <w:rsid w:val="000B7021"/>
    <w:rsid w:val="000C0235"/>
    <w:rsid w:val="000C1CAD"/>
    <w:rsid w:val="000C410C"/>
    <w:rsid w:val="000C5192"/>
    <w:rsid w:val="000C7D6F"/>
    <w:rsid w:val="000D27F7"/>
    <w:rsid w:val="000D2F2B"/>
    <w:rsid w:val="000D7BBA"/>
    <w:rsid w:val="000E149F"/>
    <w:rsid w:val="000E2E29"/>
    <w:rsid w:val="000E2EDD"/>
    <w:rsid w:val="000E2F96"/>
    <w:rsid w:val="000E3B9C"/>
    <w:rsid w:val="000E678E"/>
    <w:rsid w:val="000E6D29"/>
    <w:rsid w:val="000F0283"/>
    <w:rsid w:val="000F4514"/>
    <w:rsid w:val="000F639C"/>
    <w:rsid w:val="00100374"/>
    <w:rsid w:val="00102850"/>
    <w:rsid w:val="00102A8C"/>
    <w:rsid w:val="001032A6"/>
    <w:rsid w:val="0010498B"/>
    <w:rsid w:val="00110EA9"/>
    <w:rsid w:val="0011317E"/>
    <w:rsid w:val="001148A5"/>
    <w:rsid w:val="00115643"/>
    <w:rsid w:val="001178A7"/>
    <w:rsid w:val="00122D63"/>
    <w:rsid w:val="00123F07"/>
    <w:rsid w:val="00127D83"/>
    <w:rsid w:val="00131122"/>
    <w:rsid w:val="0013124B"/>
    <w:rsid w:val="00131D13"/>
    <w:rsid w:val="00132C62"/>
    <w:rsid w:val="0013472D"/>
    <w:rsid w:val="001362E9"/>
    <w:rsid w:val="00136AB3"/>
    <w:rsid w:val="001371C8"/>
    <w:rsid w:val="001375FC"/>
    <w:rsid w:val="001455AC"/>
    <w:rsid w:val="00145CA5"/>
    <w:rsid w:val="0014746C"/>
    <w:rsid w:val="001507E7"/>
    <w:rsid w:val="00153133"/>
    <w:rsid w:val="0015386C"/>
    <w:rsid w:val="00154F0A"/>
    <w:rsid w:val="001619BC"/>
    <w:rsid w:val="0016797C"/>
    <w:rsid w:val="00171285"/>
    <w:rsid w:val="00173AE4"/>
    <w:rsid w:val="00177744"/>
    <w:rsid w:val="00181FE4"/>
    <w:rsid w:val="001852C8"/>
    <w:rsid w:val="00185ACC"/>
    <w:rsid w:val="00185CB9"/>
    <w:rsid w:val="00187961"/>
    <w:rsid w:val="001905EC"/>
    <w:rsid w:val="00196AE2"/>
    <w:rsid w:val="001A0990"/>
    <w:rsid w:val="001A0CD7"/>
    <w:rsid w:val="001A4CDB"/>
    <w:rsid w:val="001A57A7"/>
    <w:rsid w:val="001A62B6"/>
    <w:rsid w:val="001A6362"/>
    <w:rsid w:val="001B3079"/>
    <w:rsid w:val="001B379E"/>
    <w:rsid w:val="001C153A"/>
    <w:rsid w:val="001C4D67"/>
    <w:rsid w:val="001C4FDA"/>
    <w:rsid w:val="001C6711"/>
    <w:rsid w:val="001D0D8F"/>
    <w:rsid w:val="001D0DFD"/>
    <w:rsid w:val="001D0FB6"/>
    <w:rsid w:val="001D3F81"/>
    <w:rsid w:val="001E1066"/>
    <w:rsid w:val="001E1E5C"/>
    <w:rsid w:val="001E60A0"/>
    <w:rsid w:val="001F3362"/>
    <w:rsid w:val="001F52AB"/>
    <w:rsid w:val="00202293"/>
    <w:rsid w:val="00203D4D"/>
    <w:rsid w:val="002061C7"/>
    <w:rsid w:val="00215A7E"/>
    <w:rsid w:val="00217D2E"/>
    <w:rsid w:val="002201F4"/>
    <w:rsid w:val="002215CA"/>
    <w:rsid w:val="0022323E"/>
    <w:rsid w:val="00225936"/>
    <w:rsid w:val="00226103"/>
    <w:rsid w:val="002303AE"/>
    <w:rsid w:val="00234A75"/>
    <w:rsid w:val="002377E4"/>
    <w:rsid w:val="002378FE"/>
    <w:rsid w:val="002423A2"/>
    <w:rsid w:val="00242852"/>
    <w:rsid w:val="00243717"/>
    <w:rsid w:val="002452AA"/>
    <w:rsid w:val="00245847"/>
    <w:rsid w:val="00245929"/>
    <w:rsid w:val="002465D4"/>
    <w:rsid w:val="00254641"/>
    <w:rsid w:val="00254902"/>
    <w:rsid w:val="00255076"/>
    <w:rsid w:val="00255264"/>
    <w:rsid w:val="00260916"/>
    <w:rsid w:val="0026185F"/>
    <w:rsid w:val="00262398"/>
    <w:rsid w:val="00270D89"/>
    <w:rsid w:val="00273D21"/>
    <w:rsid w:val="00275394"/>
    <w:rsid w:val="00276BA6"/>
    <w:rsid w:val="00281CFE"/>
    <w:rsid w:val="002827D7"/>
    <w:rsid w:val="00283C8B"/>
    <w:rsid w:val="002848EF"/>
    <w:rsid w:val="00284B12"/>
    <w:rsid w:val="002862D9"/>
    <w:rsid w:val="00287D2F"/>
    <w:rsid w:val="002939F9"/>
    <w:rsid w:val="00295315"/>
    <w:rsid w:val="002A0616"/>
    <w:rsid w:val="002A164C"/>
    <w:rsid w:val="002A551A"/>
    <w:rsid w:val="002A67B0"/>
    <w:rsid w:val="002A6868"/>
    <w:rsid w:val="002B0136"/>
    <w:rsid w:val="002B0B26"/>
    <w:rsid w:val="002B2D80"/>
    <w:rsid w:val="002B4437"/>
    <w:rsid w:val="002B464F"/>
    <w:rsid w:val="002B4B4E"/>
    <w:rsid w:val="002B6114"/>
    <w:rsid w:val="002C0A4D"/>
    <w:rsid w:val="002C37BB"/>
    <w:rsid w:val="002C548A"/>
    <w:rsid w:val="002C5DCA"/>
    <w:rsid w:val="002C7D61"/>
    <w:rsid w:val="002D302D"/>
    <w:rsid w:val="002D3376"/>
    <w:rsid w:val="002D4703"/>
    <w:rsid w:val="002D4E6E"/>
    <w:rsid w:val="002E20D2"/>
    <w:rsid w:val="002E3AE3"/>
    <w:rsid w:val="002E3E0F"/>
    <w:rsid w:val="002F0BC1"/>
    <w:rsid w:val="002F1E3C"/>
    <w:rsid w:val="002F4379"/>
    <w:rsid w:val="002F44D4"/>
    <w:rsid w:val="002F483B"/>
    <w:rsid w:val="00300454"/>
    <w:rsid w:val="00310205"/>
    <w:rsid w:val="0031099E"/>
    <w:rsid w:val="003127CC"/>
    <w:rsid w:val="003130DE"/>
    <w:rsid w:val="0031342F"/>
    <w:rsid w:val="00320A31"/>
    <w:rsid w:val="0032114D"/>
    <w:rsid w:val="00322100"/>
    <w:rsid w:val="003226C3"/>
    <w:rsid w:val="0032284F"/>
    <w:rsid w:val="00323F74"/>
    <w:rsid w:val="0032577C"/>
    <w:rsid w:val="00327735"/>
    <w:rsid w:val="00332821"/>
    <w:rsid w:val="003354B4"/>
    <w:rsid w:val="00336564"/>
    <w:rsid w:val="00337D0D"/>
    <w:rsid w:val="003425EB"/>
    <w:rsid w:val="0034353A"/>
    <w:rsid w:val="003437C7"/>
    <w:rsid w:val="003455E1"/>
    <w:rsid w:val="00346964"/>
    <w:rsid w:val="00346E97"/>
    <w:rsid w:val="00356025"/>
    <w:rsid w:val="003577DC"/>
    <w:rsid w:val="003601B7"/>
    <w:rsid w:val="00362403"/>
    <w:rsid w:val="0036383D"/>
    <w:rsid w:val="003643F4"/>
    <w:rsid w:val="00366B12"/>
    <w:rsid w:val="0036756D"/>
    <w:rsid w:val="00367895"/>
    <w:rsid w:val="00373975"/>
    <w:rsid w:val="0037650B"/>
    <w:rsid w:val="00377671"/>
    <w:rsid w:val="003810D8"/>
    <w:rsid w:val="00381FC2"/>
    <w:rsid w:val="003821A7"/>
    <w:rsid w:val="00382B7F"/>
    <w:rsid w:val="00390B0A"/>
    <w:rsid w:val="0039163E"/>
    <w:rsid w:val="003949AA"/>
    <w:rsid w:val="003958CA"/>
    <w:rsid w:val="0039611E"/>
    <w:rsid w:val="003A02C1"/>
    <w:rsid w:val="003A188F"/>
    <w:rsid w:val="003A1D43"/>
    <w:rsid w:val="003A58A4"/>
    <w:rsid w:val="003A6724"/>
    <w:rsid w:val="003A73D4"/>
    <w:rsid w:val="003A769D"/>
    <w:rsid w:val="003B1ECC"/>
    <w:rsid w:val="003B1F9D"/>
    <w:rsid w:val="003B29F0"/>
    <w:rsid w:val="003B4DFE"/>
    <w:rsid w:val="003B6961"/>
    <w:rsid w:val="003B7A19"/>
    <w:rsid w:val="003C0705"/>
    <w:rsid w:val="003C3B47"/>
    <w:rsid w:val="003C4B8D"/>
    <w:rsid w:val="003C4DDC"/>
    <w:rsid w:val="003C7965"/>
    <w:rsid w:val="003D1711"/>
    <w:rsid w:val="003D2978"/>
    <w:rsid w:val="003E398A"/>
    <w:rsid w:val="003E6E9D"/>
    <w:rsid w:val="003F03CA"/>
    <w:rsid w:val="003F0E07"/>
    <w:rsid w:val="003F145B"/>
    <w:rsid w:val="003F630B"/>
    <w:rsid w:val="00404604"/>
    <w:rsid w:val="00405659"/>
    <w:rsid w:val="0040697B"/>
    <w:rsid w:val="00412C0A"/>
    <w:rsid w:val="004139D0"/>
    <w:rsid w:val="00415036"/>
    <w:rsid w:val="00415BC0"/>
    <w:rsid w:val="00415C78"/>
    <w:rsid w:val="00415D3F"/>
    <w:rsid w:val="00416617"/>
    <w:rsid w:val="00416AED"/>
    <w:rsid w:val="00416B61"/>
    <w:rsid w:val="00421C1B"/>
    <w:rsid w:val="00423513"/>
    <w:rsid w:val="00423903"/>
    <w:rsid w:val="00425AE1"/>
    <w:rsid w:val="00426D72"/>
    <w:rsid w:val="00427DDB"/>
    <w:rsid w:val="004316C1"/>
    <w:rsid w:val="00431D02"/>
    <w:rsid w:val="00434968"/>
    <w:rsid w:val="0043591E"/>
    <w:rsid w:val="0044086E"/>
    <w:rsid w:val="004418D6"/>
    <w:rsid w:val="00446048"/>
    <w:rsid w:val="00446472"/>
    <w:rsid w:val="00446B02"/>
    <w:rsid w:val="00456BE3"/>
    <w:rsid w:val="00456C3D"/>
    <w:rsid w:val="00456D12"/>
    <w:rsid w:val="00461369"/>
    <w:rsid w:val="0046175B"/>
    <w:rsid w:val="00461A01"/>
    <w:rsid w:val="00461C04"/>
    <w:rsid w:val="0046332F"/>
    <w:rsid w:val="00466222"/>
    <w:rsid w:val="0047047E"/>
    <w:rsid w:val="004704CB"/>
    <w:rsid w:val="004710A9"/>
    <w:rsid w:val="00472545"/>
    <w:rsid w:val="00474474"/>
    <w:rsid w:val="00477CDB"/>
    <w:rsid w:val="0048020B"/>
    <w:rsid w:val="00481A3A"/>
    <w:rsid w:val="00481AB6"/>
    <w:rsid w:val="00481D53"/>
    <w:rsid w:val="0048356C"/>
    <w:rsid w:val="00485736"/>
    <w:rsid w:val="00486B3C"/>
    <w:rsid w:val="004A479C"/>
    <w:rsid w:val="004A5C37"/>
    <w:rsid w:val="004A5DA9"/>
    <w:rsid w:val="004A5DB1"/>
    <w:rsid w:val="004B169D"/>
    <w:rsid w:val="004B7827"/>
    <w:rsid w:val="004C0381"/>
    <w:rsid w:val="004C0F84"/>
    <w:rsid w:val="004C2057"/>
    <w:rsid w:val="004C45F2"/>
    <w:rsid w:val="004D002B"/>
    <w:rsid w:val="004D154C"/>
    <w:rsid w:val="004D1B45"/>
    <w:rsid w:val="004D27BB"/>
    <w:rsid w:val="004D4F39"/>
    <w:rsid w:val="004D68E8"/>
    <w:rsid w:val="004E0406"/>
    <w:rsid w:val="004E4352"/>
    <w:rsid w:val="004E4DE7"/>
    <w:rsid w:val="004E69BB"/>
    <w:rsid w:val="004E7DAB"/>
    <w:rsid w:val="004F2661"/>
    <w:rsid w:val="004F43C9"/>
    <w:rsid w:val="004F57AA"/>
    <w:rsid w:val="004F6755"/>
    <w:rsid w:val="004F6942"/>
    <w:rsid w:val="005017B5"/>
    <w:rsid w:val="00502711"/>
    <w:rsid w:val="005073C3"/>
    <w:rsid w:val="00507D04"/>
    <w:rsid w:val="0051047E"/>
    <w:rsid w:val="005136CD"/>
    <w:rsid w:val="005140C5"/>
    <w:rsid w:val="00514CC1"/>
    <w:rsid w:val="0051685E"/>
    <w:rsid w:val="00523A0E"/>
    <w:rsid w:val="005251FA"/>
    <w:rsid w:val="00525525"/>
    <w:rsid w:val="00527049"/>
    <w:rsid w:val="00527052"/>
    <w:rsid w:val="00527A00"/>
    <w:rsid w:val="00533F56"/>
    <w:rsid w:val="0053514A"/>
    <w:rsid w:val="00537F9E"/>
    <w:rsid w:val="005409C2"/>
    <w:rsid w:val="0054124F"/>
    <w:rsid w:val="005425D8"/>
    <w:rsid w:val="0054372F"/>
    <w:rsid w:val="005438BE"/>
    <w:rsid w:val="00543D59"/>
    <w:rsid w:val="00544080"/>
    <w:rsid w:val="00544480"/>
    <w:rsid w:val="005507ED"/>
    <w:rsid w:val="00552108"/>
    <w:rsid w:val="00557131"/>
    <w:rsid w:val="00560B82"/>
    <w:rsid w:val="005621F4"/>
    <w:rsid w:val="00562A7F"/>
    <w:rsid w:val="005651D3"/>
    <w:rsid w:val="005653AD"/>
    <w:rsid w:val="00565B42"/>
    <w:rsid w:val="00571CAE"/>
    <w:rsid w:val="00573670"/>
    <w:rsid w:val="00586070"/>
    <w:rsid w:val="005866B5"/>
    <w:rsid w:val="00587D24"/>
    <w:rsid w:val="00592724"/>
    <w:rsid w:val="005A26D3"/>
    <w:rsid w:val="005A3D6E"/>
    <w:rsid w:val="005A4222"/>
    <w:rsid w:val="005B1BC6"/>
    <w:rsid w:val="005B21A8"/>
    <w:rsid w:val="005B2DE5"/>
    <w:rsid w:val="005B3EFE"/>
    <w:rsid w:val="005B794F"/>
    <w:rsid w:val="005B7A11"/>
    <w:rsid w:val="005C1546"/>
    <w:rsid w:val="005C23C8"/>
    <w:rsid w:val="005C4CB8"/>
    <w:rsid w:val="005C4D98"/>
    <w:rsid w:val="005C4DB4"/>
    <w:rsid w:val="005C63DB"/>
    <w:rsid w:val="005C683B"/>
    <w:rsid w:val="005C6D91"/>
    <w:rsid w:val="005C7B26"/>
    <w:rsid w:val="005D362D"/>
    <w:rsid w:val="005D7B67"/>
    <w:rsid w:val="005E08D5"/>
    <w:rsid w:val="005E2125"/>
    <w:rsid w:val="005E333A"/>
    <w:rsid w:val="005E3D9D"/>
    <w:rsid w:val="005E4379"/>
    <w:rsid w:val="005F1BB9"/>
    <w:rsid w:val="005F3F80"/>
    <w:rsid w:val="005F570B"/>
    <w:rsid w:val="005F629C"/>
    <w:rsid w:val="005F7B6C"/>
    <w:rsid w:val="00601631"/>
    <w:rsid w:val="00602A74"/>
    <w:rsid w:val="00602AC5"/>
    <w:rsid w:val="00603F40"/>
    <w:rsid w:val="00604C94"/>
    <w:rsid w:val="00605337"/>
    <w:rsid w:val="00606331"/>
    <w:rsid w:val="00607D42"/>
    <w:rsid w:val="006142AF"/>
    <w:rsid w:val="006169BC"/>
    <w:rsid w:val="006210F0"/>
    <w:rsid w:val="0062343A"/>
    <w:rsid w:val="00624368"/>
    <w:rsid w:val="00625701"/>
    <w:rsid w:val="00625859"/>
    <w:rsid w:val="00625D93"/>
    <w:rsid w:val="00626E7F"/>
    <w:rsid w:val="00631211"/>
    <w:rsid w:val="0063217D"/>
    <w:rsid w:val="0063371E"/>
    <w:rsid w:val="00633EC3"/>
    <w:rsid w:val="0063443F"/>
    <w:rsid w:val="006364C7"/>
    <w:rsid w:val="00637B0D"/>
    <w:rsid w:val="006403C9"/>
    <w:rsid w:val="00641615"/>
    <w:rsid w:val="00642ABC"/>
    <w:rsid w:val="00646397"/>
    <w:rsid w:val="00647C55"/>
    <w:rsid w:val="00647C89"/>
    <w:rsid w:val="006547CE"/>
    <w:rsid w:val="00663ED6"/>
    <w:rsid w:val="006678EF"/>
    <w:rsid w:val="00670652"/>
    <w:rsid w:val="0067313E"/>
    <w:rsid w:val="00680852"/>
    <w:rsid w:val="0068305A"/>
    <w:rsid w:val="0068394C"/>
    <w:rsid w:val="006841D9"/>
    <w:rsid w:val="00686EBA"/>
    <w:rsid w:val="00691A87"/>
    <w:rsid w:val="006940F9"/>
    <w:rsid w:val="00695700"/>
    <w:rsid w:val="0069573D"/>
    <w:rsid w:val="00696DAB"/>
    <w:rsid w:val="006A416F"/>
    <w:rsid w:val="006B1B80"/>
    <w:rsid w:val="006B1EE6"/>
    <w:rsid w:val="006B2732"/>
    <w:rsid w:val="006C4DCF"/>
    <w:rsid w:val="006C5DF3"/>
    <w:rsid w:val="006C66F4"/>
    <w:rsid w:val="006C676F"/>
    <w:rsid w:val="006C6B78"/>
    <w:rsid w:val="006D16CE"/>
    <w:rsid w:val="006D298F"/>
    <w:rsid w:val="006D5E10"/>
    <w:rsid w:val="006D75B4"/>
    <w:rsid w:val="006E0338"/>
    <w:rsid w:val="006E17AF"/>
    <w:rsid w:val="006E3936"/>
    <w:rsid w:val="006E5E60"/>
    <w:rsid w:val="006E76AB"/>
    <w:rsid w:val="006F0853"/>
    <w:rsid w:val="006F0BC9"/>
    <w:rsid w:val="006F1789"/>
    <w:rsid w:val="006F4BFA"/>
    <w:rsid w:val="00700F29"/>
    <w:rsid w:val="00701BF6"/>
    <w:rsid w:val="00701CB5"/>
    <w:rsid w:val="007042A3"/>
    <w:rsid w:val="007069BF"/>
    <w:rsid w:val="00706C65"/>
    <w:rsid w:val="00714324"/>
    <w:rsid w:val="0071453B"/>
    <w:rsid w:val="00717F8F"/>
    <w:rsid w:val="007205C2"/>
    <w:rsid w:val="007229A6"/>
    <w:rsid w:val="007278E9"/>
    <w:rsid w:val="00730D93"/>
    <w:rsid w:val="00731583"/>
    <w:rsid w:val="00731A0E"/>
    <w:rsid w:val="00731AF3"/>
    <w:rsid w:val="00732F64"/>
    <w:rsid w:val="00735593"/>
    <w:rsid w:val="00736533"/>
    <w:rsid w:val="0073704E"/>
    <w:rsid w:val="007370FD"/>
    <w:rsid w:val="0074025F"/>
    <w:rsid w:val="00740429"/>
    <w:rsid w:val="0074044B"/>
    <w:rsid w:val="007414BE"/>
    <w:rsid w:val="00741854"/>
    <w:rsid w:val="00743619"/>
    <w:rsid w:val="00744F54"/>
    <w:rsid w:val="0074625B"/>
    <w:rsid w:val="00751678"/>
    <w:rsid w:val="00752E4F"/>
    <w:rsid w:val="0075377E"/>
    <w:rsid w:val="00760E23"/>
    <w:rsid w:val="00761A49"/>
    <w:rsid w:val="0076422A"/>
    <w:rsid w:val="00764764"/>
    <w:rsid w:val="0076558D"/>
    <w:rsid w:val="00765B34"/>
    <w:rsid w:val="007666D3"/>
    <w:rsid w:val="00766A2D"/>
    <w:rsid w:val="00766BBB"/>
    <w:rsid w:val="007675FB"/>
    <w:rsid w:val="007718ED"/>
    <w:rsid w:val="00771BD1"/>
    <w:rsid w:val="00772E32"/>
    <w:rsid w:val="00773F64"/>
    <w:rsid w:val="007819C6"/>
    <w:rsid w:val="00781D39"/>
    <w:rsid w:val="0078322B"/>
    <w:rsid w:val="007834B7"/>
    <w:rsid w:val="00784BD1"/>
    <w:rsid w:val="00784F90"/>
    <w:rsid w:val="0078584E"/>
    <w:rsid w:val="00786846"/>
    <w:rsid w:val="00786F5A"/>
    <w:rsid w:val="00791C37"/>
    <w:rsid w:val="007920C3"/>
    <w:rsid w:val="00792EFB"/>
    <w:rsid w:val="00793735"/>
    <w:rsid w:val="00795DD2"/>
    <w:rsid w:val="00797A1D"/>
    <w:rsid w:val="007A088E"/>
    <w:rsid w:val="007A0B64"/>
    <w:rsid w:val="007A4852"/>
    <w:rsid w:val="007A4A51"/>
    <w:rsid w:val="007A56D7"/>
    <w:rsid w:val="007A60E3"/>
    <w:rsid w:val="007B00BC"/>
    <w:rsid w:val="007B235F"/>
    <w:rsid w:val="007B3208"/>
    <w:rsid w:val="007B3A25"/>
    <w:rsid w:val="007B3DA2"/>
    <w:rsid w:val="007B4D5D"/>
    <w:rsid w:val="007B5E8C"/>
    <w:rsid w:val="007B79B6"/>
    <w:rsid w:val="007C026C"/>
    <w:rsid w:val="007C1450"/>
    <w:rsid w:val="007C278F"/>
    <w:rsid w:val="007C40CF"/>
    <w:rsid w:val="007C64C9"/>
    <w:rsid w:val="007C730A"/>
    <w:rsid w:val="007C751D"/>
    <w:rsid w:val="007D0725"/>
    <w:rsid w:val="007D101D"/>
    <w:rsid w:val="007D27F7"/>
    <w:rsid w:val="007D3C85"/>
    <w:rsid w:val="007D67F6"/>
    <w:rsid w:val="007E2531"/>
    <w:rsid w:val="007E3D3F"/>
    <w:rsid w:val="007E424F"/>
    <w:rsid w:val="007E486F"/>
    <w:rsid w:val="007E5A4F"/>
    <w:rsid w:val="007F0D73"/>
    <w:rsid w:val="007F2A65"/>
    <w:rsid w:val="007F33F3"/>
    <w:rsid w:val="007F6F2D"/>
    <w:rsid w:val="007F78CB"/>
    <w:rsid w:val="007F7DEB"/>
    <w:rsid w:val="00800A23"/>
    <w:rsid w:val="008034BD"/>
    <w:rsid w:val="0080402F"/>
    <w:rsid w:val="00811B3B"/>
    <w:rsid w:val="008179FB"/>
    <w:rsid w:val="00817BF8"/>
    <w:rsid w:val="00821092"/>
    <w:rsid w:val="00821DA6"/>
    <w:rsid w:val="0082482F"/>
    <w:rsid w:val="00827ED9"/>
    <w:rsid w:val="00831D55"/>
    <w:rsid w:val="00833016"/>
    <w:rsid w:val="00835A87"/>
    <w:rsid w:val="00836754"/>
    <w:rsid w:val="00836BC1"/>
    <w:rsid w:val="00840126"/>
    <w:rsid w:val="0084064C"/>
    <w:rsid w:val="00842212"/>
    <w:rsid w:val="00842741"/>
    <w:rsid w:val="00844887"/>
    <w:rsid w:val="008448FA"/>
    <w:rsid w:val="0084560E"/>
    <w:rsid w:val="00845C3C"/>
    <w:rsid w:val="00847F97"/>
    <w:rsid w:val="00851BF6"/>
    <w:rsid w:val="008551FB"/>
    <w:rsid w:val="0086240D"/>
    <w:rsid w:val="00862CDF"/>
    <w:rsid w:val="0086447B"/>
    <w:rsid w:val="00865F34"/>
    <w:rsid w:val="0086679B"/>
    <w:rsid w:val="0087146F"/>
    <w:rsid w:val="00873DC2"/>
    <w:rsid w:val="00874FE1"/>
    <w:rsid w:val="00875018"/>
    <w:rsid w:val="008756FD"/>
    <w:rsid w:val="00876542"/>
    <w:rsid w:val="00877A8F"/>
    <w:rsid w:val="00883559"/>
    <w:rsid w:val="00884E92"/>
    <w:rsid w:val="0088637B"/>
    <w:rsid w:val="0088753A"/>
    <w:rsid w:val="00895338"/>
    <w:rsid w:val="008A0CD1"/>
    <w:rsid w:val="008A1311"/>
    <w:rsid w:val="008A1E91"/>
    <w:rsid w:val="008A20EE"/>
    <w:rsid w:val="008A27D1"/>
    <w:rsid w:val="008A552E"/>
    <w:rsid w:val="008A616B"/>
    <w:rsid w:val="008B05A8"/>
    <w:rsid w:val="008B18AF"/>
    <w:rsid w:val="008B353B"/>
    <w:rsid w:val="008B465E"/>
    <w:rsid w:val="008B57B0"/>
    <w:rsid w:val="008B6B85"/>
    <w:rsid w:val="008B6F87"/>
    <w:rsid w:val="008B7CDC"/>
    <w:rsid w:val="008C26B7"/>
    <w:rsid w:val="008C2C26"/>
    <w:rsid w:val="008C3D64"/>
    <w:rsid w:val="008C4C9E"/>
    <w:rsid w:val="008D2C50"/>
    <w:rsid w:val="008D36F0"/>
    <w:rsid w:val="008D3803"/>
    <w:rsid w:val="008D3AD5"/>
    <w:rsid w:val="008D43E5"/>
    <w:rsid w:val="008E13F5"/>
    <w:rsid w:val="008E4AD9"/>
    <w:rsid w:val="008E54C6"/>
    <w:rsid w:val="008E59AB"/>
    <w:rsid w:val="008F0A3A"/>
    <w:rsid w:val="008F4EF8"/>
    <w:rsid w:val="00901592"/>
    <w:rsid w:val="009043DB"/>
    <w:rsid w:val="00906534"/>
    <w:rsid w:val="00906946"/>
    <w:rsid w:val="00911C8A"/>
    <w:rsid w:val="00913B6D"/>
    <w:rsid w:val="0091417F"/>
    <w:rsid w:val="00915409"/>
    <w:rsid w:val="00915CA1"/>
    <w:rsid w:val="00916CB1"/>
    <w:rsid w:val="00917F66"/>
    <w:rsid w:val="00920342"/>
    <w:rsid w:val="00934024"/>
    <w:rsid w:val="00936159"/>
    <w:rsid w:val="00940666"/>
    <w:rsid w:val="00943E7C"/>
    <w:rsid w:val="00947657"/>
    <w:rsid w:val="00947FEE"/>
    <w:rsid w:val="00951E08"/>
    <w:rsid w:val="009528B3"/>
    <w:rsid w:val="00953A42"/>
    <w:rsid w:val="00956ADA"/>
    <w:rsid w:val="00956C64"/>
    <w:rsid w:val="00957635"/>
    <w:rsid w:val="00960AA8"/>
    <w:rsid w:val="00960BEE"/>
    <w:rsid w:val="0096417A"/>
    <w:rsid w:val="0096612D"/>
    <w:rsid w:val="00970383"/>
    <w:rsid w:val="009717F1"/>
    <w:rsid w:val="00971D78"/>
    <w:rsid w:val="00972CA4"/>
    <w:rsid w:val="009732BB"/>
    <w:rsid w:val="009737FA"/>
    <w:rsid w:val="009739B0"/>
    <w:rsid w:val="009748FA"/>
    <w:rsid w:val="00974F6D"/>
    <w:rsid w:val="00975686"/>
    <w:rsid w:val="0097596A"/>
    <w:rsid w:val="00977A3D"/>
    <w:rsid w:val="00983B21"/>
    <w:rsid w:val="00984D95"/>
    <w:rsid w:val="00985E51"/>
    <w:rsid w:val="00986647"/>
    <w:rsid w:val="00992EB2"/>
    <w:rsid w:val="00994525"/>
    <w:rsid w:val="00995886"/>
    <w:rsid w:val="009A045F"/>
    <w:rsid w:val="009A313E"/>
    <w:rsid w:val="009A3829"/>
    <w:rsid w:val="009A5211"/>
    <w:rsid w:val="009A548E"/>
    <w:rsid w:val="009A58E5"/>
    <w:rsid w:val="009A6DCE"/>
    <w:rsid w:val="009A7531"/>
    <w:rsid w:val="009B5028"/>
    <w:rsid w:val="009B6201"/>
    <w:rsid w:val="009B6D2A"/>
    <w:rsid w:val="009C09CA"/>
    <w:rsid w:val="009C106B"/>
    <w:rsid w:val="009C577F"/>
    <w:rsid w:val="009D0EAA"/>
    <w:rsid w:val="009D355A"/>
    <w:rsid w:val="009D41FE"/>
    <w:rsid w:val="009D5C2D"/>
    <w:rsid w:val="009D73F2"/>
    <w:rsid w:val="009E4BDA"/>
    <w:rsid w:val="009E7B88"/>
    <w:rsid w:val="009F3ED9"/>
    <w:rsid w:val="009F531D"/>
    <w:rsid w:val="009F5625"/>
    <w:rsid w:val="009F6A7B"/>
    <w:rsid w:val="00A002AD"/>
    <w:rsid w:val="00A004FB"/>
    <w:rsid w:val="00A033B7"/>
    <w:rsid w:val="00A107CC"/>
    <w:rsid w:val="00A14B06"/>
    <w:rsid w:val="00A15049"/>
    <w:rsid w:val="00A1567B"/>
    <w:rsid w:val="00A209A0"/>
    <w:rsid w:val="00A23A52"/>
    <w:rsid w:val="00A24681"/>
    <w:rsid w:val="00A26A4D"/>
    <w:rsid w:val="00A26C90"/>
    <w:rsid w:val="00A33402"/>
    <w:rsid w:val="00A4285F"/>
    <w:rsid w:val="00A42F23"/>
    <w:rsid w:val="00A47A1E"/>
    <w:rsid w:val="00A50499"/>
    <w:rsid w:val="00A50DFB"/>
    <w:rsid w:val="00A545A5"/>
    <w:rsid w:val="00A61DE6"/>
    <w:rsid w:val="00A6289A"/>
    <w:rsid w:val="00A640D5"/>
    <w:rsid w:val="00A64C97"/>
    <w:rsid w:val="00A65A00"/>
    <w:rsid w:val="00A66D77"/>
    <w:rsid w:val="00A67958"/>
    <w:rsid w:val="00A67A8B"/>
    <w:rsid w:val="00A7039B"/>
    <w:rsid w:val="00A70C97"/>
    <w:rsid w:val="00A726DD"/>
    <w:rsid w:val="00A8146A"/>
    <w:rsid w:val="00A84758"/>
    <w:rsid w:val="00A90583"/>
    <w:rsid w:val="00A90F43"/>
    <w:rsid w:val="00A91CF3"/>
    <w:rsid w:val="00A9205A"/>
    <w:rsid w:val="00A93C95"/>
    <w:rsid w:val="00A952DD"/>
    <w:rsid w:val="00AA2EBD"/>
    <w:rsid w:val="00AA3378"/>
    <w:rsid w:val="00AA67C5"/>
    <w:rsid w:val="00AA6CEA"/>
    <w:rsid w:val="00AB44A7"/>
    <w:rsid w:val="00AB5289"/>
    <w:rsid w:val="00AB5D33"/>
    <w:rsid w:val="00AB610D"/>
    <w:rsid w:val="00AB74F2"/>
    <w:rsid w:val="00AC2D73"/>
    <w:rsid w:val="00AC50E4"/>
    <w:rsid w:val="00AC7456"/>
    <w:rsid w:val="00AD09F8"/>
    <w:rsid w:val="00AD0EFA"/>
    <w:rsid w:val="00AD2B58"/>
    <w:rsid w:val="00AD5E94"/>
    <w:rsid w:val="00AD6763"/>
    <w:rsid w:val="00AE0E25"/>
    <w:rsid w:val="00AE3498"/>
    <w:rsid w:val="00AE4BC0"/>
    <w:rsid w:val="00AE4D2C"/>
    <w:rsid w:val="00AE59EE"/>
    <w:rsid w:val="00AE5C10"/>
    <w:rsid w:val="00AE7088"/>
    <w:rsid w:val="00B007F2"/>
    <w:rsid w:val="00B01E1B"/>
    <w:rsid w:val="00B0262A"/>
    <w:rsid w:val="00B02A78"/>
    <w:rsid w:val="00B02BD2"/>
    <w:rsid w:val="00B03D98"/>
    <w:rsid w:val="00B04161"/>
    <w:rsid w:val="00B07352"/>
    <w:rsid w:val="00B101B9"/>
    <w:rsid w:val="00B11130"/>
    <w:rsid w:val="00B11950"/>
    <w:rsid w:val="00B11CA2"/>
    <w:rsid w:val="00B1256A"/>
    <w:rsid w:val="00B12B4A"/>
    <w:rsid w:val="00B15B1D"/>
    <w:rsid w:val="00B169A4"/>
    <w:rsid w:val="00B20E50"/>
    <w:rsid w:val="00B21AEC"/>
    <w:rsid w:val="00B225AD"/>
    <w:rsid w:val="00B35831"/>
    <w:rsid w:val="00B36E90"/>
    <w:rsid w:val="00B37D1A"/>
    <w:rsid w:val="00B401B6"/>
    <w:rsid w:val="00B442BE"/>
    <w:rsid w:val="00B44BB0"/>
    <w:rsid w:val="00B453E9"/>
    <w:rsid w:val="00B457A3"/>
    <w:rsid w:val="00B50FEB"/>
    <w:rsid w:val="00B51C22"/>
    <w:rsid w:val="00B51DFD"/>
    <w:rsid w:val="00B51FB5"/>
    <w:rsid w:val="00B60099"/>
    <w:rsid w:val="00B60E79"/>
    <w:rsid w:val="00B62257"/>
    <w:rsid w:val="00B63604"/>
    <w:rsid w:val="00B65A02"/>
    <w:rsid w:val="00B70E3C"/>
    <w:rsid w:val="00B7208D"/>
    <w:rsid w:val="00B74C7F"/>
    <w:rsid w:val="00B7748F"/>
    <w:rsid w:val="00B77FB5"/>
    <w:rsid w:val="00B80199"/>
    <w:rsid w:val="00B80B9C"/>
    <w:rsid w:val="00B81884"/>
    <w:rsid w:val="00B82890"/>
    <w:rsid w:val="00B831FE"/>
    <w:rsid w:val="00B90FFB"/>
    <w:rsid w:val="00B91BF3"/>
    <w:rsid w:val="00B930D9"/>
    <w:rsid w:val="00B975C2"/>
    <w:rsid w:val="00BA2C68"/>
    <w:rsid w:val="00BA3864"/>
    <w:rsid w:val="00BA4A30"/>
    <w:rsid w:val="00BA79CA"/>
    <w:rsid w:val="00BB090C"/>
    <w:rsid w:val="00BB4A3B"/>
    <w:rsid w:val="00BB6310"/>
    <w:rsid w:val="00BB6F28"/>
    <w:rsid w:val="00BC1F11"/>
    <w:rsid w:val="00BC643C"/>
    <w:rsid w:val="00BC6611"/>
    <w:rsid w:val="00BC7793"/>
    <w:rsid w:val="00BD0681"/>
    <w:rsid w:val="00BD5FEA"/>
    <w:rsid w:val="00BD6321"/>
    <w:rsid w:val="00BD637B"/>
    <w:rsid w:val="00BD650C"/>
    <w:rsid w:val="00BD672C"/>
    <w:rsid w:val="00BE0000"/>
    <w:rsid w:val="00BE0124"/>
    <w:rsid w:val="00BE0758"/>
    <w:rsid w:val="00BE48E7"/>
    <w:rsid w:val="00BF0699"/>
    <w:rsid w:val="00BF2316"/>
    <w:rsid w:val="00BF2ADA"/>
    <w:rsid w:val="00BF3AC8"/>
    <w:rsid w:val="00BF3CCA"/>
    <w:rsid w:val="00BF559A"/>
    <w:rsid w:val="00BF5683"/>
    <w:rsid w:val="00BF6F93"/>
    <w:rsid w:val="00C02343"/>
    <w:rsid w:val="00C03BFE"/>
    <w:rsid w:val="00C0459B"/>
    <w:rsid w:val="00C04AAC"/>
    <w:rsid w:val="00C05763"/>
    <w:rsid w:val="00C05C66"/>
    <w:rsid w:val="00C06284"/>
    <w:rsid w:val="00C1240D"/>
    <w:rsid w:val="00C125C0"/>
    <w:rsid w:val="00C13671"/>
    <w:rsid w:val="00C1496A"/>
    <w:rsid w:val="00C15BCB"/>
    <w:rsid w:val="00C211AF"/>
    <w:rsid w:val="00C217FC"/>
    <w:rsid w:val="00C23D6C"/>
    <w:rsid w:val="00C26F17"/>
    <w:rsid w:val="00C2715E"/>
    <w:rsid w:val="00C27CFB"/>
    <w:rsid w:val="00C30734"/>
    <w:rsid w:val="00C31598"/>
    <w:rsid w:val="00C337CA"/>
    <w:rsid w:val="00C3398D"/>
    <w:rsid w:val="00C3511A"/>
    <w:rsid w:val="00C35C24"/>
    <w:rsid w:val="00C54310"/>
    <w:rsid w:val="00C55D83"/>
    <w:rsid w:val="00C55DE0"/>
    <w:rsid w:val="00C57D08"/>
    <w:rsid w:val="00C634F1"/>
    <w:rsid w:val="00C730C9"/>
    <w:rsid w:val="00C73927"/>
    <w:rsid w:val="00C767AD"/>
    <w:rsid w:val="00C83426"/>
    <w:rsid w:val="00C85F9D"/>
    <w:rsid w:val="00C867AA"/>
    <w:rsid w:val="00C87925"/>
    <w:rsid w:val="00C903BE"/>
    <w:rsid w:val="00C90A0E"/>
    <w:rsid w:val="00C9162F"/>
    <w:rsid w:val="00C958A3"/>
    <w:rsid w:val="00C978C1"/>
    <w:rsid w:val="00CA3AED"/>
    <w:rsid w:val="00CA41E2"/>
    <w:rsid w:val="00CA7D67"/>
    <w:rsid w:val="00CB0141"/>
    <w:rsid w:val="00CB1605"/>
    <w:rsid w:val="00CB18F4"/>
    <w:rsid w:val="00CB337C"/>
    <w:rsid w:val="00CB5766"/>
    <w:rsid w:val="00CB6500"/>
    <w:rsid w:val="00CC0C9A"/>
    <w:rsid w:val="00CC173E"/>
    <w:rsid w:val="00CC1A27"/>
    <w:rsid w:val="00CC1B85"/>
    <w:rsid w:val="00CC5C9C"/>
    <w:rsid w:val="00CC6189"/>
    <w:rsid w:val="00CC749C"/>
    <w:rsid w:val="00CC7B89"/>
    <w:rsid w:val="00CD3FA6"/>
    <w:rsid w:val="00CD78CE"/>
    <w:rsid w:val="00CD7BAE"/>
    <w:rsid w:val="00CD7DD3"/>
    <w:rsid w:val="00CE22B1"/>
    <w:rsid w:val="00CE2393"/>
    <w:rsid w:val="00CE53FE"/>
    <w:rsid w:val="00CE5708"/>
    <w:rsid w:val="00CE579C"/>
    <w:rsid w:val="00CE5D56"/>
    <w:rsid w:val="00CE6955"/>
    <w:rsid w:val="00CE6A3C"/>
    <w:rsid w:val="00CF0E9F"/>
    <w:rsid w:val="00CF4E2F"/>
    <w:rsid w:val="00CF734A"/>
    <w:rsid w:val="00D00B09"/>
    <w:rsid w:val="00D00E77"/>
    <w:rsid w:val="00D01C21"/>
    <w:rsid w:val="00D027D7"/>
    <w:rsid w:val="00D03A81"/>
    <w:rsid w:val="00D04C91"/>
    <w:rsid w:val="00D04CC2"/>
    <w:rsid w:val="00D04DAF"/>
    <w:rsid w:val="00D073DD"/>
    <w:rsid w:val="00D102B4"/>
    <w:rsid w:val="00D117BD"/>
    <w:rsid w:val="00D1193B"/>
    <w:rsid w:val="00D223F5"/>
    <w:rsid w:val="00D22CB3"/>
    <w:rsid w:val="00D30934"/>
    <w:rsid w:val="00D354EA"/>
    <w:rsid w:val="00D400A7"/>
    <w:rsid w:val="00D40B13"/>
    <w:rsid w:val="00D42ACF"/>
    <w:rsid w:val="00D430F9"/>
    <w:rsid w:val="00D479C8"/>
    <w:rsid w:val="00D5501B"/>
    <w:rsid w:val="00D55245"/>
    <w:rsid w:val="00D55A8D"/>
    <w:rsid w:val="00D640E3"/>
    <w:rsid w:val="00D65AD6"/>
    <w:rsid w:val="00D66D9E"/>
    <w:rsid w:val="00D67A07"/>
    <w:rsid w:val="00D72DD7"/>
    <w:rsid w:val="00D73DD6"/>
    <w:rsid w:val="00D74774"/>
    <w:rsid w:val="00D74A39"/>
    <w:rsid w:val="00D75B98"/>
    <w:rsid w:val="00D75DA7"/>
    <w:rsid w:val="00D75DDF"/>
    <w:rsid w:val="00D76D88"/>
    <w:rsid w:val="00D77586"/>
    <w:rsid w:val="00D83836"/>
    <w:rsid w:val="00D83D47"/>
    <w:rsid w:val="00D84DD9"/>
    <w:rsid w:val="00D851EB"/>
    <w:rsid w:val="00D85569"/>
    <w:rsid w:val="00D8639B"/>
    <w:rsid w:val="00D9146E"/>
    <w:rsid w:val="00D92866"/>
    <w:rsid w:val="00D92D01"/>
    <w:rsid w:val="00D93084"/>
    <w:rsid w:val="00D93233"/>
    <w:rsid w:val="00D93644"/>
    <w:rsid w:val="00DA026F"/>
    <w:rsid w:val="00DA04E4"/>
    <w:rsid w:val="00DA2AF0"/>
    <w:rsid w:val="00DA2C10"/>
    <w:rsid w:val="00DA3EE0"/>
    <w:rsid w:val="00DA4426"/>
    <w:rsid w:val="00DA5634"/>
    <w:rsid w:val="00DA585E"/>
    <w:rsid w:val="00DA59D1"/>
    <w:rsid w:val="00DB06BC"/>
    <w:rsid w:val="00DB37E8"/>
    <w:rsid w:val="00DB59E9"/>
    <w:rsid w:val="00DB6C01"/>
    <w:rsid w:val="00DB7DB3"/>
    <w:rsid w:val="00DC1448"/>
    <w:rsid w:val="00DC1B88"/>
    <w:rsid w:val="00DC26CD"/>
    <w:rsid w:val="00DC4643"/>
    <w:rsid w:val="00DC561B"/>
    <w:rsid w:val="00DC62FA"/>
    <w:rsid w:val="00DC6D9A"/>
    <w:rsid w:val="00DC7839"/>
    <w:rsid w:val="00DD0EBD"/>
    <w:rsid w:val="00DD17EF"/>
    <w:rsid w:val="00DD1969"/>
    <w:rsid w:val="00DD1BEE"/>
    <w:rsid w:val="00DD26F5"/>
    <w:rsid w:val="00DD2ADC"/>
    <w:rsid w:val="00DD4C7D"/>
    <w:rsid w:val="00DE119B"/>
    <w:rsid w:val="00DE1C6F"/>
    <w:rsid w:val="00DE232B"/>
    <w:rsid w:val="00DE6377"/>
    <w:rsid w:val="00DF0104"/>
    <w:rsid w:val="00DF0B5E"/>
    <w:rsid w:val="00DF12CB"/>
    <w:rsid w:val="00DF2CC6"/>
    <w:rsid w:val="00DF45CB"/>
    <w:rsid w:val="00E001AB"/>
    <w:rsid w:val="00E014B7"/>
    <w:rsid w:val="00E01E9A"/>
    <w:rsid w:val="00E025A4"/>
    <w:rsid w:val="00E02F51"/>
    <w:rsid w:val="00E0359A"/>
    <w:rsid w:val="00E05849"/>
    <w:rsid w:val="00E078C6"/>
    <w:rsid w:val="00E13931"/>
    <w:rsid w:val="00E14CE5"/>
    <w:rsid w:val="00E14F24"/>
    <w:rsid w:val="00E179D8"/>
    <w:rsid w:val="00E25C9E"/>
    <w:rsid w:val="00E27946"/>
    <w:rsid w:val="00E27B59"/>
    <w:rsid w:val="00E304B1"/>
    <w:rsid w:val="00E31032"/>
    <w:rsid w:val="00E33DBF"/>
    <w:rsid w:val="00E34F2C"/>
    <w:rsid w:val="00E35B63"/>
    <w:rsid w:val="00E36881"/>
    <w:rsid w:val="00E36E9D"/>
    <w:rsid w:val="00E41D19"/>
    <w:rsid w:val="00E426D5"/>
    <w:rsid w:val="00E43FF1"/>
    <w:rsid w:val="00E4619F"/>
    <w:rsid w:val="00E5299A"/>
    <w:rsid w:val="00E52C20"/>
    <w:rsid w:val="00E57D1B"/>
    <w:rsid w:val="00E602ED"/>
    <w:rsid w:val="00E7020D"/>
    <w:rsid w:val="00E722D5"/>
    <w:rsid w:val="00E74A1E"/>
    <w:rsid w:val="00E761D2"/>
    <w:rsid w:val="00E81CE0"/>
    <w:rsid w:val="00E83D1E"/>
    <w:rsid w:val="00E848CF"/>
    <w:rsid w:val="00E8591D"/>
    <w:rsid w:val="00E85E13"/>
    <w:rsid w:val="00E91FD8"/>
    <w:rsid w:val="00E92FB8"/>
    <w:rsid w:val="00E967F7"/>
    <w:rsid w:val="00EA2229"/>
    <w:rsid w:val="00EA2538"/>
    <w:rsid w:val="00EA2A76"/>
    <w:rsid w:val="00EA6014"/>
    <w:rsid w:val="00EB1202"/>
    <w:rsid w:val="00EB12B8"/>
    <w:rsid w:val="00EB19E6"/>
    <w:rsid w:val="00EB2458"/>
    <w:rsid w:val="00EB2F33"/>
    <w:rsid w:val="00EB3232"/>
    <w:rsid w:val="00EB6885"/>
    <w:rsid w:val="00EB744F"/>
    <w:rsid w:val="00EC70AF"/>
    <w:rsid w:val="00EC79C1"/>
    <w:rsid w:val="00ED198A"/>
    <w:rsid w:val="00ED248B"/>
    <w:rsid w:val="00ED2526"/>
    <w:rsid w:val="00ED2E1F"/>
    <w:rsid w:val="00ED4756"/>
    <w:rsid w:val="00ED507E"/>
    <w:rsid w:val="00ED7B94"/>
    <w:rsid w:val="00EE2FFF"/>
    <w:rsid w:val="00EE4514"/>
    <w:rsid w:val="00EE539D"/>
    <w:rsid w:val="00EF22EF"/>
    <w:rsid w:val="00EF43A9"/>
    <w:rsid w:val="00EF49C3"/>
    <w:rsid w:val="00EF5EC7"/>
    <w:rsid w:val="00F01DB3"/>
    <w:rsid w:val="00F02348"/>
    <w:rsid w:val="00F04221"/>
    <w:rsid w:val="00F045C3"/>
    <w:rsid w:val="00F05CC7"/>
    <w:rsid w:val="00F12BB1"/>
    <w:rsid w:val="00F14658"/>
    <w:rsid w:val="00F15776"/>
    <w:rsid w:val="00F20348"/>
    <w:rsid w:val="00F21131"/>
    <w:rsid w:val="00F22540"/>
    <w:rsid w:val="00F232CB"/>
    <w:rsid w:val="00F2576C"/>
    <w:rsid w:val="00F310CE"/>
    <w:rsid w:val="00F3438F"/>
    <w:rsid w:val="00F34492"/>
    <w:rsid w:val="00F3668A"/>
    <w:rsid w:val="00F37F4F"/>
    <w:rsid w:val="00F411AF"/>
    <w:rsid w:val="00F42D5F"/>
    <w:rsid w:val="00F512D9"/>
    <w:rsid w:val="00F5349A"/>
    <w:rsid w:val="00F60FC2"/>
    <w:rsid w:val="00F63A05"/>
    <w:rsid w:val="00F63EB1"/>
    <w:rsid w:val="00F66054"/>
    <w:rsid w:val="00F6753E"/>
    <w:rsid w:val="00F67D5D"/>
    <w:rsid w:val="00F766F5"/>
    <w:rsid w:val="00F769C8"/>
    <w:rsid w:val="00F76EAB"/>
    <w:rsid w:val="00F8096C"/>
    <w:rsid w:val="00F80DBF"/>
    <w:rsid w:val="00F8369F"/>
    <w:rsid w:val="00F85654"/>
    <w:rsid w:val="00F87E4F"/>
    <w:rsid w:val="00F93B08"/>
    <w:rsid w:val="00F94D71"/>
    <w:rsid w:val="00F96483"/>
    <w:rsid w:val="00F974EE"/>
    <w:rsid w:val="00FA21B7"/>
    <w:rsid w:val="00FA7479"/>
    <w:rsid w:val="00FB10CF"/>
    <w:rsid w:val="00FB10D8"/>
    <w:rsid w:val="00FC0597"/>
    <w:rsid w:val="00FC1580"/>
    <w:rsid w:val="00FC20BE"/>
    <w:rsid w:val="00FC2CB0"/>
    <w:rsid w:val="00FC3071"/>
    <w:rsid w:val="00FC4B50"/>
    <w:rsid w:val="00FC7DF1"/>
    <w:rsid w:val="00FC7F16"/>
    <w:rsid w:val="00FD0818"/>
    <w:rsid w:val="00FE1D18"/>
    <w:rsid w:val="00FE7C33"/>
    <w:rsid w:val="00FF060B"/>
    <w:rsid w:val="00FF39F6"/>
    <w:rsid w:val="00FF4666"/>
    <w:rsid w:val="00FF51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8836"/>
  <w15:docId w15:val="{3C223238-987E-45EE-8E3B-50A8EFCA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denote">
    <w:name w:val="Note Heading"/>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semiHidden/>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paragraph" w:customStyle="1" w:styleId="07atexteprincipal">
    <w:name w:val="07a_texte_principal"/>
    <w:qFormat/>
    <w:rsid w:val="00543D59"/>
    <w:pPr>
      <w:spacing w:before="0" w:after="180" w:line="280" w:lineRule="exact"/>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93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12/585/fr" TargetMode="External"/><Relationship Id="rId18" Type="http://schemas.openxmlformats.org/officeDocument/2006/relationships/hyperlink" Target="https://www.fedlex.admin.ch/eli/fga/2025/565/f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edlex.admin.ch/eli/fga/2025/2891/fr" TargetMode="External"/><Relationship Id="rId7" Type="http://schemas.openxmlformats.org/officeDocument/2006/relationships/settings" Target="settings.xml"/><Relationship Id="rId12" Type="http://schemas.openxmlformats.org/officeDocument/2006/relationships/hyperlink" Target="https://www.fedlex.admin.ch/eli/fga/2025/2891/fr" TargetMode="External"/><Relationship Id="rId17" Type="http://schemas.openxmlformats.org/officeDocument/2006/relationships/hyperlink" Target="https://search.bger.ch/ext/eurospider/live/fr/php/aza/http/index.php?lang=fr&amp;type=show_document&amp;highlight_docid=aza://21-12-2022-2C_170-2022&amp;print=y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relevancy.bger.ch/php/aza/http/index.php?highlight_docid=aza%3A%2F%2F13-06-2024-2C_117-2024&amp;lang=de&amp;type=show_document&amp;zoom=YES&amp;" TargetMode="External"/><Relationship Id="rId20" Type="http://schemas.openxmlformats.org/officeDocument/2006/relationships/hyperlink" Target="https://www.fedlex.admin.ch/eli/fga/2025/2891/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010/262/f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edlex.admin.ch/eli/cc/2012/585/f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dlf.fr.ch/app/fr/texts_of_law/214.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12/586/fr" TargetMode="External"/><Relationship Id="rId22" Type="http://schemas.openxmlformats.org/officeDocument/2006/relationships/hyperlink" Target="https://bdlf.fr.ch/app/fr/texts_of_law/10.1"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restations.vd.ch/pub/blv-publication/actes/consolide/173.36?key=1769445087239&amp;id=e23682d9-8d47-49d8-a8fb-54bfae0c3a2a" TargetMode="External"/><Relationship Id="rId3" Type="http://schemas.openxmlformats.org/officeDocument/2006/relationships/hyperlink" Target="https://silgeneve.ch/legis/program/books/rsg/htm/rsg_d3_05.htm?myd=1769520888139&amp;app=sil" TargetMode="External"/><Relationship Id="rId7" Type="http://schemas.openxmlformats.org/officeDocument/2006/relationships/hyperlink" Target="https://prestations.vd.ch/pub/blv-publication/actes/consolide/173.05?key=1769445141592&amp;id=1467b577-0071-48e7-aba8-1ee771a14188" TargetMode="External"/><Relationship Id="rId2" Type="http://schemas.openxmlformats.org/officeDocument/2006/relationships/hyperlink" Target="https://silgeneve.ch/legis/program/books/rsg/htm/rsg_a2_30.htm?myd=1769520160495&amp;app=sil" TargetMode="External"/><Relationship Id="rId1" Type="http://schemas.openxmlformats.org/officeDocument/2006/relationships/hyperlink" Target="https://ai.clex.ch/app/de/texts_of_law/172.700" TargetMode="External"/><Relationship Id="rId6" Type="http://schemas.openxmlformats.org/officeDocument/2006/relationships/hyperlink" Target="https://rsn.ne.ch/DATA/program/books/rsne/htm/152.130.htm?myD=1769521170994" TargetMode="External"/><Relationship Id="rId5" Type="http://schemas.openxmlformats.org/officeDocument/2006/relationships/hyperlink" Target="https://silgeneve.ch/legis/program/books/rsg/htm/rsg_e5_10.htm?myd=1769520888140&amp;app=sil" TargetMode="External"/><Relationship Id="rId4" Type="http://schemas.openxmlformats.org/officeDocument/2006/relationships/hyperlink" Target="https://silgeneve.ch/legis/program/books/rsg/htm/rsg_d3_17.htm?myd=1769520888139&amp;app=s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customXml/itemProps2.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4.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fr_RGC_.dotx</Template>
  <TotalTime>0</TotalTime>
  <Pages>4</Pages>
  <Words>1803</Words>
  <Characters>10387</Characters>
  <Application>Microsoft Office Word</Application>
  <DocSecurity>4</DocSecurity>
  <Lines>247</Lines>
  <Paragraphs>135</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Semra Kalan</dc:creator>
  <dc:description/>
  <cp:lastModifiedBy>Waeber Pierre-André</cp:lastModifiedBy>
  <cp:revision>2</cp:revision>
  <cp:lastPrinted>2026-02-18T16:30:00Z</cp:lastPrinted>
  <dcterms:created xsi:type="dcterms:W3CDTF">2026-03-31T07:54:00Z</dcterms:created>
  <dcterms:modified xsi:type="dcterms:W3CDTF">2026-03-31T07:54:00Z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