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546B" w14:textId="1EE0356C" w:rsidR="009E1AF4" w:rsidRPr="008A15F9" w:rsidRDefault="00C17504" w:rsidP="00FD0818">
      <w:pPr>
        <w:jc w:val="right"/>
      </w:pPr>
      <w:r w:rsidRPr="008A15F9">
        <w:t>DFIN</w:t>
      </w:r>
      <w:r w:rsidR="009E1AF4" w:rsidRPr="008A15F9">
        <w:t>/</w:t>
      </w:r>
      <w:r w:rsidRPr="008A15F9">
        <w:t>Avant-p</w:t>
      </w:r>
      <w:r w:rsidR="009E1AF4" w:rsidRPr="008A15F9">
        <w:t xml:space="preserve">rojet du </w:t>
      </w:r>
      <w:r w:rsidR="00823A4A" w:rsidRPr="008A15F9">
        <w:rPr>
          <w:highlight w:val="yellow"/>
        </w:rPr>
        <w:t>XX</w:t>
      </w:r>
      <w:r w:rsidRPr="008A15F9">
        <w:t>.03.202</w:t>
      </w:r>
      <w:r w:rsidR="00B34C92" w:rsidRPr="008A15F9">
        <w:t>6</w:t>
      </w:r>
    </w:p>
    <w:p w14:paraId="04C14A8B" w14:textId="7E5E63EB" w:rsidR="009E1AF4" w:rsidRPr="008A15F9" w:rsidRDefault="009E1AF4" w:rsidP="00FC7F16">
      <w:pPr>
        <w:pStyle w:val="05titreprincipalouobjetgras"/>
        <w:tabs>
          <w:tab w:val="right" w:pos="9920"/>
        </w:tabs>
      </w:pPr>
      <w:r w:rsidRPr="008A15F9">
        <w:t>Rapport</w:t>
      </w:r>
      <w:r w:rsidR="008C064E" w:rsidRPr="008A15F9">
        <w:t xml:space="preserve"> explicatif</w:t>
      </w:r>
      <w:r w:rsidRPr="008A15F9">
        <w:t xml:space="preserve"> </w:t>
      </w:r>
      <w:fldSimple w:instr=" COMMENTS &quot;2023-DFIN-54&quot; PATH=Dokument/Geschaeft/*[name()='Geschaeft']/Signatur  \* MERGEFORMAT">
        <w:r w:rsidRPr="008A15F9">
          <w:t>202</w:t>
        </w:r>
        <w:r w:rsidR="00823A4A" w:rsidRPr="008A15F9">
          <w:t>5</w:t>
        </w:r>
        <w:r w:rsidRPr="008A15F9">
          <w:t>-DFIN-</w:t>
        </w:r>
      </w:fldSimple>
      <w:r w:rsidR="007E426B" w:rsidRPr="008A15F9">
        <w:t>38</w:t>
      </w:r>
      <w:r w:rsidRPr="008A15F9">
        <w:tab/>
      </w:r>
      <w:r w:rsidR="00823A4A" w:rsidRPr="008A15F9">
        <w:rPr>
          <w:b w:val="0"/>
          <w:bCs/>
          <w:sz w:val="24"/>
          <w:highlight w:val="yellow"/>
        </w:rPr>
        <w:t>XX</w:t>
      </w:r>
      <w:r w:rsidR="004A2A78" w:rsidRPr="008A15F9">
        <w:rPr>
          <w:b w:val="0"/>
          <w:bCs/>
          <w:sz w:val="24"/>
        </w:rPr>
        <w:t xml:space="preserve"> </w:t>
      </w:r>
      <w:r w:rsidRPr="008A15F9">
        <w:rPr>
          <w:b w:val="0"/>
          <w:bCs/>
          <w:sz w:val="24"/>
        </w:rPr>
        <w:t>m</w:t>
      </w:r>
      <w:r w:rsidR="00C17504" w:rsidRPr="008A15F9">
        <w:rPr>
          <w:b w:val="0"/>
          <w:bCs/>
          <w:sz w:val="24"/>
        </w:rPr>
        <w:t>ar</w:t>
      </w:r>
      <w:r w:rsidRPr="008A15F9">
        <w:rPr>
          <w:b w:val="0"/>
          <w:bCs/>
          <w:sz w:val="24"/>
        </w:rPr>
        <w:t xml:space="preserve">s </w:t>
      </w:r>
      <w:r w:rsidR="00823A4A" w:rsidRPr="008A15F9">
        <w:rPr>
          <w:b w:val="0"/>
          <w:bCs/>
          <w:sz w:val="24"/>
        </w:rPr>
        <w:t>202</w:t>
      </w:r>
      <w:r w:rsidR="00B34C92" w:rsidRPr="008A15F9">
        <w:rPr>
          <w:b w:val="0"/>
          <w:bCs/>
          <w:sz w:val="24"/>
        </w:rPr>
        <w:t>6</w:t>
      </w:r>
    </w:p>
    <w:p w14:paraId="0655566B" w14:textId="77777777" w:rsidR="009E1AF4" w:rsidRPr="008A15F9" w:rsidRDefault="009E1AF4" w:rsidP="000000BC">
      <w:pPr>
        <w:pStyle w:val="05titreprincipalouobjetgras"/>
      </w:pPr>
      <w:r w:rsidRPr="008A15F9">
        <w:t>—</w:t>
      </w:r>
    </w:p>
    <w:p w14:paraId="12E108E3" w14:textId="2047995D" w:rsidR="009E1AF4" w:rsidRPr="008A15F9" w:rsidRDefault="009E1AF4" w:rsidP="00461369">
      <w:pPr>
        <w:pStyle w:val="04titreprincipalouobjetnormal"/>
      </w:pPr>
      <w:fldSimple w:instr=" COMMENTS &quot;LICD 2025 : révision&quot; PATH=Dokument/Geschaeft/*[name()='Geschaeft']/Titel  \* MERGEFORMAT">
        <w:r w:rsidRPr="008A15F9">
          <w:rPr>
            <w:rFonts w:cs="Arial"/>
          </w:rPr>
          <w:t>LICD 202</w:t>
        </w:r>
        <w:r w:rsidR="00B34C92" w:rsidRPr="008A15F9">
          <w:rPr>
            <w:rFonts w:cs="Arial"/>
          </w:rPr>
          <w:t>7</w:t>
        </w:r>
        <w:r w:rsidRPr="008A15F9">
          <w:rPr>
            <w:rFonts w:cs="Arial"/>
          </w:rPr>
          <w:t xml:space="preserve"> : révision</w:t>
        </w:r>
      </w:fldSimple>
    </w:p>
    <w:p w14:paraId="3F9214F3" w14:textId="62ABCC7D" w:rsidR="00C17504" w:rsidRPr="008A15F9" w:rsidRDefault="00C17504" w:rsidP="00C17504">
      <w:pPr>
        <w:rPr>
          <w:i/>
          <w:iCs/>
        </w:rPr>
      </w:pPr>
      <w:r w:rsidRPr="008A15F9">
        <w:rPr>
          <w:i/>
          <w:iCs/>
        </w:rPr>
        <w:t xml:space="preserve">Nous vous soumettons en consultation un avant-projet de loi modifiant la loi </w:t>
      </w:r>
      <w:r w:rsidR="00C61304" w:rsidRPr="008A15F9">
        <w:rPr>
          <w:i/>
          <w:iCs/>
        </w:rPr>
        <w:t xml:space="preserve">du 6 juin 2000 </w:t>
      </w:r>
      <w:r w:rsidRPr="008A15F9">
        <w:rPr>
          <w:i/>
          <w:iCs/>
        </w:rPr>
        <w:t>sur les impôts cantonaux directs</w:t>
      </w:r>
      <w:r w:rsidR="00550E6A" w:rsidRPr="008A15F9">
        <w:rPr>
          <w:i/>
          <w:iCs/>
        </w:rPr>
        <w:t xml:space="preserve"> (LICD – RSF 631.1)</w:t>
      </w:r>
      <w:r w:rsidRPr="008A15F9">
        <w:rPr>
          <w:i/>
          <w:iCs/>
        </w:rPr>
        <w:t xml:space="preserve">. Après une brève introduction, le rapport explique les motifs, l’étendue et les conséquences de la révision. Il commente également les dispositions modifiées. </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5810108A" w14:textId="21CDA2E6" w:rsidR="009E1AF4" w:rsidRPr="008A15F9" w:rsidRDefault="009E1AF4" w:rsidP="009815F2">
          <w:pPr>
            <w:pStyle w:val="En-ttedetabledesmatires"/>
            <w:tabs>
              <w:tab w:val="left" w:pos="3585"/>
            </w:tabs>
            <w:spacing w:before="360"/>
          </w:pPr>
          <w:r w:rsidRPr="008A15F9">
            <w:t>Table des matières</w:t>
          </w:r>
          <w:r w:rsidR="009815F2" w:rsidRPr="008A15F9">
            <w:tab/>
          </w:r>
        </w:p>
        <w:p w14:paraId="7B576EAC" w14:textId="77777777" w:rsidR="009E1AF4" w:rsidRPr="008A15F9" w:rsidRDefault="009E1AF4" w:rsidP="00FD0818">
          <w:pPr>
            <w:pStyle w:val="Tiret"/>
          </w:pPr>
          <w:r w:rsidRPr="008A15F9">
            <w:t>—</w:t>
          </w:r>
        </w:p>
        <w:p w14:paraId="00DC1528" w14:textId="4D792425" w:rsidR="005808F3" w:rsidRDefault="009E1AF4">
          <w:pPr>
            <w:pStyle w:val="TM1"/>
            <w:rPr>
              <w:rFonts w:asciiTheme="minorHAnsi" w:eastAsiaTheme="minorEastAsia" w:hAnsiTheme="minorHAnsi"/>
              <w:b w:val="0"/>
              <w:kern w:val="2"/>
              <w:sz w:val="24"/>
              <w:szCs w:val="24"/>
              <w:lang w:eastAsia="fr-CH"/>
              <w14:ligatures w14:val="standardContextual"/>
            </w:rPr>
          </w:pPr>
          <w:r w:rsidRPr="008A15F9">
            <w:rPr>
              <w:color w:val="009581" w:themeColor="accent3"/>
            </w:rPr>
            <w:fldChar w:fldCharType="begin"/>
          </w:r>
          <w:r w:rsidRPr="008A15F9">
            <w:instrText xml:space="preserve"> TOC \o "1-3" \h \z \u </w:instrText>
          </w:r>
          <w:r w:rsidRPr="008A15F9">
            <w:rPr>
              <w:color w:val="009581" w:themeColor="accent3"/>
            </w:rPr>
            <w:fldChar w:fldCharType="separate"/>
          </w:r>
          <w:hyperlink w:anchor="_Toc223004303" w:history="1">
            <w:r w:rsidR="005808F3" w:rsidRPr="00F30A36">
              <w:rPr>
                <w:rStyle w:val="Lienhypertexte"/>
              </w:rPr>
              <w:t>1</w:t>
            </w:r>
            <w:r w:rsidR="005808F3">
              <w:rPr>
                <w:rFonts w:asciiTheme="minorHAnsi" w:eastAsiaTheme="minorEastAsia" w:hAnsiTheme="minorHAnsi"/>
                <w:b w:val="0"/>
                <w:kern w:val="2"/>
                <w:sz w:val="24"/>
                <w:szCs w:val="24"/>
                <w:lang w:eastAsia="fr-CH"/>
                <w14:ligatures w14:val="standardContextual"/>
              </w:rPr>
              <w:tab/>
            </w:r>
            <w:r w:rsidR="005808F3" w:rsidRPr="00F30A36">
              <w:rPr>
                <w:rStyle w:val="Lienhypertexte"/>
              </w:rPr>
              <w:t>Introduction</w:t>
            </w:r>
            <w:r w:rsidR="005808F3">
              <w:rPr>
                <w:webHidden/>
              </w:rPr>
              <w:tab/>
            </w:r>
            <w:r w:rsidR="005808F3">
              <w:rPr>
                <w:webHidden/>
              </w:rPr>
              <w:fldChar w:fldCharType="begin"/>
            </w:r>
            <w:r w:rsidR="005808F3">
              <w:rPr>
                <w:webHidden/>
              </w:rPr>
              <w:instrText xml:space="preserve"> PAGEREF _Toc223004303 \h </w:instrText>
            </w:r>
            <w:r w:rsidR="005808F3">
              <w:rPr>
                <w:webHidden/>
              </w:rPr>
            </w:r>
            <w:r w:rsidR="005808F3">
              <w:rPr>
                <w:webHidden/>
              </w:rPr>
              <w:fldChar w:fldCharType="separate"/>
            </w:r>
            <w:r w:rsidR="003F30EA">
              <w:rPr>
                <w:webHidden/>
              </w:rPr>
              <w:t>1</w:t>
            </w:r>
            <w:r w:rsidR="005808F3">
              <w:rPr>
                <w:webHidden/>
              </w:rPr>
              <w:fldChar w:fldCharType="end"/>
            </w:r>
          </w:hyperlink>
        </w:p>
        <w:p w14:paraId="16243D21" w14:textId="03BB1055" w:rsidR="005808F3" w:rsidRDefault="005808F3">
          <w:pPr>
            <w:pStyle w:val="TM1"/>
            <w:rPr>
              <w:rFonts w:asciiTheme="minorHAnsi" w:eastAsiaTheme="minorEastAsia" w:hAnsiTheme="minorHAnsi"/>
              <w:b w:val="0"/>
              <w:kern w:val="2"/>
              <w:sz w:val="24"/>
              <w:szCs w:val="24"/>
              <w:lang w:eastAsia="fr-CH"/>
              <w14:ligatures w14:val="standardContextual"/>
            </w:rPr>
          </w:pPr>
          <w:hyperlink w:anchor="_Toc223004304" w:history="1">
            <w:r w:rsidRPr="00F30A36">
              <w:rPr>
                <w:rStyle w:val="Lienhypertexte"/>
              </w:rPr>
              <w:t>2</w:t>
            </w:r>
            <w:r>
              <w:rPr>
                <w:rFonts w:asciiTheme="minorHAnsi" w:eastAsiaTheme="minorEastAsia" w:hAnsiTheme="minorHAnsi"/>
                <w:b w:val="0"/>
                <w:kern w:val="2"/>
                <w:sz w:val="24"/>
                <w:szCs w:val="24"/>
                <w:lang w:eastAsia="fr-CH"/>
                <w14:ligatures w14:val="standardContextual"/>
              </w:rPr>
              <w:tab/>
            </w:r>
            <w:r w:rsidRPr="00F30A36">
              <w:rPr>
                <w:rStyle w:val="Lienhypertexte"/>
              </w:rPr>
              <w:t>Modifications proposées</w:t>
            </w:r>
            <w:r>
              <w:rPr>
                <w:webHidden/>
              </w:rPr>
              <w:tab/>
            </w:r>
            <w:r>
              <w:rPr>
                <w:webHidden/>
              </w:rPr>
              <w:fldChar w:fldCharType="begin"/>
            </w:r>
            <w:r>
              <w:rPr>
                <w:webHidden/>
              </w:rPr>
              <w:instrText xml:space="preserve"> PAGEREF _Toc223004304 \h </w:instrText>
            </w:r>
            <w:r>
              <w:rPr>
                <w:webHidden/>
              </w:rPr>
            </w:r>
            <w:r>
              <w:rPr>
                <w:webHidden/>
              </w:rPr>
              <w:fldChar w:fldCharType="separate"/>
            </w:r>
            <w:r w:rsidR="003F30EA">
              <w:rPr>
                <w:webHidden/>
              </w:rPr>
              <w:t>2</w:t>
            </w:r>
            <w:r>
              <w:rPr>
                <w:webHidden/>
              </w:rPr>
              <w:fldChar w:fldCharType="end"/>
            </w:r>
          </w:hyperlink>
        </w:p>
        <w:p w14:paraId="0749EB2B" w14:textId="49D602C7"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05" w:history="1">
            <w:r w:rsidRPr="00F30A36">
              <w:rPr>
                <w:rStyle w:val="Lienhypertexte"/>
              </w:rPr>
              <w:t>2.1</w:t>
            </w:r>
            <w:r>
              <w:rPr>
                <w:rFonts w:asciiTheme="minorHAnsi" w:eastAsiaTheme="minorEastAsia" w:hAnsiTheme="minorHAnsi"/>
                <w:b w:val="0"/>
                <w:kern w:val="2"/>
                <w:sz w:val="24"/>
                <w:szCs w:val="24"/>
                <w:lang w:eastAsia="fr-CH"/>
                <w14:ligatures w14:val="standardContextual"/>
              </w:rPr>
              <w:tab/>
            </w:r>
            <w:r w:rsidRPr="00F30A36">
              <w:rPr>
                <w:rStyle w:val="Lienhypertexte"/>
              </w:rPr>
              <w:t>Imposition du télétravail dans un contexte international</w:t>
            </w:r>
            <w:r>
              <w:rPr>
                <w:webHidden/>
              </w:rPr>
              <w:tab/>
            </w:r>
            <w:r>
              <w:rPr>
                <w:webHidden/>
              </w:rPr>
              <w:fldChar w:fldCharType="begin"/>
            </w:r>
            <w:r>
              <w:rPr>
                <w:webHidden/>
              </w:rPr>
              <w:instrText xml:space="preserve"> PAGEREF _Toc223004305 \h </w:instrText>
            </w:r>
            <w:r>
              <w:rPr>
                <w:webHidden/>
              </w:rPr>
            </w:r>
            <w:r>
              <w:rPr>
                <w:webHidden/>
              </w:rPr>
              <w:fldChar w:fldCharType="separate"/>
            </w:r>
            <w:r w:rsidR="003F30EA">
              <w:rPr>
                <w:webHidden/>
              </w:rPr>
              <w:t>2</w:t>
            </w:r>
            <w:r>
              <w:rPr>
                <w:webHidden/>
              </w:rPr>
              <w:fldChar w:fldCharType="end"/>
            </w:r>
          </w:hyperlink>
        </w:p>
        <w:p w14:paraId="39CF76DF" w14:textId="6F387BB8"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06" w:history="1">
            <w:r w:rsidRPr="00F30A36">
              <w:rPr>
                <w:rStyle w:val="Lienhypertexte"/>
              </w:rPr>
              <w:t>2.2</w:t>
            </w:r>
            <w:r>
              <w:rPr>
                <w:rFonts w:asciiTheme="minorHAnsi" w:eastAsiaTheme="minorEastAsia" w:hAnsiTheme="minorHAnsi"/>
                <w:b w:val="0"/>
                <w:kern w:val="2"/>
                <w:sz w:val="24"/>
                <w:szCs w:val="24"/>
                <w:lang w:eastAsia="fr-CH"/>
                <w14:ligatures w14:val="standardContextual"/>
              </w:rPr>
              <w:tab/>
            </w:r>
            <w:r w:rsidRPr="00F30A36">
              <w:rPr>
                <w:rStyle w:val="Lienhypertexte"/>
              </w:rPr>
              <w:t>Interconnexion des données avec le Référentiel cantonal</w:t>
            </w:r>
            <w:r>
              <w:rPr>
                <w:webHidden/>
              </w:rPr>
              <w:tab/>
            </w:r>
            <w:r>
              <w:rPr>
                <w:webHidden/>
              </w:rPr>
              <w:fldChar w:fldCharType="begin"/>
            </w:r>
            <w:r>
              <w:rPr>
                <w:webHidden/>
              </w:rPr>
              <w:instrText xml:space="preserve"> PAGEREF _Toc223004306 \h </w:instrText>
            </w:r>
            <w:r>
              <w:rPr>
                <w:webHidden/>
              </w:rPr>
            </w:r>
            <w:r>
              <w:rPr>
                <w:webHidden/>
              </w:rPr>
              <w:fldChar w:fldCharType="separate"/>
            </w:r>
            <w:r w:rsidR="003F30EA">
              <w:rPr>
                <w:webHidden/>
              </w:rPr>
              <w:t>2</w:t>
            </w:r>
            <w:r>
              <w:rPr>
                <w:webHidden/>
              </w:rPr>
              <w:fldChar w:fldCharType="end"/>
            </w:r>
          </w:hyperlink>
        </w:p>
        <w:p w14:paraId="67102B94" w14:textId="56F08082"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07" w:history="1">
            <w:r w:rsidRPr="00F30A36">
              <w:rPr>
                <w:rStyle w:val="Lienhypertexte"/>
              </w:rPr>
              <w:t>2.3</w:t>
            </w:r>
            <w:r>
              <w:rPr>
                <w:rFonts w:asciiTheme="minorHAnsi" w:eastAsiaTheme="minorEastAsia" w:hAnsiTheme="minorHAnsi"/>
                <w:b w:val="0"/>
                <w:kern w:val="2"/>
                <w:sz w:val="24"/>
                <w:szCs w:val="24"/>
                <w:lang w:eastAsia="fr-CH"/>
                <w14:ligatures w14:val="standardContextual"/>
              </w:rPr>
              <w:tab/>
            </w:r>
            <w:r w:rsidRPr="00F30A36">
              <w:rPr>
                <w:rStyle w:val="Lienhypertexte"/>
              </w:rPr>
              <w:t>Décision en cas de domicile incertain ou litigieux au niveau communal</w:t>
            </w:r>
            <w:r>
              <w:rPr>
                <w:webHidden/>
              </w:rPr>
              <w:tab/>
            </w:r>
            <w:r>
              <w:rPr>
                <w:webHidden/>
              </w:rPr>
              <w:fldChar w:fldCharType="begin"/>
            </w:r>
            <w:r>
              <w:rPr>
                <w:webHidden/>
              </w:rPr>
              <w:instrText xml:space="preserve"> PAGEREF _Toc223004307 \h </w:instrText>
            </w:r>
            <w:r>
              <w:rPr>
                <w:webHidden/>
              </w:rPr>
            </w:r>
            <w:r>
              <w:rPr>
                <w:webHidden/>
              </w:rPr>
              <w:fldChar w:fldCharType="separate"/>
            </w:r>
            <w:r w:rsidR="003F30EA">
              <w:rPr>
                <w:webHidden/>
              </w:rPr>
              <w:t>3</w:t>
            </w:r>
            <w:r>
              <w:rPr>
                <w:webHidden/>
              </w:rPr>
              <w:fldChar w:fldCharType="end"/>
            </w:r>
          </w:hyperlink>
        </w:p>
        <w:p w14:paraId="7264B7C3" w14:textId="4F23F5D1"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08" w:history="1">
            <w:r w:rsidRPr="00F30A36">
              <w:rPr>
                <w:rStyle w:val="Lienhypertexte"/>
              </w:rPr>
              <w:t>2.4</w:t>
            </w:r>
            <w:r>
              <w:rPr>
                <w:rFonts w:asciiTheme="minorHAnsi" w:eastAsiaTheme="minorEastAsia" w:hAnsiTheme="minorHAnsi"/>
                <w:b w:val="0"/>
                <w:kern w:val="2"/>
                <w:sz w:val="24"/>
                <w:szCs w:val="24"/>
                <w:lang w:eastAsia="fr-CH"/>
                <w14:ligatures w14:val="standardContextual"/>
              </w:rPr>
              <w:tab/>
            </w:r>
            <w:r w:rsidRPr="00F30A36">
              <w:rPr>
                <w:rStyle w:val="Lienhypertexte"/>
              </w:rPr>
              <w:t>Déclaration d’impôt en ligne pour les personnes physiques</w:t>
            </w:r>
            <w:r>
              <w:rPr>
                <w:webHidden/>
              </w:rPr>
              <w:tab/>
            </w:r>
            <w:r>
              <w:rPr>
                <w:webHidden/>
              </w:rPr>
              <w:fldChar w:fldCharType="begin"/>
            </w:r>
            <w:r>
              <w:rPr>
                <w:webHidden/>
              </w:rPr>
              <w:instrText xml:space="preserve"> PAGEREF _Toc223004308 \h </w:instrText>
            </w:r>
            <w:r>
              <w:rPr>
                <w:webHidden/>
              </w:rPr>
            </w:r>
            <w:r>
              <w:rPr>
                <w:webHidden/>
              </w:rPr>
              <w:fldChar w:fldCharType="separate"/>
            </w:r>
            <w:r w:rsidR="003F30EA">
              <w:rPr>
                <w:webHidden/>
              </w:rPr>
              <w:t>3</w:t>
            </w:r>
            <w:r>
              <w:rPr>
                <w:webHidden/>
              </w:rPr>
              <w:fldChar w:fldCharType="end"/>
            </w:r>
          </w:hyperlink>
        </w:p>
        <w:p w14:paraId="1CEA9C5E" w14:textId="7B9CE591"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09" w:history="1">
            <w:r w:rsidRPr="00F30A36">
              <w:rPr>
                <w:rStyle w:val="Lienhypertexte"/>
              </w:rPr>
              <w:t>2.5</w:t>
            </w:r>
            <w:r>
              <w:rPr>
                <w:rFonts w:asciiTheme="minorHAnsi" w:eastAsiaTheme="minorEastAsia" w:hAnsiTheme="minorHAnsi"/>
                <w:b w:val="0"/>
                <w:kern w:val="2"/>
                <w:sz w:val="24"/>
                <w:szCs w:val="24"/>
                <w:lang w:eastAsia="fr-CH"/>
                <w14:ligatures w14:val="standardContextual"/>
              </w:rPr>
              <w:tab/>
            </w:r>
            <w:r w:rsidRPr="00F30A36">
              <w:rPr>
                <w:rStyle w:val="Lienhypertexte"/>
              </w:rPr>
              <w:t>Taxation à l’aide de systèmes algorithmiques</w:t>
            </w:r>
            <w:r>
              <w:rPr>
                <w:webHidden/>
              </w:rPr>
              <w:tab/>
            </w:r>
            <w:r>
              <w:rPr>
                <w:webHidden/>
              </w:rPr>
              <w:fldChar w:fldCharType="begin"/>
            </w:r>
            <w:r>
              <w:rPr>
                <w:webHidden/>
              </w:rPr>
              <w:instrText xml:space="preserve"> PAGEREF _Toc223004309 \h </w:instrText>
            </w:r>
            <w:r>
              <w:rPr>
                <w:webHidden/>
              </w:rPr>
            </w:r>
            <w:r>
              <w:rPr>
                <w:webHidden/>
              </w:rPr>
              <w:fldChar w:fldCharType="separate"/>
            </w:r>
            <w:r w:rsidR="003F30EA">
              <w:rPr>
                <w:webHidden/>
              </w:rPr>
              <w:t>3</w:t>
            </w:r>
            <w:r>
              <w:rPr>
                <w:webHidden/>
              </w:rPr>
              <w:fldChar w:fldCharType="end"/>
            </w:r>
          </w:hyperlink>
        </w:p>
        <w:p w14:paraId="6F7D849B" w14:textId="62FA49E3"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10" w:history="1">
            <w:r w:rsidRPr="00F30A36">
              <w:rPr>
                <w:rStyle w:val="Lienhypertexte"/>
              </w:rPr>
              <w:t>2.6</w:t>
            </w:r>
            <w:r>
              <w:rPr>
                <w:rFonts w:asciiTheme="minorHAnsi" w:eastAsiaTheme="minorEastAsia" w:hAnsiTheme="minorHAnsi"/>
                <w:b w:val="0"/>
                <w:kern w:val="2"/>
                <w:sz w:val="24"/>
                <w:szCs w:val="24"/>
                <w:lang w:eastAsia="fr-CH"/>
                <w14:ligatures w14:val="standardContextual"/>
              </w:rPr>
              <w:tab/>
            </w:r>
            <w:r w:rsidRPr="00F30A36">
              <w:rPr>
                <w:rStyle w:val="Lienhypertexte"/>
              </w:rPr>
              <w:t>Déclaration d’impôt pour les gains immobiliers</w:t>
            </w:r>
            <w:r>
              <w:rPr>
                <w:webHidden/>
              </w:rPr>
              <w:tab/>
            </w:r>
            <w:r>
              <w:rPr>
                <w:webHidden/>
              </w:rPr>
              <w:fldChar w:fldCharType="begin"/>
            </w:r>
            <w:r>
              <w:rPr>
                <w:webHidden/>
              </w:rPr>
              <w:instrText xml:space="preserve"> PAGEREF _Toc223004310 \h </w:instrText>
            </w:r>
            <w:r>
              <w:rPr>
                <w:webHidden/>
              </w:rPr>
            </w:r>
            <w:r>
              <w:rPr>
                <w:webHidden/>
              </w:rPr>
              <w:fldChar w:fldCharType="separate"/>
            </w:r>
            <w:r w:rsidR="003F30EA">
              <w:rPr>
                <w:webHidden/>
              </w:rPr>
              <w:t>4</w:t>
            </w:r>
            <w:r>
              <w:rPr>
                <w:webHidden/>
              </w:rPr>
              <w:fldChar w:fldCharType="end"/>
            </w:r>
          </w:hyperlink>
        </w:p>
        <w:p w14:paraId="3D5532EF" w14:textId="1715555F"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11" w:history="1">
            <w:r w:rsidRPr="00F30A36">
              <w:rPr>
                <w:rStyle w:val="Lienhypertexte"/>
              </w:rPr>
              <w:t>2.7</w:t>
            </w:r>
            <w:r>
              <w:rPr>
                <w:rFonts w:asciiTheme="minorHAnsi" w:eastAsiaTheme="minorEastAsia" w:hAnsiTheme="minorHAnsi"/>
                <w:b w:val="0"/>
                <w:kern w:val="2"/>
                <w:sz w:val="24"/>
                <w:szCs w:val="24"/>
                <w:lang w:eastAsia="fr-CH"/>
                <w14:ligatures w14:val="standardContextual"/>
              </w:rPr>
              <w:tab/>
            </w:r>
            <w:r w:rsidRPr="00F30A36">
              <w:rPr>
                <w:rStyle w:val="Lienhypertexte"/>
              </w:rPr>
              <w:t>Constitution d’une garantie en matière d’impôt sur le gain immobilier</w:t>
            </w:r>
            <w:r>
              <w:rPr>
                <w:webHidden/>
              </w:rPr>
              <w:tab/>
            </w:r>
            <w:r>
              <w:rPr>
                <w:webHidden/>
              </w:rPr>
              <w:fldChar w:fldCharType="begin"/>
            </w:r>
            <w:r>
              <w:rPr>
                <w:webHidden/>
              </w:rPr>
              <w:instrText xml:space="preserve"> PAGEREF _Toc223004311 \h </w:instrText>
            </w:r>
            <w:r>
              <w:rPr>
                <w:webHidden/>
              </w:rPr>
            </w:r>
            <w:r>
              <w:rPr>
                <w:webHidden/>
              </w:rPr>
              <w:fldChar w:fldCharType="separate"/>
            </w:r>
            <w:r w:rsidR="003F30EA">
              <w:rPr>
                <w:webHidden/>
              </w:rPr>
              <w:t>4</w:t>
            </w:r>
            <w:r>
              <w:rPr>
                <w:webHidden/>
              </w:rPr>
              <w:fldChar w:fldCharType="end"/>
            </w:r>
          </w:hyperlink>
        </w:p>
        <w:p w14:paraId="088FC1C9" w14:textId="233E18AA" w:rsidR="005808F3" w:rsidRDefault="005808F3">
          <w:pPr>
            <w:pStyle w:val="TM1"/>
            <w:rPr>
              <w:rFonts w:asciiTheme="minorHAnsi" w:eastAsiaTheme="minorEastAsia" w:hAnsiTheme="minorHAnsi"/>
              <w:b w:val="0"/>
              <w:kern w:val="2"/>
              <w:sz w:val="24"/>
              <w:szCs w:val="24"/>
              <w:lang w:eastAsia="fr-CH"/>
              <w14:ligatures w14:val="standardContextual"/>
            </w:rPr>
          </w:pPr>
          <w:hyperlink w:anchor="_Toc223004313" w:history="1">
            <w:r w:rsidRPr="00F30A36">
              <w:rPr>
                <w:rStyle w:val="Lienhypertexte"/>
              </w:rPr>
              <w:t>3</w:t>
            </w:r>
            <w:r>
              <w:rPr>
                <w:rFonts w:asciiTheme="minorHAnsi" w:eastAsiaTheme="minorEastAsia" w:hAnsiTheme="minorHAnsi"/>
                <w:b w:val="0"/>
                <w:kern w:val="2"/>
                <w:sz w:val="24"/>
                <w:szCs w:val="24"/>
                <w:lang w:eastAsia="fr-CH"/>
                <w14:ligatures w14:val="standardContextual"/>
              </w:rPr>
              <w:tab/>
            </w:r>
            <w:r w:rsidRPr="00F30A36">
              <w:rPr>
                <w:rStyle w:val="Lienhypertexte"/>
              </w:rPr>
              <w:t>Commentaire des dispositions proposées (LICD)</w:t>
            </w:r>
            <w:r>
              <w:rPr>
                <w:webHidden/>
              </w:rPr>
              <w:tab/>
            </w:r>
            <w:r>
              <w:rPr>
                <w:webHidden/>
              </w:rPr>
              <w:fldChar w:fldCharType="begin"/>
            </w:r>
            <w:r>
              <w:rPr>
                <w:webHidden/>
              </w:rPr>
              <w:instrText xml:space="preserve"> PAGEREF _Toc223004313 \h </w:instrText>
            </w:r>
            <w:r>
              <w:rPr>
                <w:webHidden/>
              </w:rPr>
            </w:r>
            <w:r>
              <w:rPr>
                <w:webHidden/>
              </w:rPr>
              <w:fldChar w:fldCharType="separate"/>
            </w:r>
            <w:r w:rsidR="003F30EA">
              <w:rPr>
                <w:webHidden/>
              </w:rPr>
              <w:t>5</w:t>
            </w:r>
            <w:r>
              <w:rPr>
                <w:webHidden/>
              </w:rPr>
              <w:fldChar w:fldCharType="end"/>
            </w:r>
          </w:hyperlink>
        </w:p>
        <w:p w14:paraId="0E09F006" w14:textId="4BB93543" w:rsidR="005808F3" w:rsidRDefault="005808F3">
          <w:pPr>
            <w:pStyle w:val="TM1"/>
            <w:rPr>
              <w:rFonts w:asciiTheme="minorHAnsi" w:eastAsiaTheme="minorEastAsia" w:hAnsiTheme="minorHAnsi"/>
              <w:b w:val="0"/>
              <w:kern w:val="2"/>
              <w:sz w:val="24"/>
              <w:szCs w:val="24"/>
              <w:lang w:eastAsia="fr-CH"/>
              <w14:ligatures w14:val="standardContextual"/>
            </w:rPr>
          </w:pPr>
          <w:hyperlink w:anchor="_Toc223004314" w:history="1">
            <w:r w:rsidRPr="00F30A36">
              <w:rPr>
                <w:rStyle w:val="Lienhypertexte"/>
              </w:rPr>
              <w:t>4</w:t>
            </w:r>
            <w:r>
              <w:rPr>
                <w:rFonts w:asciiTheme="minorHAnsi" w:eastAsiaTheme="minorEastAsia" w:hAnsiTheme="minorHAnsi"/>
                <w:b w:val="0"/>
                <w:kern w:val="2"/>
                <w:sz w:val="24"/>
                <w:szCs w:val="24"/>
                <w:lang w:eastAsia="fr-CH"/>
                <w14:ligatures w14:val="standardContextual"/>
              </w:rPr>
              <w:tab/>
            </w:r>
            <w:r w:rsidRPr="00F30A36">
              <w:rPr>
                <w:rStyle w:val="Lienhypertexte"/>
              </w:rPr>
              <w:t>Incidences de la révision</w:t>
            </w:r>
            <w:r>
              <w:rPr>
                <w:webHidden/>
              </w:rPr>
              <w:tab/>
            </w:r>
            <w:r>
              <w:rPr>
                <w:webHidden/>
              </w:rPr>
              <w:fldChar w:fldCharType="begin"/>
            </w:r>
            <w:r>
              <w:rPr>
                <w:webHidden/>
              </w:rPr>
              <w:instrText xml:space="preserve"> PAGEREF _Toc223004314 \h </w:instrText>
            </w:r>
            <w:r>
              <w:rPr>
                <w:webHidden/>
              </w:rPr>
            </w:r>
            <w:r>
              <w:rPr>
                <w:webHidden/>
              </w:rPr>
              <w:fldChar w:fldCharType="separate"/>
            </w:r>
            <w:r w:rsidR="003F30EA">
              <w:rPr>
                <w:webHidden/>
              </w:rPr>
              <w:t>8</w:t>
            </w:r>
            <w:r>
              <w:rPr>
                <w:webHidden/>
              </w:rPr>
              <w:fldChar w:fldCharType="end"/>
            </w:r>
          </w:hyperlink>
        </w:p>
        <w:p w14:paraId="2E49CBE8" w14:textId="4E1953A8"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15" w:history="1">
            <w:r w:rsidRPr="00F30A36">
              <w:rPr>
                <w:rStyle w:val="Lienhypertexte"/>
              </w:rPr>
              <w:t>4.1</w:t>
            </w:r>
            <w:r>
              <w:rPr>
                <w:rFonts w:asciiTheme="minorHAnsi" w:eastAsiaTheme="minorEastAsia" w:hAnsiTheme="minorHAnsi"/>
                <w:b w:val="0"/>
                <w:kern w:val="2"/>
                <w:sz w:val="24"/>
                <w:szCs w:val="24"/>
                <w:lang w:eastAsia="fr-CH"/>
                <w14:ligatures w14:val="standardContextual"/>
              </w:rPr>
              <w:tab/>
            </w:r>
            <w:r w:rsidRPr="00F30A36">
              <w:rPr>
                <w:rStyle w:val="Lienhypertexte"/>
              </w:rPr>
              <w:t>Incidences sur les recettes fiscales de l’Etat</w:t>
            </w:r>
            <w:r>
              <w:rPr>
                <w:webHidden/>
              </w:rPr>
              <w:tab/>
            </w:r>
            <w:r>
              <w:rPr>
                <w:webHidden/>
              </w:rPr>
              <w:fldChar w:fldCharType="begin"/>
            </w:r>
            <w:r>
              <w:rPr>
                <w:webHidden/>
              </w:rPr>
              <w:instrText xml:space="preserve"> PAGEREF _Toc223004315 \h </w:instrText>
            </w:r>
            <w:r>
              <w:rPr>
                <w:webHidden/>
              </w:rPr>
            </w:r>
            <w:r>
              <w:rPr>
                <w:webHidden/>
              </w:rPr>
              <w:fldChar w:fldCharType="separate"/>
            </w:r>
            <w:r w:rsidR="003F30EA">
              <w:rPr>
                <w:webHidden/>
              </w:rPr>
              <w:t>8</w:t>
            </w:r>
            <w:r>
              <w:rPr>
                <w:webHidden/>
              </w:rPr>
              <w:fldChar w:fldCharType="end"/>
            </w:r>
          </w:hyperlink>
        </w:p>
        <w:p w14:paraId="60203FD2" w14:textId="1C09FAF3"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19" w:history="1">
            <w:r w:rsidRPr="00F30A36">
              <w:rPr>
                <w:rStyle w:val="Lienhypertexte"/>
              </w:rPr>
              <w:t>4.2</w:t>
            </w:r>
            <w:r>
              <w:rPr>
                <w:rFonts w:asciiTheme="minorHAnsi" w:eastAsiaTheme="minorEastAsia" w:hAnsiTheme="minorHAnsi"/>
                <w:b w:val="0"/>
                <w:kern w:val="2"/>
                <w:sz w:val="24"/>
                <w:szCs w:val="24"/>
                <w:lang w:eastAsia="fr-CH"/>
                <w14:ligatures w14:val="standardContextual"/>
              </w:rPr>
              <w:tab/>
            </w:r>
            <w:r w:rsidRPr="00F30A36">
              <w:rPr>
                <w:rStyle w:val="Lienhypertexte"/>
              </w:rPr>
              <w:t>Incidences informatiques</w:t>
            </w:r>
            <w:r>
              <w:rPr>
                <w:webHidden/>
              </w:rPr>
              <w:tab/>
            </w:r>
            <w:r>
              <w:rPr>
                <w:webHidden/>
              </w:rPr>
              <w:fldChar w:fldCharType="begin"/>
            </w:r>
            <w:r>
              <w:rPr>
                <w:webHidden/>
              </w:rPr>
              <w:instrText xml:space="preserve"> PAGEREF _Toc223004319 \h </w:instrText>
            </w:r>
            <w:r>
              <w:rPr>
                <w:webHidden/>
              </w:rPr>
            </w:r>
            <w:r>
              <w:rPr>
                <w:webHidden/>
              </w:rPr>
              <w:fldChar w:fldCharType="separate"/>
            </w:r>
            <w:r w:rsidR="003F30EA">
              <w:rPr>
                <w:webHidden/>
              </w:rPr>
              <w:t>8</w:t>
            </w:r>
            <w:r>
              <w:rPr>
                <w:webHidden/>
              </w:rPr>
              <w:fldChar w:fldCharType="end"/>
            </w:r>
          </w:hyperlink>
        </w:p>
        <w:p w14:paraId="503D5280" w14:textId="6892C914"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20" w:history="1">
            <w:r w:rsidRPr="00F30A36">
              <w:rPr>
                <w:rStyle w:val="Lienhypertexte"/>
              </w:rPr>
              <w:t>4.3</w:t>
            </w:r>
            <w:r>
              <w:rPr>
                <w:rFonts w:asciiTheme="minorHAnsi" w:eastAsiaTheme="minorEastAsia" w:hAnsiTheme="minorHAnsi"/>
                <w:b w:val="0"/>
                <w:kern w:val="2"/>
                <w:sz w:val="24"/>
                <w:szCs w:val="24"/>
                <w:lang w:eastAsia="fr-CH"/>
                <w14:ligatures w14:val="standardContextual"/>
              </w:rPr>
              <w:tab/>
            </w:r>
            <w:r w:rsidRPr="00F30A36">
              <w:rPr>
                <w:rStyle w:val="Lienhypertexte"/>
              </w:rPr>
              <w:t>Incidences en matière de personnel</w:t>
            </w:r>
            <w:r>
              <w:rPr>
                <w:webHidden/>
              </w:rPr>
              <w:tab/>
            </w:r>
            <w:r>
              <w:rPr>
                <w:webHidden/>
              </w:rPr>
              <w:fldChar w:fldCharType="begin"/>
            </w:r>
            <w:r>
              <w:rPr>
                <w:webHidden/>
              </w:rPr>
              <w:instrText xml:space="preserve"> PAGEREF _Toc223004320 \h </w:instrText>
            </w:r>
            <w:r>
              <w:rPr>
                <w:webHidden/>
              </w:rPr>
            </w:r>
            <w:r>
              <w:rPr>
                <w:webHidden/>
              </w:rPr>
              <w:fldChar w:fldCharType="separate"/>
            </w:r>
            <w:r w:rsidR="003F30EA">
              <w:rPr>
                <w:webHidden/>
              </w:rPr>
              <w:t>8</w:t>
            </w:r>
            <w:r>
              <w:rPr>
                <w:webHidden/>
              </w:rPr>
              <w:fldChar w:fldCharType="end"/>
            </w:r>
          </w:hyperlink>
        </w:p>
        <w:p w14:paraId="5B92D1F7" w14:textId="54B80EA0" w:rsidR="005808F3" w:rsidRDefault="005808F3">
          <w:pPr>
            <w:pStyle w:val="TM1"/>
            <w:rPr>
              <w:rFonts w:asciiTheme="minorHAnsi" w:eastAsiaTheme="minorEastAsia" w:hAnsiTheme="minorHAnsi"/>
              <w:b w:val="0"/>
              <w:kern w:val="2"/>
              <w:sz w:val="24"/>
              <w:szCs w:val="24"/>
              <w:lang w:eastAsia="fr-CH"/>
              <w14:ligatures w14:val="standardContextual"/>
            </w:rPr>
          </w:pPr>
          <w:hyperlink w:anchor="_Toc223004321" w:history="1">
            <w:r w:rsidRPr="00F30A36">
              <w:rPr>
                <w:rStyle w:val="Lienhypertexte"/>
              </w:rPr>
              <w:t>5</w:t>
            </w:r>
            <w:r>
              <w:rPr>
                <w:rFonts w:asciiTheme="minorHAnsi" w:eastAsiaTheme="minorEastAsia" w:hAnsiTheme="minorHAnsi"/>
                <w:b w:val="0"/>
                <w:kern w:val="2"/>
                <w:sz w:val="24"/>
                <w:szCs w:val="24"/>
                <w:lang w:eastAsia="fr-CH"/>
                <w14:ligatures w14:val="standardContextual"/>
              </w:rPr>
              <w:tab/>
            </w:r>
            <w:r w:rsidRPr="00F30A36">
              <w:rPr>
                <w:rStyle w:val="Lienhypertexte"/>
              </w:rPr>
              <w:t>Aspects juridiques</w:t>
            </w:r>
            <w:r>
              <w:rPr>
                <w:webHidden/>
              </w:rPr>
              <w:tab/>
            </w:r>
            <w:r>
              <w:rPr>
                <w:webHidden/>
              </w:rPr>
              <w:fldChar w:fldCharType="begin"/>
            </w:r>
            <w:r>
              <w:rPr>
                <w:webHidden/>
              </w:rPr>
              <w:instrText xml:space="preserve"> PAGEREF _Toc223004321 \h </w:instrText>
            </w:r>
            <w:r>
              <w:rPr>
                <w:webHidden/>
              </w:rPr>
            </w:r>
            <w:r>
              <w:rPr>
                <w:webHidden/>
              </w:rPr>
              <w:fldChar w:fldCharType="separate"/>
            </w:r>
            <w:r w:rsidR="003F30EA">
              <w:rPr>
                <w:webHidden/>
              </w:rPr>
              <w:t>8</w:t>
            </w:r>
            <w:r>
              <w:rPr>
                <w:webHidden/>
              </w:rPr>
              <w:fldChar w:fldCharType="end"/>
            </w:r>
          </w:hyperlink>
        </w:p>
        <w:p w14:paraId="2A8DC5ED" w14:textId="1CAA50C8"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22" w:history="1">
            <w:r w:rsidRPr="00F30A36">
              <w:rPr>
                <w:rStyle w:val="Lienhypertexte"/>
              </w:rPr>
              <w:t>5.1</w:t>
            </w:r>
            <w:r>
              <w:rPr>
                <w:rFonts w:asciiTheme="minorHAnsi" w:eastAsiaTheme="minorEastAsia" w:hAnsiTheme="minorHAnsi"/>
                <w:b w:val="0"/>
                <w:kern w:val="2"/>
                <w:sz w:val="24"/>
                <w:szCs w:val="24"/>
                <w:lang w:eastAsia="fr-CH"/>
                <w14:ligatures w14:val="standardContextual"/>
              </w:rPr>
              <w:tab/>
            </w:r>
            <w:r w:rsidRPr="00F30A36">
              <w:rPr>
                <w:rStyle w:val="Lienhypertexte"/>
              </w:rPr>
              <w:t>Référendum</w:t>
            </w:r>
            <w:r>
              <w:rPr>
                <w:webHidden/>
              </w:rPr>
              <w:tab/>
            </w:r>
            <w:r>
              <w:rPr>
                <w:webHidden/>
              </w:rPr>
              <w:fldChar w:fldCharType="begin"/>
            </w:r>
            <w:r>
              <w:rPr>
                <w:webHidden/>
              </w:rPr>
              <w:instrText xml:space="preserve"> PAGEREF _Toc223004322 \h </w:instrText>
            </w:r>
            <w:r>
              <w:rPr>
                <w:webHidden/>
              </w:rPr>
            </w:r>
            <w:r>
              <w:rPr>
                <w:webHidden/>
              </w:rPr>
              <w:fldChar w:fldCharType="separate"/>
            </w:r>
            <w:r w:rsidR="003F30EA">
              <w:rPr>
                <w:webHidden/>
              </w:rPr>
              <w:t>8</w:t>
            </w:r>
            <w:r>
              <w:rPr>
                <w:webHidden/>
              </w:rPr>
              <w:fldChar w:fldCharType="end"/>
            </w:r>
          </w:hyperlink>
        </w:p>
        <w:p w14:paraId="1BEEDCBB" w14:textId="58DD6B5C" w:rsidR="005808F3" w:rsidRDefault="005808F3">
          <w:pPr>
            <w:pStyle w:val="TM2"/>
            <w:tabs>
              <w:tab w:val="right" w:pos="9910"/>
            </w:tabs>
            <w:rPr>
              <w:rFonts w:asciiTheme="minorHAnsi" w:eastAsiaTheme="minorEastAsia" w:hAnsiTheme="minorHAnsi"/>
              <w:b w:val="0"/>
              <w:kern w:val="2"/>
              <w:sz w:val="24"/>
              <w:szCs w:val="24"/>
              <w:lang w:eastAsia="fr-CH"/>
              <w14:ligatures w14:val="standardContextual"/>
            </w:rPr>
          </w:pPr>
          <w:hyperlink w:anchor="_Toc223004323" w:history="1">
            <w:r w:rsidRPr="00F30A36">
              <w:rPr>
                <w:rStyle w:val="Lienhypertexte"/>
              </w:rPr>
              <w:t>5.2</w:t>
            </w:r>
            <w:r>
              <w:rPr>
                <w:rFonts w:asciiTheme="minorHAnsi" w:eastAsiaTheme="minorEastAsia" w:hAnsiTheme="minorHAnsi"/>
                <w:b w:val="0"/>
                <w:kern w:val="2"/>
                <w:sz w:val="24"/>
                <w:szCs w:val="24"/>
                <w:lang w:eastAsia="fr-CH"/>
                <w14:ligatures w14:val="standardContextual"/>
              </w:rPr>
              <w:tab/>
            </w:r>
            <w:r w:rsidRPr="00F30A36">
              <w:rPr>
                <w:rStyle w:val="Lienhypertexte"/>
              </w:rPr>
              <w:t>Développement durable</w:t>
            </w:r>
            <w:r>
              <w:rPr>
                <w:webHidden/>
              </w:rPr>
              <w:tab/>
            </w:r>
            <w:r>
              <w:rPr>
                <w:webHidden/>
              </w:rPr>
              <w:fldChar w:fldCharType="begin"/>
            </w:r>
            <w:r>
              <w:rPr>
                <w:webHidden/>
              </w:rPr>
              <w:instrText xml:space="preserve"> PAGEREF _Toc223004323 \h </w:instrText>
            </w:r>
            <w:r>
              <w:rPr>
                <w:webHidden/>
              </w:rPr>
            </w:r>
            <w:r>
              <w:rPr>
                <w:webHidden/>
              </w:rPr>
              <w:fldChar w:fldCharType="separate"/>
            </w:r>
            <w:r w:rsidR="003F30EA">
              <w:rPr>
                <w:webHidden/>
              </w:rPr>
              <w:t>9</w:t>
            </w:r>
            <w:r>
              <w:rPr>
                <w:webHidden/>
              </w:rPr>
              <w:fldChar w:fldCharType="end"/>
            </w:r>
          </w:hyperlink>
        </w:p>
        <w:p w14:paraId="69B42A70" w14:textId="4AC4D0FD" w:rsidR="009E1AF4" w:rsidRPr="008A15F9" w:rsidRDefault="009E1AF4">
          <w:r w:rsidRPr="008A15F9">
            <w:fldChar w:fldCharType="end"/>
          </w:r>
        </w:p>
      </w:sdtContent>
    </w:sdt>
    <w:p w14:paraId="33A9D23B" w14:textId="4D77B470" w:rsidR="009E1AF4" w:rsidRPr="008A15F9" w:rsidRDefault="00C17504" w:rsidP="00DC4643">
      <w:pPr>
        <w:pStyle w:val="Titre1"/>
      </w:pPr>
      <w:bookmarkStart w:id="0" w:name="_Toc223004303"/>
      <w:r w:rsidRPr="008A15F9">
        <w:t>Introduction</w:t>
      </w:r>
      <w:bookmarkEnd w:id="0"/>
    </w:p>
    <w:p w14:paraId="14F2F9A1" w14:textId="77777777" w:rsidR="009E1AF4" w:rsidRPr="008A15F9" w:rsidRDefault="009E1AF4" w:rsidP="00970383">
      <w:pPr>
        <w:pStyle w:val="Tiret"/>
      </w:pPr>
      <w:r w:rsidRPr="008A15F9">
        <w:t>—</w:t>
      </w:r>
    </w:p>
    <w:p w14:paraId="094B6B3E" w14:textId="5497EAE8" w:rsidR="009E1AF4" w:rsidRPr="008A15F9" w:rsidRDefault="008C064E" w:rsidP="00AD2B58">
      <w:pPr>
        <w:pStyle w:val="Corpsdetexte"/>
      </w:pPr>
      <w:r w:rsidRPr="008A15F9">
        <w:t xml:space="preserve">La présente révision </w:t>
      </w:r>
      <w:r w:rsidR="00F13A95" w:rsidRPr="008A15F9">
        <w:t xml:space="preserve">introduit, au niveau cantonal, les modifications apportées à la législation fédérale en matière d’imposition du télétravail dans un contexte international. Elle </w:t>
      </w:r>
      <w:r w:rsidR="00F265DE" w:rsidRPr="008A15F9">
        <w:t>vise à</w:t>
      </w:r>
      <w:r w:rsidRPr="008A15F9">
        <w:t xml:space="preserve"> </w:t>
      </w:r>
      <w:r w:rsidR="00584A98" w:rsidRPr="008A15F9">
        <w:t xml:space="preserve">étendre l’interconnexion des données provenant </w:t>
      </w:r>
      <w:r w:rsidR="00584A98" w:rsidRPr="008A15F9">
        <w:lastRenderedPageBreak/>
        <w:t xml:space="preserve">du registre du contrôle des habitants avec les données du registre des contribuables du Service cantonal des contributions (SCC) par le biais du Référentiel cantonal. </w:t>
      </w:r>
      <w:r w:rsidR="00EE685B" w:rsidRPr="008A15F9">
        <w:t xml:space="preserve">Des précisions sont par ailleurs apportées </w:t>
      </w:r>
      <w:r w:rsidR="00010151" w:rsidRPr="008A15F9">
        <w:t>en lien avec d</w:t>
      </w:r>
      <w:r w:rsidR="00EE685B" w:rsidRPr="008A15F9">
        <w:t xml:space="preserve">es situations où le for de taxation est incertain ou litigieux au niveau communal, ainsi qu’en matière d’obligations du contribuable dans le cadre de la procédure de taxation de l’impôt sur les gains immobiliers. </w:t>
      </w:r>
      <w:r w:rsidR="00C30893" w:rsidRPr="008A15F9">
        <w:t xml:space="preserve">Dans le cadre des développements informatiques, la loi sur les impôts cantonaux directs </w:t>
      </w:r>
      <w:r w:rsidR="00F13A95" w:rsidRPr="008A15F9">
        <w:t>(LICD</w:t>
      </w:r>
      <w:r w:rsidR="00F41AC7" w:rsidRPr="008A15F9">
        <w:t xml:space="preserve"> – RSF 631.1</w:t>
      </w:r>
      <w:r w:rsidR="00F13A95" w:rsidRPr="008A15F9">
        <w:t xml:space="preserve">) </w:t>
      </w:r>
      <w:r w:rsidR="00C30893" w:rsidRPr="008A15F9">
        <w:t>est complétée afin d’offrir la possibilité aux contribuables de déposer leur déclaration d’impôt en ligne par le biais d’une prestation sur le portail de l’Etat de Fribourg.</w:t>
      </w:r>
      <w:r w:rsidR="00F265DE" w:rsidRPr="008A15F9">
        <w:t xml:space="preserve"> </w:t>
      </w:r>
      <w:r w:rsidR="00B94533" w:rsidRPr="008A15F9">
        <w:t xml:space="preserve">L’avant-projet </w:t>
      </w:r>
      <w:r w:rsidR="00DF0E1A" w:rsidRPr="008A15F9">
        <w:t xml:space="preserve">met </w:t>
      </w:r>
      <w:r w:rsidR="00F13A95" w:rsidRPr="008A15F9">
        <w:t xml:space="preserve">par ailleurs </w:t>
      </w:r>
      <w:r w:rsidR="00DF0E1A" w:rsidRPr="008A15F9">
        <w:t xml:space="preserve">en œuvre la motion par laquelle une garantie sera retenue, par le notaire, sur le prix d’aliénation lors de ventes immobilières de manière à garantir le paiement de l’impôt sur le gain immobilier. </w:t>
      </w:r>
    </w:p>
    <w:p w14:paraId="6E6349DB" w14:textId="6E82237C" w:rsidR="009E1AF4" w:rsidRPr="008A15F9" w:rsidRDefault="00C17504" w:rsidP="00B01E1B">
      <w:pPr>
        <w:pStyle w:val="Titre1"/>
      </w:pPr>
      <w:bookmarkStart w:id="1" w:name="_Toc223004304"/>
      <w:r w:rsidRPr="008A15F9">
        <w:t>Modifications proposées</w:t>
      </w:r>
      <w:bookmarkEnd w:id="1"/>
    </w:p>
    <w:p w14:paraId="72154753" w14:textId="77777777" w:rsidR="009E1AF4" w:rsidRPr="008A15F9" w:rsidRDefault="009E1AF4" w:rsidP="008756FD">
      <w:pPr>
        <w:pStyle w:val="Tiret"/>
      </w:pPr>
      <w:r w:rsidRPr="008A15F9">
        <w:t>—</w:t>
      </w:r>
    </w:p>
    <w:p w14:paraId="777A4D72" w14:textId="13DB8982" w:rsidR="009E1AF4" w:rsidRPr="008A15F9" w:rsidRDefault="00907281" w:rsidP="00DC4643">
      <w:pPr>
        <w:pStyle w:val="Titre2"/>
      </w:pPr>
      <w:bookmarkStart w:id="2" w:name="_Toc223004305"/>
      <w:r w:rsidRPr="008A15F9">
        <w:t>Imposition du télétravail dans un contexte international</w:t>
      </w:r>
      <w:bookmarkEnd w:id="2"/>
      <w:r w:rsidRPr="008A15F9">
        <w:t xml:space="preserve"> </w:t>
      </w:r>
    </w:p>
    <w:p w14:paraId="407A362A" w14:textId="77777777" w:rsidR="00205456" w:rsidRPr="008A15F9" w:rsidRDefault="00205456" w:rsidP="00205456">
      <w:pPr>
        <w:pStyle w:val="Corpsdetexte"/>
      </w:pPr>
      <w:r w:rsidRPr="008A15F9">
        <w:t>A la suite de la pandémie de Covid et à la faveur de la numérisation et des nouvelles technologies de communication, l’activité professionnelle ne se déploie plus nécessairement au siège de l’employeur, mais est exercée de façon plus régulière à distance, en particulier depuis le domicile du travailleur (télétravail). Dans un contexte international, notamment dans le cadre des emplois transfrontaliers, cette évolution entraîne des répercussions sur l’imposition à la source du revenu de l’activité lucrative des travailleurs résidant dans un autre Etat.</w:t>
      </w:r>
    </w:p>
    <w:p w14:paraId="30A4229D" w14:textId="6BDD79EB" w:rsidR="00205456" w:rsidRPr="008A15F9" w:rsidRDefault="00205456" w:rsidP="00205456">
      <w:pPr>
        <w:pStyle w:val="Corpsdetexte"/>
      </w:pPr>
      <w:r w:rsidRPr="008A15F9">
        <w:t>En principe, les conventions contre les doubles impositions (CDI) prévoient que les revenus d’une activité salariée sont imposés par l’État dans lequel cette dernière est physiquement exercée. En cas de télétravail, le droit d’imposer passe donc de l’État dans lequel l’employeur est établi vers l’État de domicile du travailleur.</w:t>
      </w:r>
    </w:p>
    <w:p w14:paraId="378E2DC9" w14:textId="0A44FAC9" w:rsidR="00F41AC7" w:rsidRPr="008A15F9" w:rsidRDefault="00205456" w:rsidP="00205456">
      <w:pPr>
        <w:pStyle w:val="Corpsdetexte"/>
      </w:pPr>
      <w:r w:rsidRPr="008A15F9">
        <w:t xml:space="preserve">Dans un souci de pérennité et d’assurer une sécurité juridique nécessaire, mais également afin d’éviter une perte de recettes fiscales pour la Confédération et pour les cantons, la législation fédérale (loi fédérale sur l’impôt fédéral direct </w:t>
      </w:r>
      <w:r w:rsidR="00F41AC7" w:rsidRPr="008A15F9">
        <w:t xml:space="preserve">– LIFD – </w:t>
      </w:r>
      <w:r w:rsidRPr="008A15F9">
        <w:t>et loi fédérale sur l’harmonisation des impôts directs des cantons et des communes</w:t>
      </w:r>
      <w:r w:rsidR="00F41AC7" w:rsidRPr="008A15F9">
        <w:t xml:space="preserve"> – LHID</w:t>
      </w:r>
      <w:r w:rsidRPr="008A15F9">
        <w:t xml:space="preserve">) a été adaptée afin </w:t>
      </w:r>
      <w:r w:rsidR="00F41AC7" w:rsidRPr="008A15F9">
        <w:t>de créer, dans le cadre de l’imposition à la source, une base légale interne permettant à la Suisse d’imposer les revenus du télétravail que les travailleurs non domiciliés en Suisse au regard du droit fiscal accomplissent dans un État voisin pour un employeur suisse</w:t>
      </w:r>
      <w:r w:rsidRPr="008A15F9">
        <w:t xml:space="preserve">. </w:t>
      </w:r>
    </w:p>
    <w:p w14:paraId="3F519C26" w14:textId="493DB6EA" w:rsidR="00205456" w:rsidRPr="008A15F9" w:rsidRDefault="00205456" w:rsidP="00205456">
      <w:pPr>
        <w:pStyle w:val="Corpsdetexte"/>
      </w:pPr>
      <w:r w:rsidRPr="008A15F9">
        <w:t xml:space="preserve">Les dispositions </w:t>
      </w:r>
      <w:r w:rsidR="00F41AC7" w:rsidRPr="008A15F9">
        <w:t xml:space="preserve">légales y relatives </w:t>
      </w:r>
      <w:r w:rsidRPr="008A15F9">
        <w:t xml:space="preserve">sont entrées en vigueur </w:t>
      </w:r>
      <w:r w:rsidR="00F41AC7" w:rsidRPr="008A15F9">
        <w:t xml:space="preserve">au niveau fédéral </w:t>
      </w:r>
      <w:r w:rsidRPr="008A15F9">
        <w:t>au 1</w:t>
      </w:r>
      <w:r w:rsidRPr="008A15F9">
        <w:rPr>
          <w:vertAlign w:val="superscript"/>
        </w:rPr>
        <w:t>er</w:t>
      </w:r>
      <w:r w:rsidRPr="008A15F9">
        <w:t xml:space="preserve"> janvier 2025</w:t>
      </w:r>
      <w:r w:rsidR="00F41AC7" w:rsidRPr="008A15F9">
        <w:t>. La LHID ne prévoit pas de régime transitoire avec pour conséquence que les règles sont directement applicables dans les cantons depuis le 1</w:t>
      </w:r>
      <w:r w:rsidR="00F41AC7" w:rsidRPr="008A15F9">
        <w:rPr>
          <w:vertAlign w:val="superscript"/>
        </w:rPr>
        <w:t>er</w:t>
      </w:r>
      <w:r w:rsidR="00F41AC7" w:rsidRPr="008A15F9">
        <w:t xml:space="preserve"> janvier 2025. Il n’y a par conséquent aucune marge de manœuvre sur le plan cantonal. Les articles 5 al. 1, 80, 160 et 162 al. 1 LICD doivent dès lors être modifiés en conséquence.</w:t>
      </w:r>
    </w:p>
    <w:p w14:paraId="67745169" w14:textId="77777777" w:rsidR="00424166" w:rsidRPr="008A15F9" w:rsidRDefault="00424166" w:rsidP="00AB7239">
      <w:pPr>
        <w:pStyle w:val="Corpsdetexte"/>
      </w:pPr>
    </w:p>
    <w:p w14:paraId="052FF9C8" w14:textId="77777777" w:rsidR="00907281" w:rsidRPr="008A15F9" w:rsidRDefault="00907281" w:rsidP="00907281">
      <w:pPr>
        <w:pStyle w:val="Titre2"/>
      </w:pPr>
      <w:bookmarkStart w:id="3" w:name="_Toc223004306"/>
      <w:r w:rsidRPr="008A15F9">
        <w:t>Interconnexion des données avec le Référentiel cantonal</w:t>
      </w:r>
      <w:bookmarkEnd w:id="3"/>
    </w:p>
    <w:p w14:paraId="4BD0E922" w14:textId="18EF7777" w:rsidR="008040C0" w:rsidRPr="008A15F9" w:rsidRDefault="008040C0" w:rsidP="008040C0">
      <w:pPr>
        <w:pStyle w:val="Corpsdetexte"/>
      </w:pPr>
      <w:r w:rsidRPr="008A15F9">
        <w:t xml:space="preserve">A la suite de la mise en œuvre et l'exploitation d'un Référentiel cantonal </w:t>
      </w:r>
      <w:bookmarkStart w:id="4" w:name="_Hlk187844441"/>
      <w:r w:rsidRPr="008A15F9">
        <w:t>de données de personnes, organisations et nomenclatures</w:t>
      </w:r>
      <w:bookmarkEnd w:id="4"/>
      <w:r w:rsidRPr="008A15F9">
        <w:t>, les autorités administratives disposent dés</w:t>
      </w:r>
      <w:r w:rsidR="00637C14" w:rsidRPr="008A15F9">
        <w:t>ormais</w:t>
      </w:r>
      <w:r w:rsidRPr="008A15F9">
        <w:t>, de manière centralisée et sûre, de données de référence fiables</w:t>
      </w:r>
      <w:r w:rsidR="00637C14" w:rsidRPr="008A15F9">
        <w:t xml:space="preserve">. </w:t>
      </w:r>
    </w:p>
    <w:p w14:paraId="5B6835CC" w14:textId="644470A6" w:rsidR="00637C14" w:rsidRPr="008A15F9" w:rsidRDefault="00637C14" w:rsidP="00637C14">
      <w:pPr>
        <w:pStyle w:val="Corpsdetexte"/>
      </w:pPr>
      <w:r w:rsidRPr="008A15F9">
        <w:t>Le Référentiel cantonal est un ensemble de données communes à plusieurs applications, qui ne contient que des données personnelles non sensibles au sens de la législation sur la protection des données ou dont l'utilisation dans le Référentiel a été dûment autorisée (art. 17 al. 2 de la loi sur la cyberadministration du 18 décembre 2020</w:t>
      </w:r>
      <w:r w:rsidR="005A3B9B" w:rsidRPr="008A15F9">
        <w:t> ;</w:t>
      </w:r>
      <w:r w:rsidRPr="008A15F9">
        <w:t xml:space="preserve"> </w:t>
      </w:r>
      <w:proofErr w:type="spellStart"/>
      <w:r w:rsidRPr="008A15F9">
        <w:t>LCyb</w:t>
      </w:r>
      <w:proofErr w:type="spellEnd"/>
      <w:r w:rsidRPr="008A15F9">
        <w:t xml:space="preserve"> /</w:t>
      </w:r>
      <w:r w:rsidR="006D5D54" w:rsidRPr="008A15F9">
        <w:t xml:space="preserve"> </w:t>
      </w:r>
      <w:r w:rsidRPr="008A15F9">
        <w:t>RSF 184.1).</w:t>
      </w:r>
    </w:p>
    <w:p w14:paraId="36627B4B" w14:textId="08136907" w:rsidR="006D5D54" w:rsidRPr="008A15F9" w:rsidRDefault="006D5D54" w:rsidP="00637C14">
      <w:pPr>
        <w:pStyle w:val="Corpsdetexte"/>
      </w:pPr>
      <w:r w:rsidRPr="008A15F9">
        <w:t xml:space="preserve">Conformément à l’article 25 al. 2 </w:t>
      </w:r>
      <w:proofErr w:type="spellStart"/>
      <w:r w:rsidRPr="008A15F9">
        <w:t>LCyb</w:t>
      </w:r>
      <w:proofErr w:type="spellEnd"/>
      <w:r w:rsidRPr="008A15F9">
        <w:t xml:space="preserve">, une base légale doit autoriser le traitement par voie d’appel des données du Référentiel cantonal. </w:t>
      </w:r>
      <w:r w:rsidR="007D2511" w:rsidRPr="008A15F9">
        <w:t xml:space="preserve">Les articles 137 </w:t>
      </w:r>
      <w:r w:rsidR="00367BC6" w:rsidRPr="008A15F9">
        <w:t>al. 3 et 137a al. 2 doivent dès lors être complétés en conséquence.</w:t>
      </w:r>
    </w:p>
    <w:p w14:paraId="2A327941" w14:textId="77777777" w:rsidR="00395DD2" w:rsidRPr="008A15F9" w:rsidRDefault="00395DD2" w:rsidP="00637C14">
      <w:pPr>
        <w:pStyle w:val="Corpsdetexte"/>
      </w:pPr>
    </w:p>
    <w:p w14:paraId="47E4A8AD" w14:textId="563C0EAE" w:rsidR="00637C14" w:rsidRPr="008A15F9" w:rsidRDefault="00AD31C3" w:rsidP="00AD31C3">
      <w:pPr>
        <w:pStyle w:val="Titre2"/>
      </w:pPr>
      <w:bookmarkStart w:id="5" w:name="_Toc223004307"/>
      <w:r w:rsidRPr="008A15F9">
        <w:lastRenderedPageBreak/>
        <w:t>D</w:t>
      </w:r>
      <w:r w:rsidR="00395DD2" w:rsidRPr="008A15F9">
        <w:t>écision en cas de domicile incertain ou litigieux au niveau communal</w:t>
      </w:r>
      <w:bookmarkEnd w:id="5"/>
    </w:p>
    <w:p w14:paraId="3791F381" w14:textId="026BE30B" w:rsidR="00683A21" w:rsidRPr="008A15F9" w:rsidRDefault="000B580F" w:rsidP="00395DD2">
      <w:pPr>
        <w:pStyle w:val="Corpsdetexte"/>
      </w:pPr>
      <w:r w:rsidRPr="008A15F9">
        <w:t>Le domicile fiscal d'un contribuable est le lieu où il réside dans l'intention de s'y établir durablement, c'est-à-dire le lieu où se situe le centre de ses intérêts personnels et économiques. Aux fins de la taxation et de la perception, les communes établissent chaque année le rôle de perception (art. 41 al. 2 de la loi sur les impôts communaux</w:t>
      </w:r>
      <w:r w:rsidR="008B0A02" w:rsidRPr="008A15F9">
        <w:t xml:space="preserve"> ; </w:t>
      </w:r>
      <w:r w:rsidRPr="008A15F9">
        <w:t>LICo – RSF 632.1).</w:t>
      </w:r>
      <w:r w:rsidR="00683A21" w:rsidRPr="008A15F9">
        <w:t xml:space="preserve"> </w:t>
      </w:r>
    </w:p>
    <w:p w14:paraId="650B1195" w14:textId="256FE9CC" w:rsidR="00BA4417" w:rsidRPr="008A15F9" w:rsidRDefault="00683A21" w:rsidP="00395DD2">
      <w:pPr>
        <w:pStyle w:val="Corpsdetexte"/>
      </w:pPr>
      <w:r w:rsidRPr="008A15F9">
        <w:t>Certains contribuables disposent de plusieurs domiciles</w:t>
      </w:r>
      <w:r w:rsidR="00A12F93" w:rsidRPr="008A15F9">
        <w:t>, ce qui oblige les</w:t>
      </w:r>
      <w:r w:rsidRPr="008A15F9">
        <w:t xml:space="preserve"> communes concernées </w:t>
      </w:r>
      <w:r w:rsidR="00A12F93" w:rsidRPr="008A15F9">
        <w:t>à</w:t>
      </w:r>
      <w:r w:rsidRPr="008A15F9">
        <w:t xml:space="preserve"> déterminer, au regard de l’ensemble des circonstances, où se situe le do</w:t>
      </w:r>
      <w:r w:rsidR="0062638B" w:rsidRPr="008A15F9">
        <w:t xml:space="preserve">micile fiscal. Elles procèdent alors à un examen de la situation effective du contribuable – </w:t>
      </w:r>
      <w:r w:rsidR="00A12F93" w:rsidRPr="008A15F9">
        <w:t xml:space="preserve">généralement </w:t>
      </w:r>
      <w:r w:rsidR="0062638B" w:rsidRPr="008A15F9">
        <w:t>sur la base d’un questionnaire qu’elle</w:t>
      </w:r>
      <w:r w:rsidR="00A12F93" w:rsidRPr="008A15F9">
        <w:t>s</w:t>
      </w:r>
      <w:r w:rsidR="0062638B" w:rsidRPr="008A15F9">
        <w:t xml:space="preserve"> lui adresse</w:t>
      </w:r>
      <w:r w:rsidR="00A12F93" w:rsidRPr="008A15F9">
        <w:t>nt</w:t>
      </w:r>
      <w:r w:rsidR="0062638B" w:rsidRPr="008A15F9">
        <w:t xml:space="preserve"> – et recueillent toutes les informations nécessaires pour </w:t>
      </w:r>
      <w:r w:rsidR="00A12F93" w:rsidRPr="008A15F9">
        <w:t>se prononcer</w:t>
      </w:r>
      <w:r w:rsidR="0062638B" w:rsidRPr="008A15F9">
        <w:t>. Néanmoins, elles peuvent parfois se trouver dans l’impossibilité de déterminer avec certitude le domicile fiscal</w:t>
      </w:r>
      <w:r w:rsidR="00A12F93" w:rsidRPr="008A15F9">
        <w:t>, ce qui les place face à un conflit de compétences</w:t>
      </w:r>
      <w:r w:rsidR="0062638B" w:rsidRPr="008A15F9">
        <w:t xml:space="preserve">.    </w:t>
      </w:r>
      <w:r w:rsidRPr="008A15F9">
        <w:t xml:space="preserve">  </w:t>
      </w:r>
    </w:p>
    <w:p w14:paraId="47731B64" w14:textId="3733A67F" w:rsidR="004A000A" w:rsidRPr="008A15F9" w:rsidRDefault="00F4362F" w:rsidP="00395DD2">
      <w:pPr>
        <w:pStyle w:val="Corpsdetexte"/>
      </w:pPr>
      <w:r w:rsidRPr="008A15F9">
        <w:t xml:space="preserve">L’article 9 </w:t>
      </w:r>
      <w:r w:rsidR="000B580F" w:rsidRPr="008A15F9">
        <w:t>LICo</w:t>
      </w:r>
      <w:r w:rsidRPr="008A15F9">
        <w:t xml:space="preserve"> </w:t>
      </w:r>
      <w:r w:rsidR="00A12F93" w:rsidRPr="008A15F9">
        <w:t>n’indique pas</w:t>
      </w:r>
      <w:r w:rsidR="004A000A" w:rsidRPr="008A15F9">
        <w:t xml:space="preserve"> </w:t>
      </w:r>
      <w:r w:rsidR="005A3B9B" w:rsidRPr="008A15F9">
        <w:t xml:space="preserve">expressément </w:t>
      </w:r>
      <w:r w:rsidR="004A000A" w:rsidRPr="008A15F9">
        <w:t xml:space="preserve">la manière de régler les </w:t>
      </w:r>
      <w:r w:rsidR="004A7C7F" w:rsidRPr="008A15F9">
        <w:t>conflits</w:t>
      </w:r>
      <w:r w:rsidR="004A000A" w:rsidRPr="008A15F9">
        <w:t xml:space="preserve"> qui peuvent surgir entre communes </w:t>
      </w:r>
      <w:r w:rsidR="00A12F93" w:rsidRPr="008A15F9">
        <w:t>dans le cadre de</w:t>
      </w:r>
      <w:r w:rsidR="004A000A" w:rsidRPr="008A15F9">
        <w:t xml:space="preserve"> la détermination du lieu de taxation dans un contexte intercommunal. Au niveau fédéral, cette question est traitée à l’</w:t>
      </w:r>
      <w:r w:rsidRPr="008A15F9">
        <w:t xml:space="preserve">article 108 al. 1 LIFD </w:t>
      </w:r>
      <w:r w:rsidR="004A000A" w:rsidRPr="008A15F9">
        <w:t xml:space="preserve">qui </w:t>
      </w:r>
      <w:r w:rsidRPr="008A15F9">
        <w:t xml:space="preserve">dispose qu’à l’intérieur d’un canton, la compétence pour déterminer le for fiscal est attribuée à l’administration cantonale de l’impôt fédéral direct – en l’occurrence, le SCC – si plusieurs autorités de taxation du même canton sont en cause. </w:t>
      </w:r>
    </w:p>
    <w:p w14:paraId="3C344306" w14:textId="31352B5D" w:rsidR="00395DD2" w:rsidRPr="008A15F9" w:rsidRDefault="00F4362F" w:rsidP="00395DD2">
      <w:pPr>
        <w:pStyle w:val="Corpsdetexte"/>
      </w:pPr>
      <w:r w:rsidRPr="008A15F9">
        <w:t>Actuellement, l’article 153 al. 5 LICD prévoit qu’en cas de doute, le SCC détermine la commune compétente.</w:t>
      </w:r>
      <w:r w:rsidR="00132501" w:rsidRPr="008A15F9">
        <w:t xml:space="preserve"> Selon la procédure, i</w:t>
      </w:r>
      <w:r w:rsidR="008B0A02" w:rsidRPr="008A15F9">
        <w:t xml:space="preserve">l incombe </w:t>
      </w:r>
      <w:r w:rsidR="00132501" w:rsidRPr="008A15F9">
        <w:t xml:space="preserve">en premier lieu </w:t>
      </w:r>
      <w:r w:rsidR="008B0A02" w:rsidRPr="008A15F9">
        <w:t xml:space="preserve">aux communes de mener toutes les investigations utiles </w:t>
      </w:r>
      <w:r w:rsidR="00132501" w:rsidRPr="008A15F9">
        <w:t xml:space="preserve">pour établir un domicile fiscal au niveau communal </w:t>
      </w:r>
      <w:r w:rsidR="008B0A02" w:rsidRPr="008A15F9">
        <w:t>mais il peut arriver</w:t>
      </w:r>
      <w:r w:rsidR="00132501" w:rsidRPr="008A15F9">
        <w:t xml:space="preserve">, dans des cas particuliers, </w:t>
      </w:r>
      <w:r w:rsidR="008B0A02" w:rsidRPr="008A15F9">
        <w:t xml:space="preserve">qu’au terme de </w:t>
      </w:r>
      <w:r w:rsidR="00132501" w:rsidRPr="008A15F9">
        <w:t xml:space="preserve">cette </w:t>
      </w:r>
      <w:r w:rsidR="008B0A02" w:rsidRPr="008A15F9">
        <w:t xml:space="preserve">instruction, le for fiscal communal ne </w:t>
      </w:r>
      <w:r w:rsidR="00132501" w:rsidRPr="008A15F9">
        <w:t>puisse</w:t>
      </w:r>
      <w:r w:rsidR="008B0A02" w:rsidRPr="008A15F9">
        <w:t xml:space="preserve"> être déterminé avec certitude ou qu’il </w:t>
      </w:r>
      <w:r w:rsidR="00132501" w:rsidRPr="008A15F9">
        <w:t>soit</w:t>
      </w:r>
      <w:r w:rsidR="008B0A02" w:rsidRPr="008A15F9">
        <w:t xml:space="preserve"> litigieux</w:t>
      </w:r>
      <w:r w:rsidR="00132501" w:rsidRPr="008A15F9">
        <w:t>. Par conséquent, la</w:t>
      </w:r>
      <w:r w:rsidR="005F02F5" w:rsidRPr="008A15F9">
        <w:t xml:space="preserve"> formulation </w:t>
      </w:r>
      <w:r w:rsidR="00132501" w:rsidRPr="008A15F9">
        <w:t xml:space="preserve">de l’article 153 al. 5 LICD </w:t>
      </w:r>
      <w:r w:rsidR="005F02F5" w:rsidRPr="008A15F9">
        <w:t>doit être précisée</w:t>
      </w:r>
      <w:r w:rsidR="00132501" w:rsidRPr="008A15F9">
        <w:t xml:space="preserve"> en ce sens que dans ces situations, le SCC peut être amené à se prononcer sur le for fiscal communal</w:t>
      </w:r>
      <w:r w:rsidR="005F02F5" w:rsidRPr="008A15F9">
        <w:t>.</w:t>
      </w:r>
      <w:r w:rsidR="008B0A02" w:rsidRPr="008A15F9">
        <w:t xml:space="preserve"> </w:t>
      </w:r>
    </w:p>
    <w:p w14:paraId="0FAD1C2F" w14:textId="77777777" w:rsidR="00AD31C3" w:rsidRPr="008A15F9" w:rsidRDefault="00AD31C3" w:rsidP="00AD31C3">
      <w:pPr>
        <w:pStyle w:val="Corpsdetexte"/>
      </w:pPr>
    </w:p>
    <w:p w14:paraId="0E9D4F0E" w14:textId="288D8419" w:rsidR="002825F8" w:rsidRPr="008A15F9" w:rsidRDefault="001963AC" w:rsidP="002825F8">
      <w:pPr>
        <w:pStyle w:val="Titre2"/>
      </w:pPr>
      <w:bookmarkStart w:id="6" w:name="_Toc223004308"/>
      <w:r w:rsidRPr="008A15F9">
        <w:t>Déclaration d’impôt en ligne pour les personnes physiques</w:t>
      </w:r>
      <w:bookmarkEnd w:id="6"/>
    </w:p>
    <w:p w14:paraId="39957260" w14:textId="50E116FF" w:rsidR="00000B0D" w:rsidRPr="008A15F9" w:rsidRDefault="00000B0D" w:rsidP="00000B0D">
      <w:pPr>
        <w:pStyle w:val="Corpsdetexte"/>
      </w:pPr>
      <w:r w:rsidRPr="008A15F9">
        <w:t xml:space="preserve">Actuellement, l’article 157 LICD prévoit le dépôt de la déclaration d’impôt des personnes physiques par voie postale ou de manière électronique par l’intermédiaire du logiciel </w:t>
      </w:r>
      <w:proofErr w:type="spellStart"/>
      <w:r w:rsidRPr="008A15F9">
        <w:t>FriTax</w:t>
      </w:r>
      <w:proofErr w:type="spellEnd"/>
      <w:r w:rsidRPr="008A15F9">
        <w:t>. Les conditions et les modalités du dépôt de la déclaration d’impôt par voie électronique sont réglées dans l’</w:t>
      </w:r>
      <w:r w:rsidR="00897619" w:rsidRPr="008A15F9">
        <w:t>O</w:t>
      </w:r>
      <w:r w:rsidRPr="008A15F9">
        <w:t>rdonnance concernant le dépôt par voie électronique de la déclaration fiscale des personnes physiques (RSF 631.15) en vigueur depuis le 1</w:t>
      </w:r>
      <w:r w:rsidRPr="008A15F9">
        <w:rPr>
          <w:vertAlign w:val="superscript"/>
        </w:rPr>
        <w:t>er</w:t>
      </w:r>
      <w:r w:rsidRPr="008A15F9">
        <w:t xml:space="preserve"> janvier 2015.</w:t>
      </w:r>
    </w:p>
    <w:p w14:paraId="38C323C1" w14:textId="2CE775AE" w:rsidR="00000B0D" w:rsidRPr="008A15F9" w:rsidRDefault="00000B0D" w:rsidP="00000B0D">
      <w:pPr>
        <w:pStyle w:val="Corpsdetexte"/>
      </w:pPr>
      <w:r w:rsidRPr="008A15F9">
        <w:t xml:space="preserve">Dans le cadre des développements informatiques, le SCC souhaite étendre les possibilités offertes aux contribuables personnes physiques en leur permettant de remplir </w:t>
      </w:r>
      <w:r w:rsidR="00897619" w:rsidRPr="008A15F9">
        <w:t xml:space="preserve">et de déposer leur déclaration d’impôt par le biais d’une prestation sécurisée en ligne. </w:t>
      </w:r>
      <w:r w:rsidRPr="008A15F9">
        <w:t xml:space="preserve"> </w:t>
      </w:r>
    </w:p>
    <w:p w14:paraId="2C8B4542" w14:textId="57001925" w:rsidR="00897619" w:rsidRPr="008A15F9" w:rsidRDefault="00897619" w:rsidP="00000B0D">
      <w:pPr>
        <w:pStyle w:val="Corpsdetexte"/>
      </w:pPr>
      <w:r w:rsidRPr="008A15F9">
        <w:t>Le dépôt en ligne est dès lors expressément mentionné à l’article 157 al. 1 et al. 2</w:t>
      </w:r>
      <w:r w:rsidRPr="008A15F9">
        <w:rPr>
          <w:vertAlign w:val="superscript"/>
        </w:rPr>
        <w:t>bis</w:t>
      </w:r>
      <w:r w:rsidRPr="008A15F9">
        <w:t xml:space="preserve"> LICD. L’Ordonnance concernant le dépôt par voie électronique de la déclaration fiscale des personnes physiques </w:t>
      </w:r>
      <w:r w:rsidR="00E0546F" w:rsidRPr="008A15F9">
        <w:t xml:space="preserve">(RSF 631.15) </w:t>
      </w:r>
      <w:r w:rsidRPr="008A15F9">
        <w:t>est également adaptée.</w:t>
      </w:r>
    </w:p>
    <w:p w14:paraId="7989E174" w14:textId="77777777" w:rsidR="0007646E" w:rsidRPr="008A15F9" w:rsidRDefault="0007646E" w:rsidP="00000B0D">
      <w:pPr>
        <w:pStyle w:val="Corpsdetexte"/>
      </w:pPr>
    </w:p>
    <w:p w14:paraId="2DC39D3F" w14:textId="37F433A2" w:rsidR="00897619" w:rsidRPr="008A15F9" w:rsidRDefault="0007646E" w:rsidP="0007646E">
      <w:pPr>
        <w:pStyle w:val="Titre2"/>
      </w:pPr>
      <w:bookmarkStart w:id="7" w:name="_Toc223004309"/>
      <w:r w:rsidRPr="008A15F9">
        <w:t>Taxation à l’aide de systèmes algorithmiques</w:t>
      </w:r>
      <w:bookmarkEnd w:id="7"/>
    </w:p>
    <w:p w14:paraId="179E5F60" w14:textId="3010B45C" w:rsidR="000822A5" w:rsidRPr="008A15F9" w:rsidRDefault="009A5170" w:rsidP="009A5170">
      <w:pPr>
        <w:pStyle w:val="Corpsdetexte"/>
      </w:pPr>
      <w:r w:rsidRPr="008A15F9">
        <w:t xml:space="preserve">Avec l’augmentation constante des contribuables ainsi que le développement de l’intelligence artificielle, le SCC souhaite </w:t>
      </w:r>
      <w:r w:rsidR="00DB7B5D" w:rsidRPr="008A15F9">
        <w:t>pouvoir</w:t>
      </w:r>
      <w:r w:rsidRPr="008A15F9">
        <w:t xml:space="preserve"> mener </w:t>
      </w:r>
      <w:r w:rsidR="00DB7B5D" w:rsidRPr="008A15F9">
        <w:t>certains</w:t>
      </w:r>
      <w:r w:rsidRPr="008A15F9">
        <w:t xml:space="preserve"> travaux de taxation des personnes physiques au moyen d’un module machine automatique</w:t>
      </w:r>
      <w:r w:rsidR="000822A5" w:rsidRPr="008A15F9">
        <w:t xml:space="preserve"> (taxations automatiques)</w:t>
      </w:r>
      <w:r w:rsidRPr="008A15F9">
        <w:t xml:space="preserve">. Les premiers tests de production ont </w:t>
      </w:r>
      <w:r w:rsidR="000822A5" w:rsidRPr="008A15F9">
        <w:t xml:space="preserve">débuté en 2024 et </w:t>
      </w:r>
      <w:r w:rsidRPr="008A15F9">
        <w:t xml:space="preserve">le module </w:t>
      </w:r>
      <w:r w:rsidR="00DB7B5D" w:rsidRPr="008A15F9">
        <w:t>devrait pouvoir</w:t>
      </w:r>
      <w:r w:rsidR="000822A5" w:rsidRPr="008A15F9">
        <w:t xml:space="preserve"> être pleinement opérationnel</w:t>
      </w:r>
      <w:r w:rsidRPr="008A15F9">
        <w:t xml:space="preserve"> à partir de 202</w:t>
      </w:r>
      <w:r w:rsidR="000822A5" w:rsidRPr="008A15F9">
        <w:t>7</w:t>
      </w:r>
      <w:r w:rsidRPr="008A15F9">
        <w:t xml:space="preserve">. </w:t>
      </w:r>
    </w:p>
    <w:p w14:paraId="6A26999D" w14:textId="77777777" w:rsidR="003D09BC" w:rsidRPr="008A15F9" w:rsidRDefault="000822A5" w:rsidP="009A5170">
      <w:pPr>
        <w:pStyle w:val="Corpsdetexte"/>
      </w:pPr>
      <w:r w:rsidRPr="008A15F9">
        <w:t>Ce</w:t>
      </w:r>
      <w:r w:rsidR="009A5170" w:rsidRPr="008A15F9">
        <w:t xml:space="preserve"> module est basé sur </w:t>
      </w:r>
      <w:r w:rsidRPr="008A15F9">
        <w:t>des</w:t>
      </w:r>
      <w:r w:rsidR="009A5170" w:rsidRPr="008A15F9">
        <w:t xml:space="preserve"> algori</w:t>
      </w:r>
      <w:r w:rsidRPr="008A15F9">
        <w:t>thmes, qui</w:t>
      </w:r>
      <w:r w:rsidR="009A5170" w:rsidRPr="008A15F9">
        <w:t xml:space="preserve"> permettent à un ordinateur d’apprendre des données, d’identifier des modèles et de faire des prévisions sans être explicitement programmés. Concrètement, </w:t>
      </w:r>
      <w:r w:rsidRPr="008A15F9">
        <w:t>ils</w:t>
      </w:r>
      <w:r w:rsidR="009A5170" w:rsidRPr="008A15F9">
        <w:t xml:space="preserve"> simule</w:t>
      </w:r>
      <w:r w:rsidRPr="008A15F9">
        <w:t>nt</w:t>
      </w:r>
      <w:r w:rsidR="009A5170" w:rsidRPr="008A15F9">
        <w:t xml:space="preserve"> la manière dont un </w:t>
      </w:r>
      <w:r w:rsidRPr="008A15F9">
        <w:t>taxateur</w:t>
      </w:r>
      <w:r w:rsidR="009A5170" w:rsidRPr="008A15F9">
        <w:t xml:space="preserve"> imposerait un</w:t>
      </w:r>
      <w:r w:rsidRPr="008A15F9">
        <w:t>e déclaration d’impôt</w:t>
      </w:r>
      <w:r w:rsidR="009A5170" w:rsidRPr="008A15F9">
        <w:t>, c’est-à-dire simule le résultat d’une taxation</w:t>
      </w:r>
      <w:r w:rsidRPr="008A15F9">
        <w:t xml:space="preserve">, en tenant compte à la fois </w:t>
      </w:r>
      <w:r w:rsidR="009A5170" w:rsidRPr="008A15F9">
        <w:t>de</w:t>
      </w:r>
      <w:r w:rsidRPr="008A15F9">
        <w:t>s éléments déclarés par l</w:t>
      </w:r>
      <w:r w:rsidR="009A5170" w:rsidRPr="008A15F9">
        <w:t>es contribuables et</w:t>
      </w:r>
      <w:r w:rsidRPr="008A15F9">
        <w:t xml:space="preserve"> </w:t>
      </w:r>
      <w:r w:rsidR="009A5170" w:rsidRPr="008A15F9">
        <w:t>d’un catalogue de critères d</w:t>
      </w:r>
      <w:r w:rsidRPr="008A15F9">
        <w:t>éterminés par</w:t>
      </w:r>
      <w:r w:rsidR="009A5170" w:rsidRPr="008A15F9">
        <w:t xml:space="preserve"> l’administration fiscale</w:t>
      </w:r>
      <w:r w:rsidRPr="008A15F9">
        <w:t xml:space="preserve">. </w:t>
      </w:r>
      <w:r w:rsidR="00E15435" w:rsidRPr="008A15F9">
        <w:t>Dès lors, des décisions de taxation pourront être rendues de manière entière</w:t>
      </w:r>
      <w:r w:rsidR="009A5170" w:rsidRPr="008A15F9">
        <w:t xml:space="preserve">ment automatisée, </w:t>
      </w:r>
      <w:r w:rsidR="003D09BC" w:rsidRPr="008A15F9">
        <w:t xml:space="preserve">sans intervention humaine. </w:t>
      </w:r>
    </w:p>
    <w:p w14:paraId="179A1761" w14:textId="03B1DFD9" w:rsidR="00584D89" w:rsidRPr="008A15F9" w:rsidRDefault="003D09BC" w:rsidP="009A5170">
      <w:pPr>
        <w:pStyle w:val="Corpsdetexte"/>
      </w:pPr>
      <w:r w:rsidRPr="008A15F9">
        <w:lastRenderedPageBreak/>
        <w:t xml:space="preserve">Cependant, </w:t>
      </w:r>
      <w:r w:rsidR="00DB7B5D" w:rsidRPr="008A15F9">
        <w:t>les impôts directs cantonaux sont taxés selon la procédure dite mixte, qui se caractérise par une collaboration réciproque entre l’autorité de taxation (examen et contrôle du dossier) et le contribuable (</w:t>
      </w:r>
      <w:proofErr w:type="spellStart"/>
      <w:r w:rsidR="00DB7B5D" w:rsidRPr="008A15F9">
        <w:t>auto-déclaration</w:t>
      </w:r>
      <w:proofErr w:type="spellEnd"/>
      <w:r w:rsidR="00DB7B5D" w:rsidRPr="008A15F9">
        <w:t xml:space="preserve">). </w:t>
      </w:r>
      <w:r w:rsidR="00095AC4" w:rsidRPr="008A15F9">
        <w:t xml:space="preserve">Ainsi, </w:t>
      </w:r>
      <w:r w:rsidRPr="008A15F9">
        <w:t xml:space="preserve">conformément à l’article 154 al. 1 LICD, le Service cantonal des contributions établit les éléments de fait et de droit permettant une taxation complète et exacte, en collaboration avec le contribuable. Le contribuable doit faire tout ce qui est nécessaire pour assurer une taxation complète et exacte (art. 159 al. 2 LICD). </w:t>
      </w:r>
    </w:p>
    <w:p w14:paraId="36B8591A" w14:textId="77777777" w:rsidR="00584D89" w:rsidRPr="008A15F9" w:rsidRDefault="003D09BC" w:rsidP="009A5170">
      <w:pPr>
        <w:pStyle w:val="Corpsdetexte"/>
      </w:pPr>
      <w:r w:rsidRPr="008A15F9">
        <w:t>En cas d’automatisation complète de</w:t>
      </w:r>
      <w:r w:rsidR="00584D89" w:rsidRPr="008A15F9">
        <w:t>s travaux</w:t>
      </w:r>
      <w:r w:rsidRPr="008A15F9">
        <w:t xml:space="preserve"> </w:t>
      </w:r>
      <w:r w:rsidR="00584D89" w:rsidRPr="008A15F9">
        <w:t>de taxation</w:t>
      </w:r>
      <w:r w:rsidRPr="008A15F9">
        <w:t xml:space="preserve">, </w:t>
      </w:r>
      <w:r w:rsidR="00584D89" w:rsidRPr="008A15F9">
        <w:t>celle-ci</w:t>
      </w:r>
      <w:r w:rsidRPr="008A15F9">
        <w:t xml:space="preserve"> est effectuée uniquement sur la base de la déclaration d’impôt </w:t>
      </w:r>
      <w:r w:rsidR="00584D89" w:rsidRPr="008A15F9">
        <w:t>déposée par le contribuable</w:t>
      </w:r>
      <w:r w:rsidRPr="008A15F9">
        <w:t xml:space="preserve"> et, le cas échéant, d’autres données déjà disponibles auprès de l’administration fiscale. </w:t>
      </w:r>
      <w:r w:rsidR="00584D89" w:rsidRPr="008A15F9">
        <w:t>Par conséquent, i</w:t>
      </w:r>
      <w:r w:rsidRPr="008A15F9">
        <w:t xml:space="preserve">l en résulte des restrictions dans le domaine des droits fondamentaux procéduraux des contribuables, raison pour laquelle une base légale est nécessaire pour l’utilisation de systèmes algorithmiques. </w:t>
      </w:r>
    </w:p>
    <w:p w14:paraId="5575FC91" w14:textId="4C5C6F19" w:rsidR="003D09BC" w:rsidRPr="008A15F9" w:rsidRDefault="00584D89" w:rsidP="009A5170">
      <w:pPr>
        <w:pStyle w:val="Corpsdetexte"/>
      </w:pPr>
      <w:r w:rsidRPr="008A15F9">
        <w:t>Pour permettre les taxations automatiques, une</w:t>
      </w:r>
      <w:r w:rsidR="003D09BC" w:rsidRPr="008A15F9">
        <w:t xml:space="preserve"> nouvelle disposition </w:t>
      </w:r>
      <w:r w:rsidRPr="008A15F9">
        <w:t>doit dès lors être introduite (art. 165a)</w:t>
      </w:r>
      <w:r w:rsidR="003D09BC" w:rsidRPr="008A15F9">
        <w:t xml:space="preserve">. Une décision de taxation entièrement automatisée est expressément désignée comme telle. Le contribuable peut former </w:t>
      </w:r>
      <w:r w:rsidRPr="008A15F9">
        <w:t>réclamation</w:t>
      </w:r>
      <w:r w:rsidR="003D09BC" w:rsidRPr="008A15F9">
        <w:t xml:space="preserve"> contre l</w:t>
      </w:r>
      <w:r w:rsidRPr="008A15F9">
        <w:t>’</w:t>
      </w:r>
      <w:r w:rsidR="003D09BC" w:rsidRPr="008A15F9">
        <w:t>a</w:t>
      </w:r>
      <w:r w:rsidRPr="008A15F9">
        <w:t>vis de</w:t>
      </w:r>
      <w:r w:rsidR="003D09BC" w:rsidRPr="008A15F9">
        <w:t xml:space="preserve"> taxation</w:t>
      </w:r>
      <w:r w:rsidRPr="008A15F9">
        <w:t xml:space="preserve"> automatique qui sera alors traitée par un collaborateur ou une collaboratrice du SCC, les réclamations</w:t>
      </w:r>
      <w:r w:rsidR="003D09BC" w:rsidRPr="008A15F9">
        <w:t xml:space="preserve"> </w:t>
      </w:r>
      <w:r w:rsidRPr="008A15F9">
        <w:t xml:space="preserve">étant </w:t>
      </w:r>
      <w:r w:rsidR="003D09BC" w:rsidRPr="008A15F9">
        <w:t xml:space="preserve">exclues </w:t>
      </w:r>
      <w:r w:rsidRPr="008A15F9">
        <w:t>des systèmes algorithmiques</w:t>
      </w:r>
      <w:r w:rsidR="003D09BC" w:rsidRPr="008A15F9">
        <w:t>.</w:t>
      </w:r>
    </w:p>
    <w:p w14:paraId="51ECB2E6" w14:textId="77777777" w:rsidR="003D09BC" w:rsidRPr="008A15F9" w:rsidRDefault="003D09BC" w:rsidP="009A5170">
      <w:pPr>
        <w:pStyle w:val="Corpsdetexte"/>
      </w:pPr>
    </w:p>
    <w:p w14:paraId="0F8A1105" w14:textId="35DCBBB6" w:rsidR="00DB2E4A" w:rsidRPr="008A15F9" w:rsidRDefault="00DB2E4A" w:rsidP="00DB2E4A">
      <w:pPr>
        <w:pStyle w:val="Titre2"/>
      </w:pPr>
      <w:bookmarkStart w:id="8" w:name="_Toc223004310"/>
      <w:r w:rsidRPr="008A15F9">
        <w:t>Déclaration d’impôt pour les gains immobiliers</w:t>
      </w:r>
      <w:bookmarkEnd w:id="8"/>
    </w:p>
    <w:p w14:paraId="5884A09F" w14:textId="7E6D5A60" w:rsidR="00E126A7" w:rsidRPr="008A15F9" w:rsidRDefault="00196F11" w:rsidP="00E126A7">
      <w:pPr>
        <w:pStyle w:val="Corpsdetexte"/>
      </w:pPr>
      <w:r w:rsidRPr="008A15F9">
        <w:t xml:space="preserve">Conformément à l’article 166 LICD, toutes les autorités et tous les fonctionnaires, en particulier les conservateurs du registre foncier, annoncent par écrit, dans les trente jours, au Service cantonal des contributions tout fait parvenu à leur connaissance qui pourrait donner lieu à l'imposition d'un gain immobilier. </w:t>
      </w:r>
    </w:p>
    <w:p w14:paraId="178EEE18" w14:textId="35F95104" w:rsidR="0020598B" w:rsidRPr="008A15F9" w:rsidRDefault="001B36AD" w:rsidP="0020598B">
      <w:pPr>
        <w:pStyle w:val="Corpsdetexte"/>
      </w:pPr>
      <w:r w:rsidRPr="008A15F9">
        <w:t xml:space="preserve">Le contribuable dispose d’un délai de 30 jours dès le jour où l'aliénation, qui n’est pas inscrite au registre foncier, déploie ses effets juridiques pour l’annoncer au SCC (art. 167 LICD) afin de recevoir une déclaration d’impôt sur les gains immobiliers. </w:t>
      </w:r>
      <w:r w:rsidR="0020598B" w:rsidRPr="008A15F9">
        <w:t>L’article 167 LICD ne prévoit en revanche pas d’obligation pour le contribuable d’informer l’autorité fiscale lors de ventes immobilières inscrites au registre foncier,</w:t>
      </w:r>
      <w:r w:rsidR="00B54BCB" w:rsidRPr="008A15F9">
        <w:t xml:space="preserve"> mais pour lequel il n’a pas reçu de déclaration d’impôt.</w:t>
      </w:r>
      <w:r w:rsidR="0020598B" w:rsidRPr="008A15F9">
        <w:t xml:space="preserve"> </w:t>
      </w:r>
    </w:p>
    <w:p w14:paraId="5E16E00B" w14:textId="591DB9AB" w:rsidR="001B36AD" w:rsidRPr="008A15F9" w:rsidRDefault="00FF7AE2" w:rsidP="00E126A7">
      <w:pPr>
        <w:pStyle w:val="Corpsdetexte"/>
      </w:pPr>
      <w:r w:rsidRPr="008A15F9">
        <w:t xml:space="preserve">En pratique, le registre foncier peut, dans des situations exceptionnelles, omettre d’annoncer des mutations avec pour conséquence que l’impôt sur les gains immobiliers ne peut être perçu auprès du vendeur du fait que le SCC n’a pas connaissance de ces transactions. </w:t>
      </w:r>
    </w:p>
    <w:p w14:paraId="136ECD75" w14:textId="5E12222A" w:rsidR="00FF7AE2" w:rsidRPr="008A15F9" w:rsidRDefault="0020598B" w:rsidP="00E126A7">
      <w:pPr>
        <w:pStyle w:val="Corpsdetexte"/>
      </w:pPr>
      <w:r w:rsidRPr="008A15F9">
        <w:t xml:space="preserve">La modification proposée vise à compléter l’article 167 LICD afin d’instaurer une obligation pour le contribuable </w:t>
      </w:r>
      <w:r w:rsidR="00B54BCB" w:rsidRPr="008A15F9">
        <w:t>ayant procédé</w:t>
      </w:r>
      <w:r w:rsidRPr="008A15F9">
        <w:t xml:space="preserve"> à une aliénation immobilière </w:t>
      </w:r>
      <w:r w:rsidR="00B449F6" w:rsidRPr="008A15F9">
        <w:t>inscrite</w:t>
      </w:r>
      <w:r w:rsidRPr="008A15F9">
        <w:t xml:space="preserve"> au registre foncier </w:t>
      </w:r>
      <w:r w:rsidR="00B449F6" w:rsidRPr="008A15F9">
        <w:t>mais qui n’aurait pas reçu de déclaration d’impôt sur les gains immobiliers dans les deux ans qui suivent la mutation</w:t>
      </w:r>
      <w:r w:rsidR="00B54BCB" w:rsidRPr="008A15F9">
        <w:t>,</w:t>
      </w:r>
      <w:r w:rsidRPr="008A15F9">
        <w:t xml:space="preserve"> d’en informer le </w:t>
      </w:r>
      <w:r w:rsidR="00F66693" w:rsidRPr="008A15F9">
        <w:t>Service cantonal des contributions</w:t>
      </w:r>
      <w:r w:rsidRPr="008A15F9">
        <w:t>.</w:t>
      </w:r>
    </w:p>
    <w:p w14:paraId="7E35B1A5" w14:textId="77777777" w:rsidR="001B36AD" w:rsidRPr="008A15F9" w:rsidRDefault="001B36AD" w:rsidP="00E126A7">
      <w:pPr>
        <w:pStyle w:val="Corpsdetexte"/>
      </w:pPr>
    </w:p>
    <w:p w14:paraId="7F46485D" w14:textId="77777777" w:rsidR="00DE3BAF" w:rsidRPr="008A15F9" w:rsidRDefault="00DE3BAF" w:rsidP="00DE3BAF">
      <w:pPr>
        <w:pStyle w:val="Titre2"/>
      </w:pPr>
      <w:bookmarkStart w:id="9" w:name="_Toc223004311"/>
      <w:r w:rsidRPr="008A15F9">
        <w:t>Constitution d’une garantie en matière d’impôt sur le gain immobilier</w:t>
      </w:r>
      <w:bookmarkEnd w:id="9"/>
      <w:r w:rsidRPr="008A15F9">
        <w:t xml:space="preserve"> </w:t>
      </w:r>
    </w:p>
    <w:p w14:paraId="46530E2C" w14:textId="48B7518D" w:rsidR="00DE3BAF" w:rsidRPr="008A15F9" w:rsidRDefault="00DE3BAF" w:rsidP="00DE3BAF">
      <w:pPr>
        <w:pStyle w:val="Corpsdetexte"/>
      </w:pPr>
      <w:r w:rsidRPr="008A15F9">
        <w:t>Par motion déposée et développée le 10 février 2023 (GC 2023-GC-32), les députés Claude Brodard et Catherine Beaud ont demandé au Conseil d’Etat de modifier la LICD afin de prévoir</w:t>
      </w:r>
      <w:r w:rsidR="00F66693" w:rsidRPr="008A15F9">
        <w:t xml:space="preserve"> </w:t>
      </w:r>
      <w:r w:rsidRPr="008A15F9">
        <w:t xml:space="preserve">une obligation de constituer, auprès de l’officier public qui instrumente l’acte, une réserve – en pourcentage du prix d’aliénation – lors de ventes immobilières de manière à garantir le paiement de l’impôt sur le gain immobilier. </w:t>
      </w:r>
      <w:r w:rsidR="00F66693" w:rsidRPr="008A15F9">
        <w:t>Cette</w:t>
      </w:r>
      <w:r w:rsidRPr="008A15F9">
        <w:t xml:space="preserve"> obligation </w:t>
      </w:r>
      <w:r w:rsidR="00F66693" w:rsidRPr="008A15F9">
        <w:t>a pour objectif</w:t>
      </w:r>
      <w:r w:rsidRPr="008A15F9">
        <w:t xml:space="preserve"> d’éviter, pour l’acquéreur, une insécurité juridique concrétis</w:t>
      </w:r>
      <w:r w:rsidR="00F66693" w:rsidRPr="008A15F9">
        <w:t>é</w:t>
      </w:r>
      <w:r w:rsidRPr="008A15F9">
        <w:t xml:space="preserve">e par l’inscription d’une hypothèque légale, en cas de défaut de paiement de l’impôt par le vendeur. </w:t>
      </w:r>
    </w:p>
    <w:p w14:paraId="7F0A2087" w14:textId="1BE059DD" w:rsidR="001963AC" w:rsidRPr="008A15F9" w:rsidRDefault="00DE3BAF" w:rsidP="00DE3BAF">
      <w:pPr>
        <w:pStyle w:val="Corpsdetexte"/>
      </w:pPr>
      <w:r w:rsidRPr="008A15F9">
        <w:t xml:space="preserve">Dans sa réponse du 26 juin 2023, le Conseil d’Etat </w:t>
      </w:r>
      <w:r w:rsidR="00F66693" w:rsidRPr="008A15F9">
        <w:t xml:space="preserve">a proposé au Grand Conseil de rejeter la motion </w:t>
      </w:r>
      <w:r w:rsidR="00E47EDE" w:rsidRPr="008A15F9">
        <w:t>estimant</w:t>
      </w:r>
      <w:r w:rsidR="00B54BCB" w:rsidRPr="008A15F9">
        <w:t>, d’une part,</w:t>
      </w:r>
      <w:r w:rsidR="00E47EDE" w:rsidRPr="008A15F9">
        <w:t xml:space="preserve"> qu’elle entraînerait une complexification notable des travaux du Service cantonal des contributions sans </w:t>
      </w:r>
      <w:r w:rsidR="00C53DC6" w:rsidRPr="008A15F9">
        <w:t xml:space="preserve">toutefois </w:t>
      </w:r>
      <w:r w:rsidR="00E47EDE" w:rsidRPr="008A15F9">
        <w:t>réduire les risques pour les parties, notamment pour l’acheteur, et</w:t>
      </w:r>
      <w:r w:rsidR="00C53DC6" w:rsidRPr="008A15F9">
        <w:t xml:space="preserve"> considérant</w:t>
      </w:r>
      <w:r w:rsidR="00B54BCB" w:rsidRPr="008A15F9">
        <w:t xml:space="preserve">, d’autre part, </w:t>
      </w:r>
      <w:r w:rsidR="00E47EDE" w:rsidRPr="008A15F9">
        <w:t xml:space="preserve">que le montant de la réserve ne garantirait pas nécessairement la couverture complète de l’impôt dû. </w:t>
      </w:r>
      <w:r w:rsidRPr="008A15F9">
        <w:t xml:space="preserve">Le Grand Conseil a </w:t>
      </w:r>
      <w:r w:rsidR="00E47EDE" w:rsidRPr="008A15F9">
        <w:t xml:space="preserve">néanmoins </w:t>
      </w:r>
      <w:r w:rsidRPr="008A15F9">
        <w:t xml:space="preserve">adopté la motion le 6 septembre 2023. </w:t>
      </w:r>
    </w:p>
    <w:p w14:paraId="0ADD3253" w14:textId="6BB36974" w:rsidR="00EE20E7" w:rsidRPr="008A15F9" w:rsidRDefault="00EE20E7" w:rsidP="00DE3BAF">
      <w:pPr>
        <w:pStyle w:val="Corpsdetexte"/>
      </w:pPr>
      <w:r w:rsidRPr="008A15F9">
        <w:lastRenderedPageBreak/>
        <w:t xml:space="preserve">Un projet de mise en œuvre a été soumis au Grand Conseil </w:t>
      </w:r>
      <w:r w:rsidR="005C12BF" w:rsidRPr="008A15F9">
        <w:t xml:space="preserve">en vue </w:t>
      </w:r>
      <w:r w:rsidRPr="008A15F9">
        <w:t>des modifications de la LICD au 1</w:t>
      </w:r>
      <w:r w:rsidRPr="008A15F9">
        <w:rPr>
          <w:vertAlign w:val="superscript"/>
        </w:rPr>
        <w:t>er</w:t>
      </w:r>
      <w:r w:rsidRPr="008A15F9">
        <w:t xml:space="preserve"> janvier 2025. Toutefois, </w:t>
      </w:r>
      <w:r w:rsidR="00191597" w:rsidRPr="008A15F9">
        <w:t xml:space="preserve">au terme des débats menés en novembre 2024, ledit projet a été renvoyé au Conseil d’Etat afin d’être modifié. </w:t>
      </w:r>
    </w:p>
    <w:p w14:paraId="05662D17" w14:textId="1FDAAC05" w:rsidR="001E5B53" w:rsidRPr="008A15F9" w:rsidRDefault="00234F29" w:rsidP="00DE3BAF">
      <w:pPr>
        <w:pStyle w:val="Corpsdetexte"/>
      </w:pPr>
      <w:r w:rsidRPr="008A15F9">
        <w:t>Une rencontre entre le Directeur des finances, le secrétaire général de la Direction des finances, les motionnaires, des représentants du Service cantonal des contributions ainsi que de l’Association fribourgeoise des notaires s’est tenue le 14 février 2025.</w:t>
      </w:r>
      <w:r w:rsidR="00C14DAC" w:rsidRPr="008A15F9">
        <w:t xml:space="preserve"> Les différentes parties prenantes ont pu exprimer leurs préoccupations. En substance, les motionnaires ont rappelé l’importance de protéger les acquéreurs de bonne foi lors de transactions immobilières. Les notaires ont quant à eux </w:t>
      </w:r>
      <w:r w:rsidR="00AB6A32" w:rsidRPr="008A15F9">
        <w:t xml:space="preserve">notamment </w:t>
      </w:r>
      <w:r w:rsidR="00C14DAC" w:rsidRPr="008A15F9">
        <w:t>relevé que la consignation, en particulier le blocage et l’indisponibilité des fonds</w:t>
      </w:r>
      <w:r w:rsidR="009542C8" w:rsidRPr="008A15F9">
        <w:t xml:space="preserve"> qui en résultent</w:t>
      </w:r>
      <w:r w:rsidR="00C14DAC" w:rsidRPr="008A15F9">
        <w:t xml:space="preserve">, </w:t>
      </w:r>
      <w:r w:rsidR="009542C8" w:rsidRPr="008A15F9">
        <w:t>est susceptible de pénaliser</w:t>
      </w:r>
      <w:r w:rsidR="00C14DAC" w:rsidRPr="008A15F9">
        <w:t xml:space="preserve"> </w:t>
      </w:r>
      <w:r w:rsidR="009542C8" w:rsidRPr="008A15F9">
        <w:t xml:space="preserve">davantage </w:t>
      </w:r>
      <w:r w:rsidR="00C14DAC" w:rsidRPr="008A15F9">
        <w:t xml:space="preserve">les personnes morales </w:t>
      </w:r>
      <w:r w:rsidR="00AB6A32" w:rsidRPr="008A15F9">
        <w:t xml:space="preserve">que les personnes </w:t>
      </w:r>
      <w:r w:rsidR="00095AC4" w:rsidRPr="008A15F9">
        <w:t>physiques</w:t>
      </w:r>
      <w:r w:rsidR="00AB6A32" w:rsidRPr="008A15F9">
        <w:t xml:space="preserve"> </w:t>
      </w:r>
      <w:r w:rsidR="009542C8" w:rsidRPr="008A15F9">
        <w:t>puisq</w:t>
      </w:r>
      <w:r w:rsidR="00C14DAC" w:rsidRPr="008A15F9">
        <w:t>u</w:t>
      </w:r>
      <w:r w:rsidR="00AB6A32" w:rsidRPr="008A15F9">
        <w:t>’</w:t>
      </w:r>
      <w:r w:rsidR="00C14DAC" w:rsidRPr="008A15F9">
        <w:t>e</w:t>
      </w:r>
      <w:r w:rsidR="00AB6A32" w:rsidRPr="008A15F9">
        <w:t>lles doivent attendre l’</w:t>
      </w:r>
      <w:r w:rsidR="00095AC4" w:rsidRPr="008A15F9">
        <w:t>avis de taxation</w:t>
      </w:r>
      <w:r w:rsidR="00AB6A32" w:rsidRPr="008A15F9">
        <w:t xml:space="preserve"> ordinaire </w:t>
      </w:r>
      <w:r w:rsidR="00095AC4" w:rsidRPr="008A15F9">
        <w:t>sur le</w:t>
      </w:r>
      <w:r w:rsidR="00AB6A32" w:rsidRPr="008A15F9">
        <w:t xml:space="preserve"> bénéfice pour que le gain immobilier soit imposé</w:t>
      </w:r>
      <w:r w:rsidR="009542C8" w:rsidRPr="008A15F9">
        <w:t xml:space="preserve"> et ne peuvent pas disposer dans l’intervalle du montant consigné</w:t>
      </w:r>
      <w:r w:rsidR="00AB6A32" w:rsidRPr="008A15F9">
        <w:t xml:space="preserve">. Le SCC a </w:t>
      </w:r>
      <w:r w:rsidR="009542C8" w:rsidRPr="008A15F9">
        <w:t>rappelé</w:t>
      </w:r>
      <w:r w:rsidR="00A479C1" w:rsidRPr="008A15F9">
        <w:t>, d’une part, que les notaires procèdent d’ores et déjà, en l’absence d’une obligation légale, de manière régulière à une retenue sur le prix lors des aliénations immobilières qu’ils instrumentent et, d’autre part,</w:t>
      </w:r>
      <w:r w:rsidR="00AB6A32" w:rsidRPr="008A15F9">
        <w:t xml:space="preserve"> </w:t>
      </w:r>
      <w:r w:rsidR="009542C8" w:rsidRPr="008A15F9">
        <w:t>le faible nombre d’hypothèques légales</w:t>
      </w:r>
      <w:r w:rsidR="00927F70" w:rsidRPr="008A15F9">
        <w:t xml:space="preserve"> (entre dix et quinze par année)</w:t>
      </w:r>
      <w:r w:rsidR="009542C8" w:rsidRPr="008A15F9">
        <w:t xml:space="preserve"> inscrites en application de l’article 217 LICD</w:t>
      </w:r>
      <w:r w:rsidR="00A479C1" w:rsidRPr="008A15F9">
        <w:t>. Il</w:t>
      </w:r>
      <w:r w:rsidR="009542C8" w:rsidRPr="008A15F9">
        <w:t xml:space="preserve"> a </w:t>
      </w:r>
      <w:r w:rsidR="00A479C1" w:rsidRPr="008A15F9">
        <w:t xml:space="preserve">par ailleurs </w:t>
      </w:r>
      <w:r w:rsidR="009542C8" w:rsidRPr="008A15F9">
        <w:t xml:space="preserve">souligné </w:t>
      </w:r>
      <w:r w:rsidR="00A479C1" w:rsidRPr="008A15F9">
        <w:t xml:space="preserve">les difficultés pratiques </w:t>
      </w:r>
      <w:r w:rsidR="002F14C1" w:rsidRPr="008A15F9">
        <w:t xml:space="preserve">en termes de ressources </w:t>
      </w:r>
      <w:r w:rsidR="00A479C1" w:rsidRPr="008A15F9">
        <w:t>auxquelles il serait</w:t>
      </w:r>
      <w:r w:rsidR="002F14C1" w:rsidRPr="008A15F9">
        <w:t xml:space="preserve"> confronté en fonction de la complexité du mécanisme de garantie </w:t>
      </w:r>
      <w:r w:rsidR="00927F70" w:rsidRPr="008A15F9">
        <w:t>retenu</w:t>
      </w:r>
      <w:r w:rsidR="002F14C1" w:rsidRPr="008A15F9">
        <w:t xml:space="preserve">. </w:t>
      </w:r>
      <w:r w:rsidR="00A479C1" w:rsidRPr="008A15F9">
        <w:t xml:space="preserve"> </w:t>
      </w:r>
      <w:r w:rsidR="00AB6A32" w:rsidRPr="008A15F9">
        <w:t xml:space="preserve"> </w:t>
      </w:r>
      <w:r w:rsidR="00C14DAC" w:rsidRPr="008A15F9">
        <w:t xml:space="preserve">  </w:t>
      </w:r>
    </w:p>
    <w:p w14:paraId="0D58F1C8" w14:textId="6F777037" w:rsidR="00234F29" w:rsidRPr="008A15F9" w:rsidRDefault="00095AC4" w:rsidP="00DE3BAF">
      <w:pPr>
        <w:pStyle w:val="Corpsdetexte"/>
      </w:pPr>
      <w:r w:rsidRPr="008A15F9">
        <w:t>Comme déjà évoqué,</w:t>
      </w:r>
      <w:r w:rsidR="001E5B53" w:rsidRPr="008A15F9">
        <w:t xml:space="preserve"> certains notaires ont déjà pour pratique de consigner une part du produit de l’aliénation pour garantir le paiement de l’impôt sur le gain immobilier. Cette consignation n’est toutefois pas systématique. De plus, le montant consigné de manière facultative ne fait pas l’objet d’une protection particulière en cas de faillite du vendeur puisqu’il tombe, le cas échéant, dans la masse en faillite. Cela n’est toutefois pas le cas </w:t>
      </w:r>
      <w:r w:rsidRPr="008A15F9">
        <w:t>si la</w:t>
      </w:r>
      <w:r w:rsidR="001E5B53" w:rsidRPr="008A15F9">
        <w:t xml:space="preserve"> consignation</w:t>
      </w:r>
      <w:r w:rsidRPr="008A15F9">
        <w:t xml:space="preserve"> est</w:t>
      </w:r>
      <w:r w:rsidR="001E5B53" w:rsidRPr="008A15F9">
        <w:t xml:space="preserve"> obligatoire. </w:t>
      </w:r>
      <w:r w:rsidR="0086323E" w:rsidRPr="008A15F9">
        <w:t xml:space="preserve"> </w:t>
      </w:r>
    </w:p>
    <w:p w14:paraId="564769B2" w14:textId="4655D5B3" w:rsidR="00191597" w:rsidRPr="008A15F9" w:rsidRDefault="00191597" w:rsidP="00DE3BAF">
      <w:pPr>
        <w:pStyle w:val="Corpsdetexte"/>
      </w:pPr>
      <w:r w:rsidRPr="008A15F9">
        <w:t>L</w:t>
      </w:r>
      <w:r w:rsidR="00145ECC" w:rsidRPr="008A15F9">
        <w:t xml:space="preserve">’introduction de l’article 217a </w:t>
      </w:r>
      <w:r w:rsidRPr="008A15F9">
        <w:t xml:space="preserve">doit </w:t>
      </w:r>
      <w:r w:rsidR="00145ECC" w:rsidRPr="008A15F9">
        <w:t xml:space="preserve">dès lors </w:t>
      </w:r>
      <w:r w:rsidRPr="008A15F9">
        <w:t xml:space="preserve">permettre </w:t>
      </w:r>
      <w:r w:rsidR="00927F70" w:rsidRPr="008A15F9">
        <w:t>de mettre</w:t>
      </w:r>
      <w:r w:rsidR="00145ECC" w:rsidRPr="008A15F9">
        <w:t xml:space="preserve"> en œuvre </w:t>
      </w:r>
      <w:r w:rsidRPr="008A15F9">
        <w:t xml:space="preserve">la motion </w:t>
      </w:r>
      <w:r w:rsidR="00093766" w:rsidRPr="008A15F9">
        <w:t>de façon à répondre aux préoccupations de l’ensemble des parties prenantes</w:t>
      </w:r>
      <w:r w:rsidRPr="008A15F9">
        <w:t>.</w:t>
      </w:r>
    </w:p>
    <w:p w14:paraId="03B3C41D" w14:textId="09C16D71" w:rsidR="009E1AF4" w:rsidRPr="008A15F9" w:rsidRDefault="00C17504" w:rsidP="00C17504">
      <w:pPr>
        <w:pStyle w:val="Titre1"/>
      </w:pPr>
      <w:bookmarkStart w:id="10" w:name="_Toc223004313"/>
      <w:r w:rsidRPr="008A15F9">
        <w:t>Commentaire des dispositions proposées (LICD)</w:t>
      </w:r>
      <w:bookmarkEnd w:id="10"/>
    </w:p>
    <w:p w14:paraId="4E00115B" w14:textId="6D55DE91" w:rsidR="008E7813" w:rsidRPr="008A15F9" w:rsidRDefault="008E7813" w:rsidP="00DC4643">
      <w:pPr>
        <w:pStyle w:val="Corpsdetexte"/>
        <w:rPr>
          <w:i/>
          <w:iCs/>
          <w:noProof/>
          <w:lang w:eastAsia="fr-CH"/>
        </w:rPr>
      </w:pPr>
      <w:r w:rsidRPr="008A15F9">
        <w:rPr>
          <w:i/>
          <w:iCs/>
          <w:noProof/>
          <w:lang w:eastAsia="fr-CH"/>
        </w:rPr>
        <w:t xml:space="preserve">Art. </w:t>
      </w:r>
      <w:r w:rsidR="00907281" w:rsidRPr="008A15F9">
        <w:rPr>
          <w:i/>
          <w:iCs/>
          <w:noProof/>
          <w:lang w:eastAsia="fr-CH"/>
        </w:rPr>
        <w:t>5 al. 1 let. a, a</w:t>
      </w:r>
      <w:r w:rsidR="00907281" w:rsidRPr="008A15F9">
        <w:rPr>
          <w:i/>
          <w:iCs/>
          <w:noProof/>
          <w:vertAlign w:val="superscript"/>
          <w:lang w:eastAsia="fr-CH"/>
        </w:rPr>
        <w:t>bis</w:t>
      </w:r>
      <w:r w:rsidR="00907281" w:rsidRPr="008A15F9">
        <w:rPr>
          <w:i/>
          <w:iCs/>
          <w:noProof/>
          <w:lang w:eastAsia="fr-CH"/>
        </w:rPr>
        <w:t xml:space="preserve"> (nouveau) et f</w:t>
      </w:r>
      <w:r w:rsidRPr="008A15F9">
        <w:rPr>
          <w:i/>
          <w:iCs/>
          <w:noProof/>
          <w:lang w:eastAsia="fr-CH"/>
        </w:rPr>
        <w:t xml:space="preserve"> </w:t>
      </w:r>
    </w:p>
    <w:p w14:paraId="1863C287" w14:textId="69D07AD4" w:rsidR="00E368E7" w:rsidRPr="008A15F9" w:rsidRDefault="00801213" w:rsidP="00DC4643">
      <w:pPr>
        <w:pStyle w:val="Corpsdetexte"/>
      </w:pPr>
      <w:r w:rsidRPr="008A15F9">
        <w:t xml:space="preserve">La règle actuellement en vigueur (art. 5 al. 1 let. a) ne précise pas s’il s’agit uniquement d’une activité lucrative dépendante ou également d’une activité lucrative indépendante. L’activité lucrative indépendante concerne notamment les artistes, les sportifs et les conférenciers. Actuellement, seul l’article 81 régit explicitement leur imposition à la source. La précision apportée permet de couvrir toutes les formes d’activité lucrative exercée physiquement dans le canton. </w:t>
      </w:r>
    </w:p>
    <w:p w14:paraId="685B2FBD" w14:textId="2706EFBC" w:rsidR="00801213" w:rsidRPr="008A15F9" w:rsidRDefault="00801213" w:rsidP="00801213">
      <w:pPr>
        <w:pStyle w:val="Corpsdetexte"/>
      </w:pPr>
      <w:r w:rsidRPr="008A15F9">
        <w:t xml:space="preserve">Cette nouvelle disposition (art. 5 al. 1 let. </w:t>
      </w:r>
      <w:proofErr w:type="spellStart"/>
      <w:r w:rsidRPr="008A15F9">
        <w:t>a</w:t>
      </w:r>
      <w:r w:rsidRPr="008A15F9">
        <w:rPr>
          <w:vertAlign w:val="superscript"/>
        </w:rPr>
        <w:t>bis</w:t>
      </w:r>
      <w:proofErr w:type="spellEnd"/>
      <w:r w:rsidRPr="008A15F9">
        <w:t>) garantit qu’un employé résidant à l’étranger soit imposable même lorsque le travail est effectué hors de Suisse tant que l’employeur a son siège, son administration effective ou un établissement stable en Suisse. Le critère de l’administration effective permet de tenir compte du fait qu’il existe un point de rattachement alternatif pour le rattachement personnel des personnes morales dans le canton. L’administration effective se trouve en général au lieu de la direction effective. Cette norme est toutefois limitée aux cinq États limitrophes de la Suisse et au droit accordé à la Suisse d’imposer le télétravail.</w:t>
      </w:r>
    </w:p>
    <w:p w14:paraId="0D435E00" w14:textId="0672422F" w:rsidR="00801213" w:rsidRPr="008A15F9" w:rsidRDefault="00801213" w:rsidP="00801213">
      <w:pPr>
        <w:pStyle w:val="Corpsdetexte"/>
      </w:pPr>
      <w:r w:rsidRPr="008A15F9">
        <w:t xml:space="preserve">Des précisions sont apportées à la réglementation en vigueur (art. 5 al. 1 let. f) sur trois aspects : </w:t>
      </w:r>
      <w:r w:rsidR="00600153" w:rsidRPr="008A15F9">
        <w:t>p</w:t>
      </w:r>
      <w:r w:rsidRPr="008A15F9">
        <w:t>remièrement, l’administration effective est ici aussi considérée comme un point de rattachement économique. Deuxièmement, l’exemption de l’impôt à la source applicable au revenu du travail pour les marins travaillant sur des navires de mer n’est possible que si ces navires battent pavillon suisse, ce qui correspond à la pratique actuelle. Troisièmement, l’exonération ne peut avoir lieu que si l’employeur exploite lui-même le bateau. Sont donc exclues de l’exonération les personnes employées par des agences qui sont mises à disposition d’exploitants de navires et qui ne disposent pas de leurs propres navires de mer.</w:t>
      </w:r>
    </w:p>
    <w:p w14:paraId="0E741283" w14:textId="3B4C2FC2" w:rsidR="008E7813" w:rsidRPr="008A15F9" w:rsidRDefault="008E7813" w:rsidP="00DC4643">
      <w:pPr>
        <w:pStyle w:val="Corpsdetexte"/>
        <w:rPr>
          <w:noProof/>
          <w:lang w:eastAsia="fr-CH"/>
        </w:rPr>
      </w:pPr>
      <w:r w:rsidRPr="008A15F9">
        <w:rPr>
          <w:i/>
          <w:iCs/>
          <w:noProof/>
          <w:lang w:eastAsia="fr-CH"/>
        </w:rPr>
        <w:t xml:space="preserve">Art. </w:t>
      </w:r>
      <w:r w:rsidR="00907281" w:rsidRPr="008A15F9">
        <w:rPr>
          <w:i/>
          <w:iCs/>
          <w:noProof/>
          <w:lang w:eastAsia="fr-CH"/>
        </w:rPr>
        <w:t xml:space="preserve">80 </w:t>
      </w:r>
    </w:p>
    <w:p w14:paraId="148DC556" w14:textId="67DDA5EC" w:rsidR="00960FF2" w:rsidRPr="008A15F9" w:rsidRDefault="00960FF2" w:rsidP="00960FF2">
      <w:pPr>
        <w:pStyle w:val="Corpsdetexte"/>
        <w:rPr>
          <w:noProof/>
          <w:lang w:eastAsia="fr-CH"/>
        </w:rPr>
      </w:pPr>
      <w:r w:rsidRPr="008A15F9">
        <w:rPr>
          <w:i/>
          <w:iCs/>
          <w:noProof/>
          <w:lang w:eastAsia="fr-CH"/>
        </w:rPr>
        <w:lastRenderedPageBreak/>
        <w:t>Al. 1</w:t>
      </w:r>
      <w:r w:rsidRPr="008A15F9">
        <w:rPr>
          <w:noProof/>
          <w:lang w:eastAsia="fr-CH"/>
        </w:rPr>
        <w:t> : cet alinéa se fonde sur le droit en vigueur. La notion de travailleurs domiciliés à l’étranger est retenue. Toutefois, la distinction opérée dans le droit actuel entre frontaliers, résidents à la semaine et résidents de courte durée domiciliés à l’étranger est supprimée. Cette nouvelle formulation simplifie la mise en relation avec la notion de résidence telle qu’elle est utilisée dans les CDI puisque les conventions de double imposition ne connaissent pas les notions de résident à la semaine et de résident de courte durée. Par ailleurs, l’exonération des revenus soumis à l’imposition selon la procédure simplifiée est regroupée avec celle des revenus des marins travaillant à bord d’un navire de mer battant pavillon suisse à l’alinéa 4.</w:t>
      </w:r>
    </w:p>
    <w:p w14:paraId="002237AC" w14:textId="16E4E0DF" w:rsidR="00960FF2" w:rsidRPr="008A15F9" w:rsidRDefault="00960FF2" w:rsidP="00960FF2">
      <w:pPr>
        <w:pStyle w:val="Corpsdetexte"/>
        <w:rPr>
          <w:noProof/>
          <w:lang w:eastAsia="fr-CH"/>
        </w:rPr>
      </w:pPr>
      <w:r w:rsidRPr="008A15F9">
        <w:rPr>
          <w:i/>
          <w:iCs/>
          <w:noProof/>
          <w:lang w:eastAsia="fr-CH"/>
        </w:rPr>
        <w:t>Al. 2</w:t>
      </w:r>
      <w:r w:rsidRPr="008A15F9">
        <w:rPr>
          <w:noProof/>
          <w:lang w:eastAsia="fr-CH"/>
        </w:rPr>
        <w:t> : cette disposition reprend, pour la procédure de retenue à la source, les principes définis à l’article 5 al. 1 let. a</w:t>
      </w:r>
      <w:r w:rsidRPr="008A15F9">
        <w:rPr>
          <w:noProof/>
          <w:vertAlign w:val="superscript"/>
          <w:lang w:eastAsia="fr-CH"/>
        </w:rPr>
        <w:t>bis</w:t>
      </w:r>
      <w:r w:rsidRPr="008A15F9">
        <w:rPr>
          <w:noProof/>
          <w:lang w:eastAsia="fr-CH"/>
        </w:rPr>
        <w:t>.</w:t>
      </w:r>
    </w:p>
    <w:p w14:paraId="41BC5B98" w14:textId="04EB84ED" w:rsidR="00960FF2" w:rsidRPr="008A15F9" w:rsidRDefault="00960FF2" w:rsidP="00960FF2">
      <w:pPr>
        <w:pStyle w:val="Corpsdetexte"/>
        <w:rPr>
          <w:noProof/>
          <w:lang w:eastAsia="fr-CH"/>
        </w:rPr>
      </w:pPr>
      <w:r w:rsidRPr="008A15F9">
        <w:rPr>
          <w:i/>
          <w:iCs/>
          <w:noProof/>
          <w:lang w:eastAsia="fr-CH"/>
        </w:rPr>
        <w:t>Al. 3</w:t>
      </w:r>
      <w:r w:rsidRPr="008A15F9">
        <w:rPr>
          <w:noProof/>
          <w:lang w:eastAsia="fr-CH"/>
        </w:rPr>
        <w:t> : la réglementation actuellement en vigueur relative au revenu de l’activité lucrative des employés travaillant dans le trafic international aérien, maritime ou routier est modifiée sur deux points. D’une part, comme à l’aliné</w:t>
      </w:r>
      <w:r w:rsidR="00C71D90" w:rsidRPr="008A15F9">
        <w:rPr>
          <w:noProof/>
          <w:lang w:eastAsia="fr-CH"/>
        </w:rPr>
        <w:t>a</w:t>
      </w:r>
      <w:r w:rsidRPr="008A15F9">
        <w:rPr>
          <w:noProof/>
          <w:lang w:eastAsia="fr-CH"/>
        </w:rPr>
        <w:t xml:space="preserve"> 2, l’administration effective est également considérée comme un point de rattachement économique possible. D’autre part, l’exemption prévue pour les marins travaillant à bord d’un navire de mer est déplacée dans un nouvel alinéa 4.</w:t>
      </w:r>
    </w:p>
    <w:p w14:paraId="2340AAC5" w14:textId="0476891A" w:rsidR="00264118" w:rsidRPr="008A15F9" w:rsidRDefault="00960FF2" w:rsidP="00960FF2">
      <w:pPr>
        <w:pStyle w:val="Corpsdetexte"/>
        <w:rPr>
          <w:noProof/>
          <w:lang w:eastAsia="fr-CH"/>
        </w:rPr>
      </w:pPr>
      <w:r w:rsidRPr="008A15F9">
        <w:rPr>
          <w:i/>
          <w:iCs/>
          <w:noProof/>
          <w:lang w:eastAsia="fr-CH"/>
        </w:rPr>
        <w:t>Al. 4</w:t>
      </w:r>
      <w:r w:rsidRPr="008A15F9">
        <w:rPr>
          <w:noProof/>
          <w:lang w:eastAsia="fr-CH"/>
        </w:rPr>
        <w:t> : cet alinéa reprend l’exemption de l’impôt à la source applicable au revenu du travail pour les marins travaillant à bord de navires de mer exploités par des employeurs ayant leur siège, leur administration effective ou un établissement stable en Suisse, les navires de mer concernés devant battre pavillon suisse. L’exonération expresse des revenus soumis à l’imposition selon la procédure simplifiée prévue à l’art</w:t>
      </w:r>
      <w:r w:rsidR="00264118" w:rsidRPr="008A15F9">
        <w:rPr>
          <w:noProof/>
          <w:lang w:eastAsia="fr-CH"/>
        </w:rPr>
        <w:t>icle</w:t>
      </w:r>
      <w:r w:rsidRPr="008A15F9">
        <w:rPr>
          <w:noProof/>
          <w:lang w:eastAsia="fr-CH"/>
        </w:rPr>
        <w:t xml:space="preserve"> 3</w:t>
      </w:r>
      <w:r w:rsidR="00264118" w:rsidRPr="008A15F9">
        <w:rPr>
          <w:noProof/>
          <w:lang w:eastAsia="fr-CH"/>
        </w:rPr>
        <w:t>8</w:t>
      </w:r>
      <w:r w:rsidRPr="008A15F9">
        <w:rPr>
          <w:noProof/>
          <w:lang w:eastAsia="fr-CH"/>
        </w:rPr>
        <w:t>a est désormais intégrée à l’al</w:t>
      </w:r>
      <w:r w:rsidR="00264118" w:rsidRPr="008A15F9">
        <w:rPr>
          <w:noProof/>
          <w:lang w:eastAsia="fr-CH"/>
        </w:rPr>
        <w:t>inéa</w:t>
      </w:r>
      <w:r w:rsidRPr="008A15F9">
        <w:rPr>
          <w:noProof/>
          <w:lang w:eastAsia="fr-CH"/>
        </w:rPr>
        <w:t xml:space="preserve"> 4 alors qu’elle était inscrite jusqu’ici à l’al</w:t>
      </w:r>
      <w:r w:rsidR="00264118" w:rsidRPr="008A15F9">
        <w:rPr>
          <w:noProof/>
          <w:lang w:eastAsia="fr-CH"/>
        </w:rPr>
        <w:t>inéa</w:t>
      </w:r>
      <w:r w:rsidRPr="008A15F9">
        <w:rPr>
          <w:noProof/>
          <w:lang w:eastAsia="fr-CH"/>
        </w:rPr>
        <w:t xml:space="preserve"> 1.</w:t>
      </w:r>
    </w:p>
    <w:p w14:paraId="50419DA7" w14:textId="2B7F8C67" w:rsidR="008E7813" w:rsidRPr="008A15F9" w:rsidRDefault="008E7813" w:rsidP="00960FF2">
      <w:pPr>
        <w:pStyle w:val="Corpsdetexte"/>
        <w:rPr>
          <w:i/>
          <w:iCs/>
          <w:noProof/>
          <w:lang w:eastAsia="fr-CH"/>
        </w:rPr>
      </w:pPr>
      <w:r w:rsidRPr="008A15F9">
        <w:rPr>
          <w:i/>
          <w:iCs/>
          <w:noProof/>
          <w:lang w:eastAsia="fr-CH"/>
        </w:rPr>
        <w:t>Art. 13</w:t>
      </w:r>
      <w:r w:rsidR="00907281" w:rsidRPr="008A15F9">
        <w:rPr>
          <w:i/>
          <w:iCs/>
          <w:noProof/>
          <w:lang w:eastAsia="fr-CH"/>
        </w:rPr>
        <w:t>7 al. 3</w:t>
      </w:r>
    </w:p>
    <w:p w14:paraId="2E4096D3" w14:textId="6861B236" w:rsidR="000B335C" w:rsidRPr="008A15F9" w:rsidRDefault="00BA1E7F" w:rsidP="00DC4643">
      <w:pPr>
        <w:pStyle w:val="Corpsdetexte"/>
        <w:rPr>
          <w:noProof/>
          <w:lang w:eastAsia="fr-CH"/>
        </w:rPr>
      </w:pPr>
      <w:r w:rsidRPr="008A15F9">
        <w:rPr>
          <w:noProof/>
          <w:lang w:eastAsia="fr-CH"/>
        </w:rPr>
        <w:t>La disposition prévoit que le SCC peut non seulement interconnecter son registre des contribuables personnes physiques avec les données provenant du registre du contrôle des habitants mais également avec les données du Référentiel cantonal de données de personnes, organisations et nomenclatures.</w:t>
      </w:r>
    </w:p>
    <w:p w14:paraId="1E39E9CD" w14:textId="07727217" w:rsidR="006D5D54" w:rsidRPr="008A15F9" w:rsidRDefault="00846B1D" w:rsidP="00DC4643">
      <w:pPr>
        <w:pStyle w:val="Corpsdetexte"/>
        <w:rPr>
          <w:i/>
          <w:iCs/>
          <w:noProof/>
          <w:lang w:eastAsia="fr-CH"/>
        </w:rPr>
      </w:pPr>
      <w:r w:rsidRPr="008A15F9">
        <w:rPr>
          <w:i/>
          <w:iCs/>
          <w:noProof/>
          <w:lang w:eastAsia="fr-CH"/>
        </w:rPr>
        <w:t xml:space="preserve">Art. </w:t>
      </w:r>
      <w:r w:rsidR="006D5D54" w:rsidRPr="008A15F9">
        <w:rPr>
          <w:i/>
          <w:iCs/>
          <w:noProof/>
          <w:lang w:eastAsia="fr-CH"/>
        </w:rPr>
        <w:t>137a al. 2 let. c (nouveau)</w:t>
      </w:r>
    </w:p>
    <w:p w14:paraId="46FAAFAA" w14:textId="5FB0A16B" w:rsidR="004964D5" w:rsidRPr="008A15F9" w:rsidRDefault="00BA1E7F" w:rsidP="00DC4643">
      <w:pPr>
        <w:pStyle w:val="Corpsdetexte"/>
        <w:rPr>
          <w:noProof/>
          <w:lang w:eastAsia="fr-CH"/>
        </w:rPr>
      </w:pPr>
      <w:r w:rsidRPr="008A15F9">
        <w:rPr>
          <w:noProof/>
          <w:lang w:eastAsia="fr-CH"/>
        </w:rPr>
        <w:t>Comme pour le registre des contribuables personnes physiques, le registre des personnes morales peut être interfacé avec le Référentiel cantonal de données de personnes, organisations et nomenclatures.</w:t>
      </w:r>
    </w:p>
    <w:p w14:paraId="77A313FB" w14:textId="597840B5" w:rsidR="00C3140E" w:rsidRPr="008A15F9" w:rsidRDefault="00C3140E" w:rsidP="00DC4643">
      <w:pPr>
        <w:pStyle w:val="Corpsdetexte"/>
        <w:rPr>
          <w:i/>
          <w:iCs/>
          <w:noProof/>
          <w:lang w:eastAsia="fr-CH"/>
        </w:rPr>
      </w:pPr>
      <w:r w:rsidRPr="008A15F9">
        <w:rPr>
          <w:i/>
          <w:iCs/>
          <w:noProof/>
          <w:lang w:eastAsia="fr-CH"/>
        </w:rPr>
        <w:t>Art. 153 al. 5</w:t>
      </w:r>
    </w:p>
    <w:p w14:paraId="2FEA1B24" w14:textId="5A571E4F" w:rsidR="00C3140E" w:rsidRPr="008A15F9" w:rsidRDefault="00C53DC6" w:rsidP="00DC4643">
      <w:pPr>
        <w:pStyle w:val="Corpsdetexte"/>
        <w:rPr>
          <w:noProof/>
          <w:lang w:eastAsia="fr-CH"/>
        </w:rPr>
      </w:pPr>
      <w:r w:rsidRPr="008A15F9">
        <w:rPr>
          <w:noProof/>
          <w:lang w:eastAsia="fr-CH"/>
        </w:rPr>
        <w:t>Cette disposition précise qu’en cas de pluralité de domicile d</w:t>
      </w:r>
      <w:r w:rsidR="00125B71" w:rsidRPr="008A15F9">
        <w:rPr>
          <w:noProof/>
          <w:lang w:eastAsia="fr-CH"/>
        </w:rPr>
        <w:t>’</w:t>
      </w:r>
      <w:r w:rsidRPr="008A15F9">
        <w:rPr>
          <w:noProof/>
          <w:lang w:eastAsia="fr-CH"/>
        </w:rPr>
        <w:t>u</w:t>
      </w:r>
      <w:r w:rsidR="00125B71" w:rsidRPr="008A15F9">
        <w:rPr>
          <w:noProof/>
          <w:lang w:eastAsia="fr-CH"/>
        </w:rPr>
        <w:t>n</w:t>
      </w:r>
      <w:r w:rsidRPr="008A15F9">
        <w:rPr>
          <w:noProof/>
          <w:lang w:eastAsia="fr-CH"/>
        </w:rPr>
        <w:t xml:space="preserve"> contribuable et dans la mesure où une commune n’a pas pu déterminer avec certitude le for fiscal principal au terme de l’instruction qu’elle a menée</w:t>
      </w:r>
      <w:r w:rsidR="00C71D90" w:rsidRPr="008A15F9">
        <w:rPr>
          <w:noProof/>
          <w:lang w:eastAsia="fr-CH"/>
        </w:rPr>
        <w:t>,</w:t>
      </w:r>
      <w:r w:rsidRPr="008A15F9">
        <w:rPr>
          <w:noProof/>
          <w:lang w:eastAsia="fr-CH"/>
        </w:rPr>
        <w:t xml:space="preserve"> ou que deux ou plusieurs communes ne parviennent pas </w:t>
      </w:r>
      <w:r w:rsidR="00125B71" w:rsidRPr="008A15F9">
        <w:rPr>
          <w:noProof/>
          <w:lang w:eastAsia="fr-CH"/>
        </w:rPr>
        <w:t xml:space="preserve">à </w:t>
      </w:r>
      <w:r w:rsidRPr="008A15F9">
        <w:rPr>
          <w:noProof/>
          <w:lang w:eastAsia="fr-CH"/>
        </w:rPr>
        <w:t>régler un conflit de compétences</w:t>
      </w:r>
      <w:r w:rsidR="00125B71" w:rsidRPr="008A15F9">
        <w:rPr>
          <w:noProof/>
          <w:lang w:eastAsia="fr-CH"/>
        </w:rPr>
        <w:t xml:space="preserve"> les opposant</w:t>
      </w:r>
      <w:r w:rsidRPr="008A15F9">
        <w:rPr>
          <w:noProof/>
          <w:lang w:eastAsia="fr-CH"/>
        </w:rPr>
        <w:t xml:space="preserve">, le Service cantonal des contributions rend une décision sur le domicile principal </w:t>
      </w:r>
      <w:r w:rsidR="00125B71" w:rsidRPr="008A15F9">
        <w:rPr>
          <w:noProof/>
          <w:lang w:eastAsia="fr-CH"/>
        </w:rPr>
        <w:t>communal du contribuable concerné</w:t>
      </w:r>
      <w:r w:rsidRPr="008A15F9">
        <w:rPr>
          <w:noProof/>
          <w:lang w:eastAsia="fr-CH"/>
        </w:rPr>
        <w:t xml:space="preserve">. </w:t>
      </w:r>
    </w:p>
    <w:p w14:paraId="0CBD7D6C" w14:textId="617F3D86" w:rsidR="0035747D" w:rsidRPr="008A15F9" w:rsidRDefault="0035747D" w:rsidP="00DC4643">
      <w:pPr>
        <w:pStyle w:val="Corpsdetexte"/>
        <w:rPr>
          <w:i/>
          <w:iCs/>
          <w:noProof/>
          <w:lang w:eastAsia="fr-CH"/>
        </w:rPr>
      </w:pPr>
      <w:r w:rsidRPr="008A15F9">
        <w:rPr>
          <w:i/>
          <w:iCs/>
          <w:noProof/>
          <w:lang w:eastAsia="fr-CH"/>
        </w:rPr>
        <w:t>Art. 1</w:t>
      </w:r>
      <w:r w:rsidR="00907281" w:rsidRPr="008A15F9">
        <w:rPr>
          <w:i/>
          <w:iCs/>
          <w:noProof/>
          <w:lang w:eastAsia="fr-CH"/>
        </w:rPr>
        <w:t>5</w:t>
      </w:r>
      <w:r w:rsidRPr="008A15F9">
        <w:rPr>
          <w:i/>
          <w:iCs/>
          <w:noProof/>
          <w:lang w:eastAsia="fr-CH"/>
        </w:rPr>
        <w:t>7 al. 1</w:t>
      </w:r>
      <w:r w:rsidR="00907281" w:rsidRPr="008A15F9">
        <w:rPr>
          <w:i/>
          <w:iCs/>
          <w:noProof/>
          <w:lang w:eastAsia="fr-CH"/>
        </w:rPr>
        <w:t xml:space="preserve"> et 2</w:t>
      </w:r>
      <w:r w:rsidR="00907281" w:rsidRPr="008A15F9">
        <w:rPr>
          <w:i/>
          <w:iCs/>
          <w:noProof/>
          <w:vertAlign w:val="superscript"/>
          <w:lang w:eastAsia="fr-CH"/>
        </w:rPr>
        <w:t>bis</w:t>
      </w:r>
    </w:p>
    <w:p w14:paraId="66147BE5" w14:textId="57F6A413" w:rsidR="0035747D" w:rsidRPr="008A15F9" w:rsidRDefault="00D41D8F" w:rsidP="00DC4643">
      <w:pPr>
        <w:pStyle w:val="Corpsdetexte"/>
        <w:rPr>
          <w:noProof/>
          <w:lang w:eastAsia="fr-CH"/>
        </w:rPr>
      </w:pPr>
      <w:r w:rsidRPr="008A15F9">
        <w:rPr>
          <w:noProof/>
          <w:lang w:eastAsia="fr-CH"/>
        </w:rPr>
        <w:t>La disposition est modifiée de telle sorte à prévoir la possibilité</w:t>
      </w:r>
      <w:r w:rsidR="00EC5124" w:rsidRPr="008A15F9">
        <w:rPr>
          <w:noProof/>
          <w:lang w:eastAsia="fr-CH"/>
        </w:rPr>
        <w:t xml:space="preserve"> pour le </w:t>
      </w:r>
      <w:r w:rsidRPr="008A15F9">
        <w:rPr>
          <w:noProof/>
          <w:lang w:eastAsia="fr-CH"/>
        </w:rPr>
        <w:t>contribuable</w:t>
      </w:r>
      <w:r w:rsidR="00EC5124" w:rsidRPr="008A15F9">
        <w:rPr>
          <w:noProof/>
          <w:lang w:eastAsia="fr-CH"/>
        </w:rPr>
        <w:t xml:space="preserve"> de remplir et de déposer sa déclaration d’impôt en ligne par le biais de la prestation FriTax. </w:t>
      </w:r>
    </w:p>
    <w:p w14:paraId="7F01BF24" w14:textId="15B5554F" w:rsidR="008E7813" w:rsidRPr="008A15F9" w:rsidRDefault="008E7813" w:rsidP="00DC4643">
      <w:pPr>
        <w:pStyle w:val="Corpsdetexte"/>
        <w:rPr>
          <w:i/>
          <w:iCs/>
          <w:noProof/>
          <w:lang w:eastAsia="fr-CH"/>
        </w:rPr>
      </w:pPr>
      <w:r w:rsidRPr="008A15F9">
        <w:rPr>
          <w:i/>
          <w:iCs/>
          <w:noProof/>
          <w:lang w:eastAsia="fr-CH"/>
        </w:rPr>
        <w:t>Art. 1</w:t>
      </w:r>
      <w:r w:rsidR="00907281" w:rsidRPr="008A15F9">
        <w:rPr>
          <w:i/>
          <w:iCs/>
          <w:noProof/>
          <w:lang w:eastAsia="fr-CH"/>
        </w:rPr>
        <w:t>60</w:t>
      </w:r>
      <w:r w:rsidR="002108D8" w:rsidRPr="008A15F9">
        <w:rPr>
          <w:i/>
          <w:iCs/>
          <w:noProof/>
          <w:lang w:eastAsia="fr-CH"/>
        </w:rPr>
        <w:t xml:space="preserve"> al.</w:t>
      </w:r>
      <w:r w:rsidR="00907281" w:rsidRPr="008A15F9">
        <w:rPr>
          <w:i/>
          <w:iCs/>
          <w:noProof/>
          <w:lang w:eastAsia="fr-CH"/>
        </w:rPr>
        <w:t xml:space="preserve"> 2a</w:t>
      </w:r>
      <w:r w:rsidR="002108D8" w:rsidRPr="008A15F9">
        <w:rPr>
          <w:i/>
          <w:iCs/>
          <w:noProof/>
          <w:lang w:eastAsia="fr-CH"/>
        </w:rPr>
        <w:t xml:space="preserve"> (nouveau)</w:t>
      </w:r>
    </w:p>
    <w:p w14:paraId="33B87ADC" w14:textId="77777777" w:rsidR="00E7102F" w:rsidRPr="008A15F9" w:rsidRDefault="00E7102F" w:rsidP="00E7102F">
      <w:pPr>
        <w:pStyle w:val="Corpsdetexte"/>
        <w:rPr>
          <w:noProof/>
          <w:lang w:eastAsia="fr-CH"/>
        </w:rPr>
      </w:pPr>
      <w:r w:rsidRPr="008A15F9">
        <w:rPr>
          <w:noProof/>
          <w:lang w:eastAsia="fr-CH"/>
        </w:rPr>
        <w:t>Cette disposition renforce la sécurité juridique pour les cas où un travailleur changerait d’employeur en cours d’année. Ainsi, le nombre de jours durant lesquels l’activité a été exercée sous forme de télétravail au cours de l’année concernée peut être communiqué au nouvel employeur afin que celui-ci puisse convenir les modalités relatives au télétravail avec le travailleur en tenant compte de l’accord pertinent et respecter ses obligations.</w:t>
      </w:r>
    </w:p>
    <w:p w14:paraId="01A7B500" w14:textId="36990E77" w:rsidR="00802B16" w:rsidRPr="008A15F9" w:rsidRDefault="00E7102F" w:rsidP="00E7102F">
      <w:pPr>
        <w:pStyle w:val="Corpsdetexte"/>
        <w:rPr>
          <w:noProof/>
          <w:lang w:eastAsia="fr-CH"/>
        </w:rPr>
      </w:pPr>
      <w:r w:rsidRPr="008A15F9">
        <w:rPr>
          <w:noProof/>
          <w:lang w:eastAsia="fr-CH"/>
        </w:rPr>
        <w:t xml:space="preserve">Le contenu exact de l’attestation devra être toutefois défini dans l’Ordonnance relative à la perception de l'impôt à la source du 9 décembre 2020 sur l’imposition à la source. </w:t>
      </w:r>
    </w:p>
    <w:p w14:paraId="7B46D00A" w14:textId="73EBA7D5" w:rsidR="00F10484" w:rsidRPr="008A15F9" w:rsidRDefault="008A15F9" w:rsidP="00DC4643">
      <w:pPr>
        <w:pStyle w:val="Corpsdetexte"/>
        <w:rPr>
          <w:i/>
          <w:iCs/>
          <w:noProof/>
          <w:lang w:eastAsia="fr-CH"/>
        </w:rPr>
      </w:pPr>
      <w:r>
        <w:rPr>
          <w:i/>
          <w:iCs/>
          <w:noProof/>
          <w:lang w:eastAsia="fr-CH"/>
        </w:rPr>
        <w:t xml:space="preserve">Art. </w:t>
      </w:r>
      <w:r w:rsidR="00F10484" w:rsidRPr="008A15F9">
        <w:rPr>
          <w:i/>
          <w:iCs/>
          <w:noProof/>
          <w:lang w:eastAsia="fr-CH"/>
        </w:rPr>
        <w:t>16</w:t>
      </w:r>
      <w:r w:rsidR="00907281" w:rsidRPr="008A15F9">
        <w:rPr>
          <w:i/>
          <w:iCs/>
          <w:noProof/>
          <w:lang w:eastAsia="fr-CH"/>
        </w:rPr>
        <w:t>2</w:t>
      </w:r>
      <w:r w:rsidR="00F10484" w:rsidRPr="008A15F9">
        <w:rPr>
          <w:i/>
          <w:iCs/>
          <w:noProof/>
          <w:lang w:eastAsia="fr-CH"/>
        </w:rPr>
        <w:t xml:space="preserve"> al. 1 let. </w:t>
      </w:r>
      <w:r w:rsidR="00907281" w:rsidRPr="008A15F9">
        <w:rPr>
          <w:i/>
          <w:iCs/>
          <w:noProof/>
          <w:lang w:eastAsia="fr-CH"/>
        </w:rPr>
        <w:t>g (nouveau)</w:t>
      </w:r>
    </w:p>
    <w:p w14:paraId="18BD97F3" w14:textId="5FF6A43E" w:rsidR="00436007" w:rsidRDefault="00436007" w:rsidP="00436007">
      <w:pPr>
        <w:pStyle w:val="Corpsdetexte"/>
        <w:rPr>
          <w:noProof/>
          <w:lang w:eastAsia="fr-CH"/>
        </w:rPr>
      </w:pPr>
      <w:r w:rsidRPr="008A15F9">
        <w:rPr>
          <w:noProof/>
          <w:lang w:eastAsia="fr-CH"/>
        </w:rPr>
        <w:t xml:space="preserve">Le bon fonctionnement des réglementations de droit international adoptées entre les États suppose que les données salariales soient attestées de manière adéquate. À cet effet, il convient, en plus des obligations de fournir des attestations que la loi impose déjà à des tiers, d’introduire une obligation de fournir aux autorités de taxation, dans le </w:t>
      </w:r>
      <w:r w:rsidRPr="008A15F9">
        <w:rPr>
          <w:noProof/>
          <w:lang w:eastAsia="fr-CH"/>
        </w:rPr>
        <w:lastRenderedPageBreak/>
        <w:t>cadre de l’échange de données, la preuve des données prévues par l’accord fiscal international concerné. Celles‑ci devraient notamment comprendre le revenu, le montant de l’impôt, les cotisations de sécurité sociale, le taux de télétravail ou le nombre de jours de télétravail ainsi que des données permettant d’identifier le contribuable.</w:t>
      </w:r>
    </w:p>
    <w:p w14:paraId="43106FF3" w14:textId="77777777" w:rsidR="005808F3" w:rsidRPr="008A15F9" w:rsidRDefault="005808F3" w:rsidP="00436007">
      <w:pPr>
        <w:pStyle w:val="Corpsdetexte"/>
        <w:rPr>
          <w:noProof/>
          <w:lang w:eastAsia="fr-CH"/>
        </w:rPr>
      </w:pPr>
    </w:p>
    <w:p w14:paraId="01D427D8" w14:textId="45A6C303" w:rsidR="0007646E" w:rsidRPr="008A15F9" w:rsidRDefault="0007646E" w:rsidP="0007646E">
      <w:pPr>
        <w:pStyle w:val="Corpsdetexte"/>
        <w:rPr>
          <w:i/>
          <w:iCs/>
          <w:noProof/>
          <w:lang w:eastAsia="fr-CH"/>
        </w:rPr>
      </w:pPr>
      <w:r w:rsidRPr="008A15F9">
        <w:rPr>
          <w:i/>
          <w:iCs/>
          <w:noProof/>
          <w:lang w:eastAsia="fr-CH"/>
        </w:rPr>
        <w:t>Art. 165a (nouveau)</w:t>
      </w:r>
    </w:p>
    <w:p w14:paraId="36850F60" w14:textId="77777777" w:rsidR="00663AF3" w:rsidRPr="008A15F9" w:rsidRDefault="000D5AA3" w:rsidP="00663AF3">
      <w:pPr>
        <w:pStyle w:val="Corpsdetexte"/>
        <w:rPr>
          <w:noProof/>
          <w:lang w:eastAsia="fr-CH"/>
        </w:rPr>
      </w:pPr>
      <w:r w:rsidRPr="008A15F9">
        <w:rPr>
          <w:noProof/>
          <w:lang w:eastAsia="fr-CH"/>
        </w:rPr>
        <w:t xml:space="preserve">Cette disposition règle la taxation au moyen de systèmes de décision et d’assistance algorithmiques. Par conséquent, les décisions de taxation peuvent également être rendues de manière entièrement automatisée par l’utilisation d’un module de machine learning (al. 1 et 2). </w:t>
      </w:r>
      <w:r w:rsidR="00663AF3" w:rsidRPr="008A15F9">
        <w:rPr>
          <w:noProof/>
          <w:lang w:eastAsia="fr-CH"/>
        </w:rPr>
        <w:t xml:space="preserve">Une décision de taxation entièrement automatisée est expressément identifiée comme telle. De plus, les contribuables sont informés, dans les instructions générales pour l’établissement de la déclaration d'impôt, de l'utilisation éventuelle et du fonctionnement des systèmes algorithmiques utilisés (al. 3). </w:t>
      </w:r>
    </w:p>
    <w:p w14:paraId="7117CBA5" w14:textId="1992F9C7" w:rsidR="00663AF3" w:rsidRPr="008A15F9" w:rsidRDefault="000D5AA3" w:rsidP="00663AF3">
      <w:pPr>
        <w:pStyle w:val="Corpsdetexte"/>
        <w:rPr>
          <w:noProof/>
          <w:lang w:eastAsia="fr-CH"/>
        </w:rPr>
      </w:pPr>
      <w:r w:rsidRPr="008A15F9">
        <w:rPr>
          <w:noProof/>
          <w:lang w:eastAsia="fr-CH"/>
        </w:rPr>
        <w:t xml:space="preserve">En raison de la systématique de la loi, </w:t>
      </w:r>
      <w:r w:rsidR="00663AF3" w:rsidRPr="008A15F9">
        <w:rPr>
          <w:noProof/>
          <w:lang w:eastAsia="fr-CH"/>
        </w:rPr>
        <w:t>l’article 165a</w:t>
      </w:r>
      <w:r w:rsidRPr="008A15F9">
        <w:rPr>
          <w:noProof/>
          <w:lang w:eastAsia="fr-CH"/>
        </w:rPr>
        <w:t xml:space="preserve"> s’applique </w:t>
      </w:r>
      <w:r w:rsidR="00663AF3" w:rsidRPr="008A15F9">
        <w:rPr>
          <w:noProof/>
          <w:lang w:eastAsia="fr-CH"/>
        </w:rPr>
        <w:t xml:space="preserve">uniquement à </w:t>
      </w:r>
      <w:r w:rsidRPr="008A15F9">
        <w:rPr>
          <w:noProof/>
          <w:lang w:eastAsia="fr-CH"/>
        </w:rPr>
        <w:t xml:space="preserve">la procédure de taxation, mais </w:t>
      </w:r>
      <w:r w:rsidR="00663AF3" w:rsidRPr="008A15F9">
        <w:rPr>
          <w:noProof/>
          <w:lang w:eastAsia="fr-CH"/>
        </w:rPr>
        <w:t xml:space="preserve">pas dans le cadre de </w:t>
      </w:r>
      <w:r w:rsidRPr="008A15F9">
        <w:rPr>
          <w:noProof/>
          <w:lang w:eastAsia="fr-CH"/>
        </w:rPr>
        <w:t>la procédure d</w:t>
      </w:r>
      <w:r w:rsidR="00663AF3" w:rsidRPr="008A15F9">
        <w:rPr>
          <w:noProof/>
          <w:lang w:eastAsia="fr-CH"/>
        </w:rPr>
        <w:t>e réclamation laquelle</w:t>
      </w:r>
      <w:r w:rsidRPr="008A15F9">
        <w:rPr>
          <w:noProof/>
          <w:lang w:eastAsia="fr-CH"/>
        </w:rPr>
        <w:t xml:space="preserve"> est donc toujours</w:t>
      </w:r>
      <w:r w:rsidR="00663AF3" w:rsidRPr="008A15F9">
        <w:rPr>
          <w:noProof/>
          <w:lang w:eastAsia="fr-CH"/>
        </w:rPr>
        <w:t xml:space="preserve"> traitée par un collaborateur ou une collaboratrice du SCC.</w:t>
      </w:r>
    </w:p>
    <w:p w14:paraId="74210298" w14:textId="42209763" w:rsidR="000D5AA3" w:rsidRPr="008A15F9" w:rsidRDefault="000D5AA3" w:rsidP="00663AF3">
      <w:pPr>
        <w:pStyle w:val="Corpsdetexte"/>
        <w:rPr>
          <w:noProof/>
          <w:lang w:eastAsia="fr-CH"/>
        </w:rPr>
      </w:pPr>
      <w:r w:rsidRPr="008A15F9">
        <w:rPr>
          <w:noProof/>
          <w:lang w:eastAsia="fr-CH"/>
        </w:rPr>
        <w:t xml:space="preserve">Lors de l’utilisation de systèmes algorithmiques, l’administration fiscale </w:t>
      </w:r>
      <w:r w:rsidR="002A6870" w:rsidRPr="008A15F9">
        <w:rPr>
          <w:noProof/>
          <w:lang w:eastAsia="fr-CH"/>
        </w:rPr>
        <w:t xml:space="preserve">demeure responsable de l’exécution légale de ses tâches </w:t>
      </w:r>
      <w:r w:rsidRPr="008A15F9">
        <w:rPr>
          <w:noProof/>
          <w:lang w:eastAsia="fr-CH"/>
        </w:rPr>
        <w:t>ainsi que du respect de la protection et de la sécurité des données (al. 4).</w:t>
      </w:r>
    </w:p>
    <w:p w14:paraId="33A7AFD6" w14:textId="010ACA2F" w:rsidR="00436007" w:rsidRPr="008A15F9" w:rsidRDefault="0068655D" w:rsidP="00436007">
      <w:pPr>
        <w:pStyle w:val="Corpsdetexte"/>
        <w:rPr>
          <w:i/>
          <w:iCs/>
          <w:noProof/>
          <w:lang w:eastAsia="fr-CH"/>
        </w:rPr>
      </w:pPr>
      <w:r w:rsidRPr="008A15F9">
        <w:rPr>
          <w:i/>
          <w:iCs/>
          <w:noProof/>
          <w:lang w:eastAsia="fr-CH"/>
        </w:rPr>
        <w:t>Art. 167 al. 1a (nouveau)</w:t>
      </w:r>
    </w:p>
    <w:p w14:paraId="3E65AFB1" w14:textId="310448E9" w:rsidR="0068655D" w:rsidRPr="008A15F9" w:rsidRDefault="00D20F0B" w:rsidP="00436007">
      <w:pPr>
        <w:pStyle w:val="Corpsdetexte"/>
        <w:rPr>
          <w:noProof/>
          <w:lang w:eastAsia="fr-CH"/>
        </w:rPr>
      </w:pPr>
      <w:r w:rsidRPr="008A15F9">
        <w:rPr>
          <w:noProof/>
          <w:lang w:eastAsia="fr-CH"/>
        </w:rPr>
        <w:t xml:space="preserve">La disposition est complétée afin d’introduire une obligation pour </w:t>
      </w:r>
      <w:r w:rsidR="007733CE" w:rsidRPr="008A15F9">
        <w:rPr>
          <w:noProof/>
          <w:lang w:eastAsia="fr-CH"/>
        </w:rPr>
        <w:t>un</w:t>
      </w:r>
      <w:r w:rsidRPr="008A15F9">
        <w:rPr>
          <w:noProof/>
          <w:lang w:eastAsia="fr-CH"/>
        </w:rPr>
        <w:t xml:space="preserve"> contribuable, qui n’aurait pas reçu de déclaration d’impôt sur les gains immobiliers dans les deux ans suivant une aliénation immobilière inscrite au registre foncier, de l’annoncer au Service cantonal des contributions.  </w:t>
      </w:r>
    </w:p>
    <w:p w14:paraId="6F5BC504" w14:textId="683AD26E" w:rsidR="00DF0E1A" w:rsidRPr="008A15F9" w:rsidRDefault="00DF0E1A" w:rsidP="00436007">
      <w:pPr>
        <w:pStyle w:val="Corpsdetexte"/>
        <w:rPr>
          <w:i/>
          <w:iCs/>
          <w:noProof/>
          <w:lang w:eastAsia="fr-CH"/>
        </w:rPr>
      </w:pPr>
      <w:r w:rsidRPr="008A15F9">
        <w:rPr>
          <w:i/>
          <w:iCs/>
          <w:noProof/>
          <w:lang w:eastAsia="fr-CH"/>
        </w:rPr>
        <w:t>Art. 217a (nouveau)</w:t>
      </w:r>
    </w:p>
    <w:p w14:paraId="41EDC684" w14:textId="77777777" w:rsidR="00876AB3" w:rsidRPr="008A15F9" w:rsidRDefault="00DF0E1A" w:rsidP="00DF0E1A">
      <w:pPr>
        <w:pStyle w:val="Corpsdetexte"/>
        <w:rPr>
          <w:noProof/>
          <w:lang w:eastAsia="fr-CH"/>
        </w:rPr>
      </w:pPr>
      <w:r w:rsidRPr="008A15F9">
        <w:rPr>
          <w:noProof/>
          <w:lang w:eastAsia="fr-CH"/>
        </w:rPr>
        <w:t>Cette disposition introduit une obligation, pour</w:t>
      </w:r>
      <w:r w:rsidR="00876AB3" w:rsidRPr="008A15F9">
        <w:rPr>
          <w:noProof/>
          <w:lang w:eastAsia="fr-CH"/>
        </w:rPr>
        <w:t xml:space="preserve"> les aliénations immobilières effectuées par devant un </w:t>
      </w:r>
      <w:r w:rsidRPr="008A15F9">
        <w:rPr>
          <w:noProof/>
          <w:lang w:eastAsia="fr-CH"/>
        </w:rPr>
        <w:t xml:space="preserve">officier public (notaire), de consigner </w:t>
      </w:r>
      <w:r w:rsidR="00E47EDE" w:rsidRPr="008A15F9">
        <w:rPr>
          <w:noProof/>
          <w:lang w:eastAsia="fr-CH"/>
        </w:rPr>
        <w:t>5</w:t>
      </w:r>
      <w:r w:rsidRPr="008A15F9">
        <w:rPr>
          <w:noProof/>
          <w:lang w:eastAsia="fr-CH"/>
        </w:rPr>
        <w:t>% du produit de l’aliénation pour garantir le paiement sur les gains immobiliers qu’ils concernent des immeubles privés ou commerciaux.</w:t>
      </w:r>
      <w:r w:rsidR="00234F29" w:rsidRPr="008A15F9">
        <w:rPr>
          <w:noProof/>
          <w:lang w:eastAsia="fr-CH"/>
        </w:rPr>
        <w:t xml:space="preserve"> </w:t>
      </w:r>
    </w:p>
    <w:p w14:paraId="0146E737" w14:textId="1A0160DD" w:rsidR="005826EC" w:rsidRPr="008A15F9" w:rsidRDefault="005826EC" w:rsidP="00DF0E1A">
      <w:pPr>
        <w:pStyle w:val="Corpsdetexte"/>
        <w:rPr>
          <w:noProof/>
          <w:lang w:eastAsia="fr-CH"/>
        </w:rPr>
      </w:pPr>
      <w:r w:rsidRPr="008A15F9">
        <w:rPr>
          <w:noProof/>
          <w:lang w:eastAsia="fr-CH"/>
        </w:rPr>
        <w:t xml:space="preserve">Le même pourcentage de consignation est prévu pour les personnes physiques et les personnes morales. </w:t>
      </w:r>
    </w:p>
    <w:p w14:paraId="6100BDC0" w14:textId="2ED1AFC7" w:rsidR="00DF0E1A" w:rsidRPr="008A15F9" w:rsidRDefault="00DF0E1A" w:rsidP="00DF0E1A">
      <w:pPr>
        <w:pStyle w:val="Corpsdetexte"/>
        <w:rPr>
          <w:noProof/>
          <w:lang w:eastAsia="fr-CH"/>
        </w:rPr>
      </w:pPr>
      <w:r w:rsidRPr="008A15F9">
        <w:rPr>
          <w:noProof/>
          <w:lang w:eastAsia="fr-CH"/>
        </w:rPr>
        <w:t xml:space="preserve">L’article dispose que les règles en matière de violation des obligations de procédure sont applicables. De plus, le droit d’inscrire une hypothèque légale pour le montant d’impôt impayé </w:t>
      </w:r>
      <w:r w:rsidR="00876AB3" w:rsidRPr="008A15F9">
        <w:rPr>
          <w:noProof/>
          <w:lang w:eastAsia="fr-CH"/>
        </w:rPr>
        <w:t>demeure</w:t>
      </w:r>
      <w:r w:rsidRPr="008A15F9">
        <w:rPr>
          <w:noProof/>
          <w:lang w:eastAsia="fr-CH"/>
        </w:rPr>
        <w:t xml:space="preserve"> réservé. </w:t>
      </w:r>
    </w:p>
    <w:p w14:paraId="747C498F" w14:textId="72BCF478" w:rsidR="00DF0E1A" w:rsidRPr="008A15F9" w:rsidRDefault="00DF0E1A" w:rsidP="00DF0E1A">
      <w:pPr>
        <w:pStyle w:val="Corpsdetexte"/>
        <w:rPr>
          <w:noProof/>
          <w:lang w:eastAsia="fr-CH"/>
        </w:rPr>
      </w:pPr>
      <w:r w:rsidRPr="008A15F9">
        <w:rPr>
          <w:noProof/>
          <w:lang w:eastAsia="fr-CH"/>
        </w:rPr>
        <w:t>En outre, la disposition prévoit que les aliénations effectuées en application des dispositions de la loi fédérale du 11 avril 1889 sur la poursuite pour dettes et la faillite (LP – RS 281.1) ne sont pas soumises à la consignation. En revanche, dans ces cas, l’impôt sur le revenu ou sur le bénéfice ou l’impôt sur les gains immobiliers est, le cas échéant, garanti par une hypothèque légale privilégiée, conformément aux dispositions de l’article 836 du Code civil suisse du 10 décembre 1907 (CC – RS 210).</w:t>
      </w:r>
    </w:p>
    <w:p w14:paraId="2837F473" w14:textId="74A27A70" w:rsidR="00D1453C" w:rsidRPr="008A15F9" w:rsidRDefault="00D1453C" w:rsidP="00DF0E1A">
      <w:pPr>
        <w:pStyle w:val="Corpsdetexte"/>
        <w:rPr>
          <w:noProof/>
          <w:lang w:eastAsia="fr-CH"/>
        </w:rPr>
      </w:pPr>
      <w:bookmarkStart w:id="11" w:name="_Hlk220322078"/>
      <w:r w:rsidRPr="008A15F9">
        <w:rPr>
          <w:noProof/>
          <w:lang w:eastAsia="fr-CH"/>
        </w:rPr>
        <w:t xml:space="preserve">Cette nouvelle disposition s’applique aux actes </w:t>
      </w:r>
      <w:r w:rsidR="00CA20BE" w:rsidRPr="008A15F9">
        <w:rPr>
          <w:noProof/>
          <w:lang w:eastAsia="fr-CH"/>
        </w:rPr>
        <w:t xml:space="preserve">instrumentées par </w:t>
      </w:r>
      <w:r w:rsidR="000A56C1" w:rsidRPr="008A15F9">
        <w:rPr>
          <w:noProof/>
          <w:lang w:eastAsia="fr-CH"/>
        </w:rPr>
        <w:t xml:space="preserve">devant notaire après </w:t>
      </w:r>
      <w:r w:rsidR="00F04DA6" w:rsidRPr="008A15F9">
        <w:rPr>
          <w:noProof/>
          <w:lang w:eastAsia="fr-CH"/>
        </w:rPr>
        <w:t>qu’elle soit</w:t>
      </w:r>
      <w:r w:rsidR="000A56C1" w:rsidRPr="008A15F9">
        <w:rPr>
          <w:noProof/>
          <w:lang w:eastAsia="fr-CH"/>
        </w:rPr>
        <w:t xml:space="preserve"> entrée en vigueur. La date de </w:t>
      </w:r>
      <w:r w:rsidR="00CA20BE" w:rsidRPr="008A15F9">
        <w:rPr>
          <w:noProof/>
          <w:lang w:eastAsia="fr-CH"/>
        </w:rPr>
        <w:t>l’acte notarial</w:t>
      </w:r>
      <w:r w:rsidR="000A56C1" w:rsidRPr="008A15F9">
        <w:rPr>
          <w:noProof/>
          <w:lang w:eastAsia="fr-CH"/>
        </w:rPr>
        <w:t xml:space="preserve"> est déterminante. Dès lors que la date d’entrée en vigueur</w:t>
      </w:r>
      <w:r w:rsidR="00F04DA6" w:rsidRPr="008A15F9">
        <w:rPr>
          <w:noProof/>
          <w:lang w:eastAsia="fr-CH"/>
        </w:rPr>
        <w:t xml:space="preserve"> est</w:t>
      </w:r>
      <w:r w:rsidR="000A56C1" w:rsidRPr="008A15F9">
        <w:rPr>
          <w:noProof/>
          <w:lang w:eastAsia="fr-CH"/>
        </w:rPr>
        <w:t xml:space="preserve"> prévue le 1</w:t>
      </w:r>
      <w:r w:rsidR="000A56C1" w:rsidRPr="008A15F9">
        <w:rPr>
          <w:noProof/>
          <w:vertAlign w:val="superscript"/>
          <w:lang w:eastAsia="fr-CH"/>
        </w:rPr>
        <w:t>er</w:t>
      </w:r>
      <w:r w:rsidR="000A56C1" w:rsidRPr="008A15F9">
        <w:rPr>
          <w:noProof/>
          <w:lang w:eastAsia="fr-CH"/>
        </w:rPr>
        <w:t xml:space="preserve"> janvier 2027, les aliénations </w:t>
      </w:r>
      <w:r w:rsidR="00CA20BE" w:rsidRPr="008A15F9">
        <w:rPr>
          <w:noProof/>
          <w:lang w:eastAsia="fr-CH"/>
        </w:rPr>
        <w:t>conclues par</w:t>
      </w:r>
      <w:r w:rsidR="000A56C1" w:rsidRPr="008A15F9">
        <w:rPr>
          <w:noProof/>
          <w:lang w:eastAsia="fr-CH"/>
        </w:rPr>
        <w:t xml:space="preserve"> devant notaire durant les derniers jours de décembre 2026 ne seront pas soumises à l’obligation de consignation. En revanche, les aliénations </w:t>
      </w:r>
      <w:r w:rsidR="00CA20BE" w:rsidRPr="008A15F9">
        <w:rPr>
          <w:noProof/>
          <w:lang w:eastAsia="fr-CH"/>
        </w:rPr>
        <w:t>instrumentées</w:t>
      </w:r>
      <w:r w:rsidR="000A56C1" w:rsidRPr="008A15F9">
        <w:rPr>
          <w:noProof/>
          <w:lang w:eastAsia="fr-CH"/>
        </w:rPr>
        <w:t xml:space="preserve"> dès le 1</w:t>
      </w:r>
      <w:r w:rsidR="000A56C1" w:rsidRPr="008A15F9">
        <w:rPr>
          <w:noProof/>
          <w:vertAlign w:val="superscript"/>
          <w:lang w:eastAsia="fr-CH"/>
        </w:rPr>
        <w:t>er</w:t>
      </w:r>
      <w:r w:rsidR="000A56C1" w:rsidRPr="008A15F9">
        <w:rPr>
          <w:noProof/>
          <w:lang w:eastAsia="fr-CH"/>
        </w:rPr>
        <w:t xml:space="preserve"> janvier 2027 seront soumises à l’obligation de consignation.</w:t>
      </w:r>
    </w:p>
    <w:p w14:paraId="3E94F3C9" w14:textId="61C8953E" w:rsidR="000E266B" w:rsidRPr="008A15F9" w:rsidRDefault="000E266B" w:rsidP="00DF0E1A">
      <w:pPr>
        <w:pStyle w:val="Corpsdetexte"/>
        <w:rPr>
          <w:noProof/>
          <w:lang w:eastAsia="fr-CH"/>
        </w:rPr>
      </w:pPr>
      <w:r w:rsidRPr="008A15F9">
        <w:rPr>
          <w:noProof/>
          <w:lang w:eastAsia="fr-CH"/>
        </w:rPr>
        <w:t>Les aliénations immobilières effectuées entre ex-époux dans le cadre de la liquidation d</w:t>
      </w:r>
      <w:r w:rsidR="00F04DA6" w:rsidRPr="008A15F9">
        <w:rPr>
          <w:noProof/>
          <w:lang w:eastAsia="fr-CH"/>
        </w:rPr>
        <w:t xml:space="preserve">e leur </w:t>
      </w:r>
      <w:r w:rsidRPr="008A15F9">
        <w:rPr>
          <w:noProof/>
          <w:lang w:eastAsia="fr-CH"/>
        </w:rPr>
        <w:t>régime matriomonial ne sont pas instrumentées par un notaire et</w:t>
      </w:r>
      <w:r w:rsidR="00F04DA6" w:rsidRPr="008A15F9">
        <w:rPr>
          <w:noProof/>
          <w:lang w:eastAsia="fr-CH"/>
        </w:rPr>
        <w:t>,</w:t>
      </w:r>
      <w:r w:rsidRPr="008A15F9">
        <w:rPr>
          <w:noProof/>
          <w:lang w:eastAsia="fr-CH"/>
        </w:rPr>
        <w:t xml:space="preserve"> par conséquent</w:t>
      </w:r>
      <w:r w:rsidR="00F04DA6" w:rsidRPr="008A15F9">
        <w:rPr>
          <w:noProof/>
          <w:lang w:eastAsia="fr-CH"/>
        </w:rPr>
        <w:t>,</w:t>
      </w:r>
      <w:r w:rsidRPr="008A15F9">
        <w:rPr>
          <w:noProof/>
          <w:lang w:eastAsia="fr-CH"/>
        </w:rPr>
        <w:t xml:space="preserve"> ne sont pas soumis à l’obligation de consignation.</w:t>
      </w:r>
    </w:p>
    <w:p w14:paraId="15392853" w14:textId="16236F0E" w:rsidR="006C43F6" w:rsidRPr="008A15F9" w:rsidRDefault="006C43F6" w:rsidP="00DF0E1A">
      <w:pPr>
        <w:pStyle w:val="Corpsdetexte"/>
        <w:rPr>
          <w:noProof/>
          <w:lang w:eastAsia="fr-CH"/>
        </w:rPr>
      </w:pPr>
      <w:r w:rsidRPr="008A15F9">
        <w:rPr>
          <w:noProof/>
          <w:lang w:eastAsia="fr-CH"/>
        </w:rPr>
        <w:t xml:space="preserve">Les parties pourront renoncer à la consignation si </w:t>
      </w:r>
      <w:r w:rsidR="000E266B" w:rsidRPr="008A15F9">
        <w:rPr>
          <w:noProof/>
          <w:lang w:eastAsia="fr-CH"/>
        </w:rPr>
        <w:t>l</w:t>
      </w:r>
      <w:r w:rsidR="00F04DA6" w:rsidRPr="008A15F9">
        <w:rPr>
          <w:noProof/>
          <w:lang w:eastAsia="fr-CH"/>
        </w:rPr>
        <w:t>’aliénateur d’</w:t>
      </w:r>
      <w:r w:rsidR="000E266B" w:rsidRPr="008A15F9">
        <w:rPr>
          <w:noProof/>
          <w:lang w:eastAsia="fr-CH"/>
        </w:rPr>
        <w:t>un immeuble peut démontr</w:t>
      </w:r>
      <w:r w:rsidR="00F04DA6" w:rsidRPr="008A15F9">
        <w:rPr>
          <w:noProof/>
          <w:lang w:eastAsia="fr-CH"/>
        </w:rPr>
        <w:t>er</w:t>
      </w:r>
      <w:r w:rsidRPr="008A15F9">
        <w:rPr>
          <w:noProof/>
          <w:lang w:eastAsia="fr-CH"/>
        </w:rPr>
        <w:t xml:space="preserve"> </w:t>
      </w:r>
      <w:r w:rsidR="00F04DA6" w:rsidRPr="008A15F9">
        <w:rPr>
          <w:noProof/>
          <w:lang w:eastAsia="fr-CH"/>
        </w:rPr>
        <w:t>au notaire, en charge de l’instrumentation, ainsi qu’à l’acquéreur</w:t>
      </w:r>
      <w:r w:rsidRPr="008A15F9">
        <w:rPr>
          <w:noProof/>
          <w:lang w:eastAsia="fr-CH"/>
        </w:rPr>
        <w:t>,</w:t>
      </w:r>
      <w:r w:rsidR="00F04DA6" w:rsidRPr="008A15F9">
        <w:rPr>
          <w:noProof/>
          <w:lang w:eastAsia="fr-CH"/>
        </w:rPr>
        <w:t xml:space="preserve"> qu’il a déjà acquis un autre immeuble</w:t>
      </w:r>
      <w:r w:rsidRPr="008A15F9">
        <w:rPr>
          <w:noProof/>
          <w:lang w:eastAsia="fr-CH"/>
        </w:rPr>
        <w:t xml:space="preserve"> en remplacement</w:t>
      </w:r>
      <w:r w:rsidR="00F04DA6" w:rsidRPr="008A15F9">
        <w:rPr>
          <w:noProof/>
          <w:lang w:eastAsia="fr-CH"/>
        </w:rPr>
        <w:t xml:space="preserve"> et que le gain </w:t>
      </w:r>
      <w:r w:rsidRPr="008A15F9">
        <w:rPr>
          <w:noProof/>
          <w:lang w:eastAsia="fr-CH"/>
        </w:rPr>
        <w:t xml:space="preserve">immobilier qui résulte de l’alinéation </w:t>
      </w:r>
      <w:r w:rsidR="0035297C" w:rsidRPr="008A15F9">
        <w:rPr>
          <w:noProof/>
          <w:lang w:eastAsia="fr-CH"/>
        </w:rPr>
        <w:t xml:space="preserve">est </w:t>
      </w:r>
      <w:r w:rsidRPr="008A15F9">
        <w:rPr>
          <w:noProof/>
          <w:lang w:eastAsia="fr-CH"/>
        </w:rPr>
        <w:t xml:space="preserve">affecté en totalité à cette pré-acquision (i.e. remploi effectué préalablement à l’aliénation) et que par conséquent la transaction ne débouchera pas sur la perception d’un impôt. En revanche, il ne </w:t>
      </w:r>
      <w:r w:rsidRPr="008A15F9">
        <w:rPr>
          <w:noProof/>
          <w:lang w:eastAsia="fr-CH"/>
        </w:rPr>
        <w:lastRenderedPageBreak/>
        <w:t>sera pas possible de renoncer à la consignation si l’aliénateur mentionne son intention d’effe</w:t>
      </w:r>
      <w:r w:rsidR="00B54FDF" w:rsidRPr="008A15F9">
        <w:rPr>
          <w:noProof/>
          <w:lang w:eastAsia="fr-CH"/>
        </w:rPr>
        <w:t>c</w:t>
      </w:r>
      <w:r w:rsidRPr="008A15F9">
        <w:rPr>
          <w:noProof/>
          <w:lang w:eastAsia="fr-CH"/>
        </w:rPr>
        <w:t>tuer ultérieurement un remploi.</w:t>
      </w:r>
      <w:r w:rsidR="008346E3" w:rsidRPr="008A15F9">
        <w:rPr>
          <w:noProof/>
          <w:lang w:eastAsia="fr-CH"/>
        </w:rPr>
        <w:t xml:space="preserve"> Il est mentionné ici que le SCC ne pourra pas rendre de décision préjudicielle en la matière.</w:t>
      </w:r>
    </w:p>
    <w:p w14:paraId="26F5FE30" w14:textId="30AC31BD" w:rsidR="00F04DA6" w:rsidRPr="008A15F9" w:rsidRDefault="004049F7" w:rsidP="00DF0E1A">
      <w:pPr>
        <w:pStyle w:val="Corpsdetexte"/>
        <w:rPr>
          <w:noProof/>
          <w:lang w:eastAsia="fr-CH"/>
        </w:rPr>
      </w:pPr>
      <w:r w:rsidRPr="008A15F9">
        <w:rPr>
          <w:noProof/>
          <w:lang w:eastAsia="fr-CH"/>
        </w:rPr>
        <w:t>Les actes juridiques qui ont les mêmes effets économiques qu’une aliénation sur le pouvoir de diposer d’un immeuble (par exemple la vente de la majorité du capital-actions d’une société immobilière) qui ne sont pas instrumenté</w:t>
      </w:r>
      <w:r w:rsidR="0035297C" w:rsidRPr="008A15F9">
        <w:rPr>
          <w:noProof/>
          <w:lang w:eastAsia="fr-CH"/>
        </w:rPr>
        <w:t>s</w:t>
      </w:r>
      <w:r w:rsidRPr="008A15F9">
        <w:rPr>
          <w:noProof/>
          <w:lang w:eastAsia="fr-CH"/>
        </w:rPr>
        <w:t xml:space="preserve"> par un officier public ne sont pas soumis à l’obligation de consigner.  </w:t>
      </w:r>
    </w:p>
    <w:p w14:paraId="74E16430" w14:textId="3B901F83" w:rsidR="004049F7" w:rsidRPr="008A15F9" w:rsidRDefault="004049F7" w:rsidP="00DF0E1A">
      <w:pPr>
        <w:pStyle w:val="Corpsdetexte"/>
        <w:rPr>
          <w:noProof/>
          <w:lang w:eastAsia="fr-CH"/>
        </w:rPr>
      </w:pPr>
      <w:r w:rsidRPr="008A15F9">
        <w:rPr>
          <w:noProof/>
          <w:lang w:eastAsia="fr-CH"/>
        </w:rPr>
        <w:t>Les transfert d’un immeuble de la fortune privée à la fortune commerciale et vice-versa ne sont pas soumis à l’obligation de consigner dès lors qu’ils ne sont pas instrumentés par un officier public.</w:t>
      </w:r>
    </w:p>
    <w:p w14:paraId="146ECD87" w14:textId="55CF245E" w:rsidR="004049F7" w:rsidRPr="008A15F9" w:rsidRDefault="0035297C" w:rsidP="00DF0E1A">
      <w:pPr>
        <w:pStyle w:val="Corpsdetexte"/>
        <w:rPr>
          <w:noProof/>
          <w:lang w:eastAsia="fr-CH"/>
        </w:rPr>
      </w:pPr>
      <w:r w:rsidRPr="008A15F9">
        <w:rPr>
          <w:noProof/>
          <w:lang w:eastAsia="fr-CH"/>
        </w:rPr>
        <w:t>Les constitutions de servitudes qui donnent lieu à des indemnités, l’échange d’immeubles, le transfert d’un immeuble sur fonds d’autrui sont soumis à l’obligation de consigner s’ils donnent lieu à la perception d’un impôt</w:t>
      </w:r>
      <w:r w:rsidR="001652F0" w:rsidRPr="008A15F9">
        <w:rPr>
          <w:noProof/>
          <w:lang w:eastAsia="fr-CH"/>
        </w:rPr>
        <w:t xml:space="preserve"> et pour autant que la transaction soit instrumentée par un notaire</w:t>
      </w:r>
      <w:r w:rsidRPr="008A15F9">
        <w:rPr>
          <w:noProof/>
          <w:lang w:eastAsia="fr-CH"/>
        </w:rPr>
        <w:t xml:space="preserve">. </w:t>
      </w:r>
    </w:p>
    <w:p w14:paraId="36F97EF3" w14:textId="1686CFDA" w:rsidR="001131B1" w:rsidRPr="008A15F9" w:rsidRDefault="004049F7" w:rsidP="00DF0E1A">
      <w:pPr>
        <w:pStyle w:val="Corpsdetexte"/>
        <w:rPr>
          <w:noProof/>
          <w:lang w:eastAsia="fr-CH"/>
        </w:rPr>
      </w:pPr>
      <w:r w:rsidRPr="008A15F9">
        <w:rPr>
          <w:noProof/>
          <w:lang w:eastAsia="fr-CH"/>
        </w:rPr>
        <w:t>Toutes les aliénations qui débouchent sur une imposition différée</w:t>
      </w:r>
      <w:r w:rsidR="0035297C" w:rsidRPr="008A15F9">
        <w:rPr>
          <w:noProof/>
          <w:lang w:eastAsia="fr-CH"/>
        </w:rPr>
        <w:t xml:space="preserve"> avec certitude au moment de l’instrumentation ne sont pas soumis à l’obligation de consigner.</w:t>
      </w:r>
      <w:r w:rsidRPr="008A15F9">
        <w:rPr>
          <w:noProof/>
          <w:lang w:eastAsia="fr-CH"/>
        </w:rPr>
        <w:t xml:space="preserve"> </w:t>
      </w:r>
    </w:p>
    <w:p w14:paraId="31B19D07" w14:textId="18C70EDD" w:rsidR="00A5083B" w:rsidRPr="008A15F9" w:rsidRDefault="00A5083B" w:rsidP="00DF0E1A">
      <w:pPr>
        <w:pStyle w:val="Corpsdetexte"/>
        <w:rPr>
          <w:noProof/>
          <w:lang w:eastAsia="fr-CH"/>
        </w:rPr>
      </w:pPr>
      <w:r w:rsidRPr="008A15F9">
        <w:rPr>
          <w:noProof/>
          <w:lang w:eastAsia="fr-CH"/>
        </w:rPr>
        <w:t>Dans le cadre de la liquidation d’une succession, le rachat de parts de propriété d’un immeuble par un héritier aux autres héritiers est soumise à l’obligation de consigner dans la mesure où cette transaction est instrumentée par un notaire.</w:t>
      </w:r>
    </w:p>
    <w:p w14:paraId="42F7F001" w14:textId="760AE7DD" w:rsidR="00C17504" w:rsidRPr="008A15F9" w:rsidRDefault="000C7519" w:rsidP="000C7519">
      <w:pPr>
        <w:pStyle w:val="Titre1"/>
      </w:pPr>
      <w:bookmarkStart w:id="12" w:name="_Toc223004314"/>
      <w:bookmarkEnd w:id="11"/>
      <w:r w:rsidRPr="008A15F9">
        <w:t>Incidences de la révision</w:t>
      </w:r>
      <w:bookmarkEnd w:id="12"/>
    </w:p>
    <w:p w14:paraId="66358E90" w14:textId="615A871E" w:rsidR="000C7519" w:rsidRPr="008A15F9" w:rsidRDefault="000C7519" w:rsidP="000C7519">
      <w:pPr>
        <w:pStyle w:val="Titre2"/>
      </w:pPr>
      <w:bookmarkStart w:id="13" w:name="_Toc223004315"/>
      <w:r w:rsidRPr="008A15F9">
        <w:t>Incidences sur les recettes fiscales</w:t>
      </w:r>
      <w:r w:rsidR="005114EE" w:rsidRPr="008A15F9">
        <w:t xml:space="preserve"> </w:t>
      </w:r>
      <w:r w:rsidR="00FD1D84" w:rsidRPr="008A15F9">
        <w:t>de l’Etat</w:t>
      </w:r>
      <w:bookmarkEnd w:id="13"/>
    </w:p>
    <w:p w14:paraId="2FC568EC" w14:textId="40F84E44" w:rsidR="005808F3" w:rsidRPr="008A15F9" w:rsidRDefault="005808F3" w:rsidP="00C767DB">
      <w:pPr>
        <w:pStyle w:val="Corpsdetexte"/>
      </w:pPr>
      <w:r>
        <w:t>Les dispositions proposées dans le présent projet n’ont pas d’impact direct sur les recettes fiscales du canton et des communes. La mise en œuvre des dispositions relatives au télétravail dans un contexte international doit permettre de maintenir les recettes fiscales actuelles.</w:t>
      </w:r>
    </w:p>
    <w:p w14:paraId="35476664" w14:textId="78DB0518" w:rsidR="000C7519" w:rsidRPr="008A15F9" w:rsidRDefault="000C7519" w:rsidP="000C7519">
      <w:pPr>
        <w:pStyle w:val="Titre2"/>
      </w:pPr>
      <w:bookmarkStart w:id="14" w:name="_Toc223004319"/>
      <w:r w:rsidRPr="008A15F9">
        <w:t>Incidences informatiques</w:t>
      </w:r>
      <w:bookmarkEnd w:id="14"/>
    </w:p>
    <w:p w14:paraId="6E8B0772" w14:textId="1E0C1C7C" w:rsidR="00A85A3B" w:rsidRDefault="00A85A3B" w:rsidP="00A85A3B">
      <w:pPr>
        <w:pStyle w:val="Corpsdetexte"/>
      </w:pPr>
      <w:r w:rsidRPr="008A15F9">
        <w:t>Les dispositions proposées dans le présent avant-projet ne nécessitent pas de développements informatiques</w:t>
      </w:r>
      <w:r w:rsidR="00636C94" w:rsidRPr="008A15F9">
        <w:t xml:space="preserve"> particuliers</w:t>
      </w:r>
      <w:r w:rsidRPr="008A15F9">
        <w:t xml:space="preserve">. </w:t>
      </w:r>
      <w:r w:rsidR="004047C1" w:rsidRPr="008A15F9">
        <w:t xml:space="preserve">La </w:t>
      </w:r>
      <w:r w:rsidR="003C45BC" w:rsidRPr="008A15F9">
        <w:t xml:space="preserve">prestation en ligne </w:t>
      </w:r>
      <w:proofErr w:type="spellStart"/>
      <w:r w:rsidR="003C45BC" w:rsidRPr="008A15F9">
        <w:t>FriTax</w:t>
      </w:r>
      <w:proofErr w:type="spellEnd"/>
      <w:r w:rsidR="004047C1" w:rsidRPr="008A15F9">
        <w:t xml:space="preserve"> s’inscrit dans le développement du guichet virtuel de l’Etat de Fribourg.  </w:t>
      </w:r>
    </w:p>
    <w:p w14:paraId="59104F66" w14:textId="77777777" w:rsidR="008A15F9" w:rsidRPr="008A15F9" w:rsidRDefault="008A15F9" w:rsidP="00A85A3B">
      <w:pPr>
        <w:pStyle w:val="Corpsdetexte"/>
      </w:pPr>
    </w:p>
    <w:p w14:paraId="7A78F8F6" w14:textId="4F69BF6E" w:rsidR="005E71F9" w:rsidRPr="008A15F9" w:rsidRDefault="005E71F9" w:rsidP="005E71F9">
      <w:pPr>
        <w:pStyle w:val="Titre2"/>
      </w:pPr>
      <w:bookmarkStart w:id="15" w:name="_Toc223004320"/>
      <w:r w:rsidRPr="008A15F9">
        <w:t xml:space="preserve">Incidences en </w:t>
      </w:r>
      <w:r w:rsidR="00144946" w:rsidRPr="008A15F9">
        <w:t xml:space="preserve">matière de </w:t>
      </w:r>
      <w:r w:rsidRPr="008A15F9">
        <w:t>personnel</w:t>
      </w:r>
      <w:bookmarkEnd w:id="15"/>
    </w:p>
    <w:p w14:paraId="47A6CE4E" w14:textId="5E1200EC" w:rsidR="005E71F9" w:rsidRPr="008A15F9" w:rsidRDefault="005E71F9" w:rsidP="005E71F9">
      <w:pPr>
        <w:pStyle w:val="Corpsdetexte"/>
      </w:pPr>
      <w:r w:rsidRPr="008A15F9">
        <w:t>L’introduction de l’article 217a engendrera une augmentation des demandes de décisions préjudicielles auprès du SCC. Pour les traiter et éviter des retards dans l’avancement des travaux de taxation, il sera nécessaire de renforcer le secteur de l’imposition des gains immobiliers de 0.5 à 1 EPT.</w:t>
      </w:r>
    </w:p>
    <w:p w14:paraId="565E72B6" w14:textId="0ACB9644" w:rsidR="000C7519" w:rsidRPr="008A15F9" w:rsidRDefault="000C7519" w:rsidP="000C7519">
      <w:pPr>
        <w:pStyle w:val="Titre1"/>
      </w:pPr>
      <w:bookmarkStart w:id="16" w:name="_Toc223004321"/>
      <w:r w:rsidRPr="008A15F9">
        <w:t>Aspects juridiques</w:t>
      </w:r>
      <w:bookmarkEnd w:id="16"/>
    </w:p>
    <w:p w14:paraId="763D24C6" w14:textId="3EE64D7D" w:rsidR="00526964" w:rsidRPr="008A15F9" w:rsidRDefault="008C6D2B" w:rsidP="008C6D2B">
      <w:pPr>
        <w:pStyle w:val="Corpsdetexte"/>
      </w:pPr>
      <w:r w:rsidRPr="008A15F9">
        <w:t>La révision a pour objectif, d’une part, de mettre en œuvre des modifications légales introduites au niveau fédéral</w:t>
      </w:r>
      <w:r w:rsidR="00E26B53" w:rsidRPr="008A15F9">
        <w:t xml:space="preserve"> en matière de droit d’imposition du télétravail dans un contexte international</w:t>
      </w:r>
      <w:r w:rsidRPr="008A15F9">
        <w:t xml:space="preserve"> ainsi </w:t>
      </w:r>
      <w:r w:rsidRPr="008A15F9">
        <w:rPr>
          <w:noProof/>
          <w:lang w:eastAsia="fr-CH"/>
        </w:rPr>
        <w:t>qu’une</w:t>
      </w:r>
      <w:r w:rsidRPr="008A15F9">
        <w:t xml:space="preserve"> motion adoptée par le Grand Conseil en septembre 2023</w:t>
      </w:r>
      <w:r w:rsidR="00526964" w:rsidRPr="008A15F9">
        <w:t xml:space="preserve">. </w:t>
      </w:r>
    </w:p>
    <w:p w14:paraId="05DB1158" w14:textId="7EC47F6F" w:rsidR="00465F6B" w:rsidRPr="008A15F9" w:rsidRDefault="00465F6B" w:rsidP="00465F6B">
      <w:pPr>
        <w:pStyle w:val="Corpsdetexte"/>
      </w:pPr>
      <w:r w:rsidRPr="008A15F9">
        <w:t>Les mesures proposées visent</w:t>
      </w:r>
      <w:r w:rsidR="00E26B53" w:rsidRPr="008A15F9">
        <w:t xml:space="preserve"> par ailleurs</w:t>
      </w:r>
      <w:r w:rsidRPr="008A15F9">
        <w:t xml:space="preserve"> à améliorer la qualité des données du SCC. </w:t>
      </w:r>
    </w:p>
    <w:p w14:paraId="4B5207FB" w14:textId="40350AD3" w:rsidR="004964D5" w:rsidRPr="008A15F9" w:rsidRDefault="00465F6B" w:rsidP="00465F6B">
      <w:pPr>
        <w:pStyle w:val="Corpsdetexte"/>
      </w:pPr>
      <w:r w:rsidRPr="008A15F9">
        <w:t>La transmission des données ainsi que la communication de renseignements nécessaires à l’accomplissement des tâches du SCC prévues dans le présent projet sont conformes aux principes posés aux articles 39 al. 3 et 39a LHID.</w:t>
      </w:r>
    </w:p>
    <w:p w14:paraId="03457A6F" w14:textId="77777777" w:rsidR="009B3B07" w:rsidRPr="008A15F9" w:rsidRDefault="009B3B07" w:rsidP="00465F6B">
      <w:pPr>
        <w:pStyle w:val="Corpsdetexte"/>
      </w:pPr>
    </w:p>
    <w:p w14:paraId="0C6E3262" w14:textId="531BFFE9" w:rsidR="000C7519" w:rsidRPr="008A15F9" w:rsidRDefault="000C7519" w:rsidP="000C7519">
      <w:pPr>
        <w:pStyle w:val="Titre2"/>
      </w:pPr>
      <w:bookmarkStart w:id="17" w:name="_Toc223004322"/>
      <w:r w:rsidRPr="008A15F9">
        <w:t>Référendum</w:t>
      </w:r>
      <w:bookmarkEnd w:id="17"/>
    </w:p>
    <w:p w14:paraId="55845DC6" w14:textId="11DB2F87" w:rsidR="003F219A" w:rsidRPr="008A15F9" w:rsidRDefault="00465F6B" w:rsidP="003F219A">
      <w:pPr>
        <w:pStyle w:val="Corpsdetexte"/>
        <w:rPr>
          <w:noProof/>
          <w:lang w:eastAsia="fr-CH"/>
        </w:rPr>
      </w:pPr>
      <w:r w:rsidRPr="008A15F9">
        <w:rPr>
          <w:noProof/>
          <w:lang w:eastAsia="fr-CH"/>
        </w:rPr>
        <w:t xml:space="preserve">La question du référendum financier est réglée aux articles 45 et 46 de la Constitution cantonale. L’article 45 </w:t>
      </w:r>
      <w:r w:rsidR="00DC0118" w:rsidRPr="008A15F9">
        <w:rPr>
          <w:noProof/>
          <w:lang w:eastAsia="fr-CH"/>
        </w:rPr>
        <w:t xml:space="preserve">al. 1 </w:t>
      </w:r>
      <w:r w:rsidRPr="008A15F9">
        <w:rPr>
          <w:noProof/>
          <w:lang w:eastAsia="fr-CH"/>
        </w:rPr>
        <w:t xml:space="preserve">prévoit que les actes du Grand Conseil entraînant une dépense nette nouvelle supérieure à 1% du total des dépenses des derniers comptes arrêtés par le Grand Conseil sont soumis au référendum financer obligatoire. L’article 46 </w:t>
      </w:r>
      <w:r w:rsidR="00C27146" w:rsidRPr="008A15F9">
        <w:rPr>
          <w:noProof/>
          <w:lang w:eastAsia="fr-CH"/>
        </w:rPr>
        <w:t xml:space="preserve">al. 1 </w:t>
      </w:r>
      <w:r w:rsidRPr="008A15F9">
        <w:rPr>
          <w:noProof/>
          <w:lang w:eastAsia="fr-CH"/>
        </w:rPr>
        <w:lastRenderedPageBreak/>
        <w:t>prévoit que les actes du Grand Conseil entraînant une dépenses nette nouvelle supérieure à 0.25% du total des dépenses des derniers comptes font l’objet d’un référendum financier facultatif.</w:t>
      </w:r>
      <w:r w:rsidR="003F219A" w:rsidRPr="008A15F9">
        <w:t xml:space="preserve"> </w:t>
      </w:r>
      <w:r w:rsidR="003F219A" w:rsidRPr="008A15F9">
        <w:rPr>
          <w:noProof/>
          <w:lang w:eastAsia="fr-CH"/>
        </w:rPr>
        <w:t>Ni la Constitution, ni la législation cantonale ne prévoient de référendum financier pour les projets entraînant non pas des dépenses nouvelles mais des réductions de recettes. Le présent projet induit des diminutions de recettes fiscales et non de nouvelles dépenses. De ce fait, il n’est pas soumis au référendum financier. En revanche, il est soumis au référendum législatif.</w:t>
      </w:r>
    </w:p>
    <w:p w14:paraId="120A888D" w14:textId="46C94BC6" w:rsidR="003F219A" w:rsidRPr="008A15F9" w:rsidRDefault="003F219A" w:rsidP="00526964">
      <w:pPr>
        <w:pStyle w:val="Corpsdetexte"/>
        <w:rPr>
          <w:noProof/>
          <w:lang w:eastAsia="fr-CH"/>
        </w:rPr>
      </w:pPr>
    </w:p>
    <w:p w14:paraId="3F20799C" w14:textId="789AAF60" w:rsidR="000C7519" w:rsidRPr="008A15F9" w:rsidRDefault="000C7519" w:rsidP="000C7519">
      <w:pPr>
        <w:pStyle w:val="Titre2"/>
      </w:pPr>
      <w:bookmarkStart w:id="18" w:name="_Toc223004323"/>
      <w:r w:rsidRPr="008A15F9">
        <w:t>Développement durable</w:t>
      </w:r>
      <w:bookmarkEnd w:id="18"/>
    </w:p>
    <w:p w14:paraId="42FEAE76" w14:textId="1E6C8B23" w:rsidR="00526964" w:rsidRPr="0049389D" w:rsidRDefault="00526964" w:rsidP="00526964">
      <w:pPr>
        <w:pStyle w:val="Corpsdetexte"/>
      </w:pPr>
      <w:r w:rsidRPr="008A15F9">
        <w:t xml:space="preserve">La révision </w:t>
      </w:r>
      <w:r w:rsidR="003B59B3" w:rsidRPr="008A15F9">
        <w:t>n’a pas d’impact sur le développement durable.</w:t>
      </w:r>
      <w:r w:rsidRPr="0049389D">
        <w:t xml:space="preserve"> </w:t>
      </w:r>
    </w:p>
    <w:p w14:paraId="1F70BC90" w14:textId="77777777" w:rsidR="00526964" w:rsidRPr="00526964" w:rsidRDefault="00526964" w:rsidP="00526964">
      <w:pPr>
        <w:pStyle w:val="Corpsdetexte"/>
      </w:pPr>
    </w:p>
    <w:sectPr w:rsidR="00526964" w:rsidRPr="00526964" w:rsidSect="0036056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D112" w14:textId="77777777" w:rsidR="00A55C20" w:rsidRDefault="00A55C20">
      <w:pPr>
        <w:spacing w:before="0" w:after="0" w:line="240" w:lineRule="auto"/>
      </w:pPr>
      <w:r>
        <w:separator/>
      </w:r>
    </w:p>
  </w:endnote>
  <w:endnote w:type="continuationSeparator" w:id="0">
    <w:p w14:paraId="0170945E" w14:textId="77777777" w:rsidR="00A55C20" w:rsidRDefault="00A55C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E414"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7513"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158F32FF"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3AD"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974D" w14:textId="77777777" w:rsidR="00A55C20" w:rsidRDefault="00A55C20" w:rsidP="00AA5F90">
      <w:r>
        <w:separator/>
      </w:r>
    </w:p>
  </w:footnote>
  <w:footnote w:type="continuationSeparator" w:id="0">
    <w:p w14:paraId="3BEBAD99" w14:textId="77777777" w:rsidR="00A55C20" w:rsidRPr="00427DDB" w:rsidRDefault="00A55C20"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361C"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DC3A"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14:paraId="12198695"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795025"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E5C347C" wp14:editId="62565A61">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048C49" w14:textId="77777777" w:rsidR="009E1AF4" w:rsidRPr="00FD0818"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277187">
            <w:rPr>
              <w:rFonts w:asciiTheme="majorHAnsi" w:eastAsiaTheme="majorEastAsia" w:hAnsiTheme="majorHAnsi" w:cstheme="majorBidi"/>
              <w:bCs/>
              <w:color w:val="auto"/>
              <w:kern w:val="32"/>
              <w:sz w:val="16"/>
              <w:szCs w:val="52"/>
            </w:rPr>
            <w:t>Direction des finances</w:t>
          </w:r>
          <w:r w:rsidRPr="00FD0818">
            <w:rPr>
              <w:rFonts w:asciiTheme="majorHAnsi" w:eastAsiaTheme="majorEastAsia" w:hAnsiTheme="majorHAnsi" w:cstheme="majorBidi"/>
              <w:b w:val="0"/>
              <w:color w:val="auto"/>
              <w:kern w:val="32"/>
              <w:sz w:val="16"/>
              <w:szCs w:val="52"/>
            </w:rPr>
            <w:t xml:space="preserve"> </w:t>
          </w:r>
          <w:r>
            <w:rPr>
              <w:rFonts w:asciiTheme="majorHAnsi" w:eastAsiaTheme="majorEastAsia" w:hAnsiTheme="majorHAnsi" w:cstheme="majorBidi"/>
              <w:b w:val="0"/>
              <w:bCs/>
              <w:color w:val="auto"/>
              <w:kern w:val="32"/>
              <w:sz w:val="16"/>
              <w:szCs w:val="52"/>
            </w:rPr>
            <w:t>DFIN</w:t>
          </w:r>
        </w:p>
        <w:p w14:paraId="3C869547" w14:textId="77777777" w:rsidR="009E1AF4" w:rsidRPr="000433E6"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proofErr w:type="spellStart"/>
          <w:r w:rsidRPr="000433E6">
            <w:rPr>
              <w:rFonts w:asciiTheme="majorHAnsi" w:eastAsiaTheme="majorEastAsia" w:hAnsiTheme="majorHAnsi" w:cstheme="majorBidi"/>
              <w:bCs/>
              <w:color w:val="auto"/>
              <w:kern w:val="32"/>
              <w:sz w:val="16"/>
              <w:szCs w:val="52"/>
            </w:rPr>
            <w:t>Finanzdirektion</w:t>
          </w:r>
          <w:proofErr w:type="spellEnd"/>
          <w:r w:rsidRPr="000433E6">
            <w:rPr>
              <w:rFonts w:asciiTheme="majorHAnsi" w:eastAsiaTheme="majorEastAsia" w:hAnsiTheme="majorHAnsi" w:cstheme="majorBidi"/>
              <w:bCs/>
              <w:color w:val="auto"/>
              <w:kern w:val="32"/>
              <w:sz w:val="16"/>
              <w:szCs w:val="52"/>
            </w:rPr>
            <w:t xml:space="preserve"> </w:t>
          </w:r>
          <w:r>
            <w:rPr>
              <w:rFonts w:asciiTheme="majorHAnsi" w:eastAsiaTheme="majorEastAsia" w:hAnsiTheme="majorHAnsi" w:cstheme="majorBidi"/>
              <w:b w:val="0"/>
              <w:bCs/>
              <w:color w:val="auto"/>
              <w:kern w:val="32"/>
              <w:sz w:val="16"/>
              <w:szCs w:val="52"/>
            </w:rPr>
            <w:t>FIND</w:t>
          </w:r>
        </w:p>
      </w:tc>
    </w:tr>
  </w:tbl>
  <w:p w14:paraId="784CC809" w14:textId="77777777" w:rsidR="009E1AF4" w:rsidRPr="000433E6" w:rsidRDefault="009E1A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871CBF70">
      <w:numFmt w:val="bullet"/>
      <w:lvlText w:val=""/>
      <w:lvlJc w:val="left"/>
      <w:pPr>
        <w:ind w:left="1065" w:hanging="705"/>
      </w:pPr>
      <w:rPr>
        <w:rFonts w:ascii="Wingdings" w:eastAsiaTheme="minorHAnsi" w:hAnsi="Wingdings" w:cstheme="minorBidi" w:hint="default"/>
      </w:rPr>
    </w:lvl>
    <w:lvl w:ilvl="1" w:tplc="D7A8BFF4" w:tentative="1">
      <w:start w:val="1"/>
      <w:numFmt w:val="bullet"/>
      <w:lvlText w:val="o"/>
      <w:lvlJc w:val="left"/>
      <w:pPr>
        <w:ind w:left="1440" w:hanging="360"/>
      </w:pPr>
      <w:rPr>
        <w:rFonts w:ascii="Courier New" w:hAnsi="Courier New" w:cs="Courier New" w:hint="default"/>
      </w:rPr>
    </w:lvl>
    <w:lvl w:ilvl="2" w:tplc="66682F3C" w:tentative="1">
      <w:start w:val="1"/>
      <w:numFmt w:val="bullet"/>
      <w:lvlText w:val=""/>
      <w:lvlJc w:val="left"/>
      <w:pPr>
        <w:ind w:left="2160" w:hanging="360"/>
      </w:pPr>
      <w:rPr>
        <w:rFonts w:ascii="Wingdings" w:hAnsi="Wingdings" w:hint="default"/>
      </w:rPr>
    </w:lvl>
    <w:lvl w:ilvl="3" w:tplc="8746FB32" w:tentative="1">
      <w:start w:val="1"/>
      <w:numFmt w:val="bullet"/>
      <w:lvlText w:val=""/>
      <w:lvlJc w:val="left"/>
      <w:pPr>
        <w:ind w:left="2880" w:hanging="360"/>
      </w:pPr>
      <w:rPr>
        <w:rFonts w:ascii="Symbol" w:hAnsi="Symbol" w:hint="default"/>
      </w:rPr>
    </w:lvl>
    <w:lvl w:ilvl="4" w:tplc="46BE61E4" w:tentative="1">
      <w:start w:val="1"/>
      <w:numFmt w:val="bullet"/>
      <w:lvlText w:val="o"/>
      <w:lvlJc w:val="left"/>
      <w:pPr>
        <w:ind w:left="3600" w:hanging="360"/>
      </w:pPr>
      <w:rPr>
        <w:rFonts w:ascii="Courier New" w:hAnsi="Courier New" w:cs="Courier New" w:hint="default"/>
      </w:rPr>
    </w:lvl>
    <w:lvl w:ilvl="5" w:tplc="E82C7498" w:tentative="1">
      <w:start w:val="1"/>
      <w:numFmt w:val="bullet"/>
      <w:lvlText w:val=""/>
      <w:lvlJc w:val="left"/>
      <w:pPr>
        <w:ind w:left="4320" w:hanging="360"/>
      </w:pPr>
      <w:rPr>
        <w:rFonts w:ascii="Wingdings" w:hAnsi="Wingdings" w:hint="default"/>
      </w:rPr>
    </w:lvl>
    <w:lvl w:ilvl="6" w:tplc="46047120" w:tentative="1">
      <w:start w:val="1"/>
      <w:numFmt w:val="bullet"/>
      <w:lvlText w:val=""/>
      <w:lvlJc w:val="left"/>
      <w:pPr>
        <w:ind w:left="5040" w:hanging="360"/>
      </w:pPr>
      <w:rPr>
        <w:rFonts w:ascii="Symbol" w:hAnsi="Symbol" w:hint="default"/>
      </w:rPr>
    </w:lvl>
    <w:lvl w:ilvl="7" w:tplc="6AFEF7B8" w:tentative="1">
      <w:start w:val="1"/>
      <w:numFmt w:val="bullet"/>
      <w:lvlText w:val="o"/>
      <w:lvlJc w:val="left"/>
      <w:pPr>
        <w:ind w:left="5760" w:hanging="360"/>
      </w:pPr>
      <w:rPr>
        <w:rFonts w:ascii="Courier New" w:hAnsi="Courier New" w:cs="Courier New" w:hint="default"/>
      </w:rPr>
    </w:lvl>
    <w:lvl w:ilvl="8" w:tplc="D3F6265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6B33C4A"/>
    <w:multiLevelType w:val="hybridMultilevel"/>
    <w:tmpl w:val="7846B80E"/>
    <w:lvl w:ilvl="0" w:tplc="503218BE">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8C93A9E"/>
    <w:multiLevelType w:val="multilevel"/>
    <w:tmpl w:val="4B1A8D58"/>
    <w:numStyleLink w:val="EtatFRTitre"/>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EA62DB8"/>
    <w:multiLevelType w:val="multilevel"/>
    <w:tmpl w:val="C812CDBA"/>
    <w:numStyleLink w:val="EtatFRPuces"/>
  </w:abstractNum>
  <w:abstractNum w:abstractNumId="6"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7"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7194120"/>
    <w:multiLevelType w:val="hybridMultilevel"/>
    <w:tmpl w:val="B3462A3C"/>
    <w:lvl w:ilvl="0" w:tplc="0AC4839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12"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44946CA"/>
    <w:multiLevelType w:val="multilevel"/>
    <w:tmpl w:val="6E089A12"/>
    <w:name w:val="SITel Liste numérotée22"/>
    <w:numStyleLink w:val="EtatFRNumrotation"/>
  </w:abstractNum>
  <w:abstractNum w:abstractNumId="15" w15:restartNumberingAfterBreak="0">
    <w:nsid w:val="26BC24A9"/>
    <w:multiLevelType w:val="multilevel"/>
    <w:tmpl w:val="6E089A12"/>
    <w:name w:val="SITel Liste numérotée3"/>
    <w:numStyleLink w:val="EtatFRNumrotation"/>
  </w:abstractNum>
  <w:abstractNum w:abstractNumId="16" w15:restartNumberingAfterBreak="0">
    <w:nsid w:val="2F7379D0"/>
    <w:multiLevelType w:val="hybridMultilevel"/>
    <w:tmpl w:val="73EEEFD8"/>
    <w:lvl w:ilvl="0" w:tplc="69B6035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8"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A7442"/>
    <w:multiLevelType w:val="multilevel"/>
    <w:tmpl w:val="C812CDBA"/>
    <w:numStyleLink w:val="EtatFRPuces"/>
  </w:abstractNum>
  <w:abstractNum w:abstractNumId="20" w15:restartNumberingAfterBreak="0">
    <w:nsid w:val="3FF139E0"/>
    <w:multiLevelType w:val="multilevel"/>
    <w:tmpl w:val="6E089A12"/>
    <w:numStyleLink w:val="EtatFRNumrotation"/>
  </w:abstractNum>
  <w:abstractNum w:abstractNumId="21" w15:restartNumberingAfterBreak="0">
    <w:nsid w:val="4AD33EFC"/>
    <w:multiLevelType w:val="multilevel"/>
    <w:tmpl w:val="02280202"/>
    <w:numStyleLink w:val="EtatFRNumrotationhirarchique"/>
  </w:abstractNum>
  <w:abstractNum w:abstractNumId="22"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4A0AF0"/>
    <w:multiLevelType w:val="hybridMultilevel"/>
    <w:tmpl w:val="4AE81502"/>
    <w:lvl w:ilvl="0" w:tplc="10526F90">
      <w:start w:val="1"/>
      <w:numFmt w:val="lowerLetter"/>
      <w:lvlText w:val="%1)"/>
      <w:lvlJc w:val="left"/>
      <w:pPr>
        <w:ind w:left="720" w:hanging="360"/>
      </w:pPr>
      <w:rPr>
        <w:rFonts w:hint="default"/>
      </w:rPr>
    </w:lvl>
    <w:lvl w:ilvl="1" w:tplc="6E1ED062" w:tentative="1">
      <w:start w:val="1"/>
      <w:numFmt w:val="lowerLetter"/>
      <w:lvlText w:val="%2."/>
      <w:lvlJc w:val="left"/>
      <w:pPr>
        <w:ind w:left="1440" w:hanging="360"/>
      </w:pPr>
    </w:lvl>
    <w:lvl w:ilvl="2" w:tplc="D4D8F564" w:tentative="1">
      <w:start w:val="1"/>
      <w:numFmt w:val="lowerRoman"/>
      <w:lvlText w:val="%3."/>
      <w:lvlJc w:val="right"/>
      <w:pPr>
        <w:ind w:left="2160" w:hanging="180"/>
      </w:pPr>
    </w:lvl>
    <w:lvl w:ilvl="3" w:tplc="881CF920" w:tentative="1">
      <w:start w:val="1"/>
      <w:numFmt w:val="decimal"/>
      <w:lvlText w:val="%4."/>
      <w:lvlJc w:val="left"/>
      <w:pPr>
        <w:ind w:left="2880" w:hanging="360"/>
      </w:pPr>
    </w:lvl>
    <w:lvl w:ilvl="4" w:tplc="CD7A6542" w:tentative="1">
      <w:start w:val="1"/>
      <w:numFmt w:val="lowerLetter"/>
      <w:lvlText w:val="%5."/>
      <w:lvlJc w:val="left"/>
      <w:pPr>
        <w:ind w:left="3600" w:hanging="360"/>
      </w:pPr>
    </w:lvl>
    <w:lvl w:ilvl="5" w:tplc="3000F884" w:tentative="1">
      <w:start w:val="1"/>
      <w:numFmt w:val="lowerRoman"/>
      <w:lvlText w:val="%6."/>
      <w:lvlJc w:val="right"/>
      <w:pPr>
        <w:ind w:left="4320" w:hanging="180"/>
      </w:pPr>
    </w:lvl>
    <w:lvl w:ilvl="6" w:tplc="87507ACC" w:tentative="1">
      <w:start w:val="1"/>
      <w:numFmt w:val="decimal"/>
      <w:lvlText w:val="%7."/>
      <w:lvlJc w:val="left"/>
      <w:pPr>
        <w:ind w:left="5040" w:hanging="360"/>
      </w:pPr>
    </w:lvl>
    <w:lvl w:ilvl="7" w:tplc="834A2150" w:tentative="1">
      <w:start w:val="1"/>
      <w:numFmt w:val="lowerLetter"/>
      <w:lvlText w:val="%8."/>
      <w:lvlJc w:val="left"/>
      <w:pPr>
        <w:ind w:left="5760" w:hanging="360"/>
      </w:pPr>
    </w:lvl>
    <w:lvl w:ilvl="8" w:tplc="412231DE" w:tentative="1">
      <w:start w:val="1"/>
      <w:numFmt w:val="lowerRoman"/>
      <w:lvlText w:val="%9."/>
      <w:lvlJc w:val="right"/>
      <w:pPr>
        <w:ind w:left="6480" w:hanging="180"/>
      </w:pPr>
    </w:lvl>
  </w:abstractNum>
  <w:abstractNum w:abstractNumId="24" w15:restartNumberingAfterBreak="0">
    <w:nsid w:val="51917C4F"/>
    <w:multiLevelType w:val="hybridMultilevel"/>
    <w:tmpl w:val="C24464D2"/>
    <w:lvl w:ilvl="0" w:tplc="A0E60330">
      <w:start w:val="1"/>
      <w:numFmt w:val="bullet"/>
      <w:pStyle w:val="07puces"/>
      <w:lvlText w:val="&gt;"/>
      <w:lvlJc w:val="left"/>
      <w:pPr>
        <w:ind w:left="720" w:hanging="360"/>
      </w:pPr>
      <w:rPr>
        <w:rFonts w:ascii="Times New Roman" w:hAnsi="Times New Roman" w:cs="Times New Roman" w:hint="default"/>
        <w:b/>
        <w:i w:val="0"/>
        <w:caps w:val="0"/>
        <w:strike w:val="0"/>
        <w:dstrike w:val="0"/>
        <w:vanish w:val="0"/>
        <w:color w:val="auto"/>
        <w:sz w:val="20"/>
        <w:szCs w:val="20"/>
        <w:u w:val="none"/>
        <w:vertAlign w:val="baseline"/>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D8E3644"/>
    <w:multiLevelType w:val="multilevel"/>
    <w:tmpl w:val="C812CDBA"/>
    <w:numStyleLink w:val="EtatFRPuces"/>
  </w:abstractNum>
  <w:abstractNum w:abstractNumId="26" w15:restartNumberingAfterBreak="0">
    <w:nsid w:val="74BE68D6"/>
    <w:multiLevelType w:val="multilevel"/>
    <w:tmpl w:val="6E089A12"/>
    <w:numStyleLink w:val="EtatFRNumrotation"/>
  </w:abstractNum>
  <w:abstractNum w:abstractNumId="27" w15:restartNumberingAfterBreak="0">
    <w:nsid w:val="7A072877"/>
    <w:multiLevelType w:val="multilevel"/>
    <w:tmpl w:val="6E089A12"/>
    <w:numStyleLink w:val="EtatFRNumrotation"/>
  </w:abstractNum>
  <w:abstractNum w:abstractNumId="28" w15:restartNumberingAfterBreak="0">
    <w:nsid w:val="7B2916EA"/>
    <w:multiLevelType w:val="multilevel"/>
    <w:tmpl w:val="C812CDBA"/>
    <w:numStyleLink w:val="EtatFRPuces"/>
  </w:abstractNum>
  <w:num w:numId="1" w16cid:durableId="1135100774">
    <w:abstractNumId w:val="8"/>
  </w:num>
  <w:num w:numId="2" w16cid:durableId="1051884021">
    <w:abstractNumId w:val="6"/>
  </w:num>
  <w:num w:numId="3" w16cid:durableId="1973904516">
    <w:abstractNumId w:val="12"/>
  </w:num>
  <w:num w:numId="4" w16cid:durableId="286398882">
    <w:abstractNumId w:val="17"/>
  </w:num>
  <w:num w:numId="5" w16cid:durableId="854267273">
    <w:abstractNumId w:val="7"/>
  </w:num>
  <w:num w:numId="6" w16cid:durableId="20210548">
    <w:abstractNumId w:val="10"/>
  </w:num>
  <w:num w:numId="7" w16cid:durableId="1315572684">
    <w:abstractNumId w:val="20"/>
  </w:num>
  <w:num w:numId="8" w16cid:durableId="2042045023">
    <w:abstractNumId w:val="5"/>
  </w:num>
  <w:num w:numId="9" w16cid:durableId="1097407574">
    <w:abstractNumId w:val="3"/>
  </w:num>
  <w:num w:numId="10" w16cid:durableId="1716200159">
    <w:abstractNumId w:val="1"/>
  </w:num>
  <w:num w:numId="11" w16cid:durableId="388917265">
    <w:abstractNumId w:val="21"/>
  </w:num>
  <w:num w:numId="12" w16cid:durableId="129330192">
    <w:abstractNumId w:val="27"/>
  </w:num>
  <w:num w:numId="13" w16cid:durableId="1091394770">
    <w:abstractNumId w:val="26"/>
  </w:num>
  <w:num w:numId="14" w16cid:durableId="632714560">
    <w:abstractNumId w:val="25"/>
  </w:num>
  <w:num w:numId="15" w16cid:durableId="1600528478">
    <w:abstractNumId w:val="22"/>
  </w:num>
  <w:num w:numId="16" w16cid:durableId="821458712">
    <w:abstractNumId w:val="18"/>
  </w:num>
  <w:num w:numId="17" w16cid:durableId="436868575">
    <w:abstractNumId w:val="19"/>
  </w:num>
  <w:num w:numId="18" w16cid:durableId="1415782191">
    <w:abstractNumId w:val="0"/>
  </w:num>
  <w:num w:numId="19" w16cid:durableId="714431080">
    <w:abstractNumId w:val="28"/>
  </w:num>
  <w:num w:numId="20" w16cid:durableId="80224674">
    <w:abstractNumId w:val="23"/>
  </w:num>
  <w:num w:numId="21" w16cid:durableId="2043631761">
    <w:abstractNumId w:val="11"/>
  </w:num>
  <w:num w:numId="22" w16cid:durableId="967124618">
    <w:abstractNumId w:val="12"/>
  </w:num>
  <w:num w:numId="23" w16cid:durableId="1381779802">
    <w:abstractNumId w:val="3"/>
  </w:num>
  <w:num w:numId="24" w16cid:durableId="1870147625">
    <w:abstractNumId w:val="3"/>
  </w:num>
  <w:num w:numId="25" w16cid:durableId="1814639514">
    <w:abstractNumId w:val="3"/>
  </w:num>
  <w:num w:numId="26" w16cid:durableId="1191844405">
    <w:abstractNumId w:val="3"/>
  </w:num>
  <w:num w:numId="27" w16cid:durableId="27148965">
    <w:abstractNumId w:val="3"/>
  </w:num>
  <w:num w:numId="28" w16cid:durableId="1959753552">
    <w:abstractNumId w:val="3"/>
  </w:num>
  <w:num w:numId="29" w16cid:durableId="1886022449">
    <w:abstractNumId w:val="3"/>
  </w:num>
  <w:num w:numId="30" w16cid:durableId="710376839">
    <w:abstractNumId w:val="3"/>
  </w:num>
  <w:num w:numId="31" w16cid:durableId="1873378950">
    <w:abstractNumId w:val="3"/>
  </w:num>
  <w:num w:numId="32" w16cid:durableId="837231905">
    <w:abstractNumId w:val="3"/>
  </w:num>
  <w:num w:numId="33" w16cid:durableId="1050963136">
    <w:abstractNumId w:val="3"/>
  </w:num>
  <w:num w:numId="34" w16cid:durableId="1006639623">
    <w:abstractNumId w:val="3"/>
  </w:num>
  <w:num w:numId="35" w16cid:durableId="164780893">
    <w:abstractNumId w:val="3"/>
  </w:num>
  <w:num w:numId="36" w16cid:durableId="1691835552">
    <w:abstractNumId w:val="3"/>
  </w:num>
  <w:num w:numId="37" w16cid:durableId="1012301113">
    <w:abstractNumId w:val="3"/>
  </w:num>
  <w:num w:numId="38" w16cid:durableId="2046443048">
    <w:abstractNumId w:val="3"/>
  </w:num>
  <w:num w:numId="39" w16cid:durableId="1177502733">
    <w:abstractNumId w:val="3"/>
  </w:num>
  <w:num w:numId="40" w16cid:durableId="1831284218">
    <w:abstractNumId w:val="9"/>
  </w:num>
  <w:num w:numId="41" w16cid:durableId="754664511">
    <w:abstractNumId w:val="3"/>
  </w:num>
  <w:num w:numId="42" w16cid:durableId="1121001760">
    <w:abstractNumId w:val="3"/>
  </w:num>
  <w:num w:numId="43" w16cid:durableId="2018072903">
    <w:abstractNumId w:val="24"/>
  </w:num>
  <w:num w:numId="44" w16cid:durableId="385908500">
    <w:abstractNumId w:val="3"/>
  </w:num>
  <w:num w:numId="45" w16cid:durableId="1006056040">
    <w:abstractNumId w:val="3"/>
  </w:num>
  <w:num w:numId="46" w16cid:durableId="610861774">
    <w:abstractNumId w:val="3"/>
  </w:num>
  <w:num w:numId="47" w16cid:durableId="343359768">
    <w:abstractNumId w:val="3"/>
  </w:num>
  <w:num w:numId="48" w16cid:durableId="1375885417">
    <w:abstractNumId w:val="3"/>
  </w:num>
  <w:num w:numId="49" w16cid:durableId="2064596112">
    <w:abstractNumId w:val="3"/>
  </w:num>
  <w:num w:numId="50" w16cid:durableId="1270503614">
    <w:abstractNumId w:val="3"/>
  </w:num>
  <w:num w:numId="51" w16cid:durableId="1591543188">
    <w:abstractNumId w:val="2"/>
  </w:num>
  <w:num w:numId="52" w16cid:durableId="1811823514">
    <w:abstractNumId w:val="16"/>
  </w:num>
  <w:num w:numId="53" w16cid:durableId="167827038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0B0D"/>
    <w:rsid w:val="000043ED"/>
    <w:rsid w:val="00007768"/>
    <w:rsid w:val="00010151"/>
    <w:rsid w:val="000116C2"/>
    <w:rsid w:val="00013AD3"/>
    <w:rsid w:val="00017B5C"/>
    <w:rsid w:val="00026011"/>
    <w:rsid w:val="00030574"/>
    <w:rsid w:val="000350A6"/>
    <w:rsid w:val="00036DD7"/>
    <w:rsid w:val="0004140B"/>
    <w:rsid w:val="00047F60"/>
    <w:rsid w:val="000632BB"/>
    <w:rsid w:val="00071755"/>
    <w:rsid w:val="00074241"/>
    <w:rsid w:val="00074326"/>
    <w:rsid w:val="00074554"/>
    <w:rsid w:val="000758C2"/>
    <w:rsid w:val="0007646E"/>
    <w:rsid w:val="000822A5"/>
    <w:rsid w:val="00084D01"/>
    <w:rsid w:val="000916E6"/>
    <w:rsid w:val="00093766"/>
    <w:rsid w:val="00095AC4"/>
    <w:rsid w:val="000A0679"/>
    <w:rsid w:val="000A47E9"/>
    <w:rsid w:val="000A56C1"/>
    <w:rsid w:val="000A6D8F"/>
    <w:rsid w:val="000B1404"/>
    <w:rsid w:val="000B335C"/>
    <w:rsid w:val="000B580F"/>
    <w:rsid w:val="000C1047"/>
    <w:rsid w:val="000C1A3A"/>
    <w:rsid w:val="000C643D"/>
    <w:rsid w:val="000C7519"/>
    <w:rsid w:val="000D59F5"/>
    <w:rsid w:val="000D5AA3"/>
    <w:rsid w:val="000E0AC9"/>
    <w:rsid w:val="000E266B"/>
    <w:rsid w:val="000E4484"/>
    <w:rsid w:val="000E532C"/>
    <w:rsid w:val="000F6FD0"/>
    <w:rsid w:val="0010249B"/>
    <w:rsid w:val="001109B4"/>
    <w:rsid w:val="001131B1"/>
    <w:rsid w:val="00116549"/>
    <w:rsid w:val="00125084"/>
    <w:rsid w:val="00125B71"/>
    <w:rsid w:val="00132501"/>
    <w:rsid w:val="00134E62"/>
    <w:rsid w:val="00135EA5"/>
    <w:rsid w:val="00136B45"/>
    <w:rsid w:val="00140FC3"/>
    <w:rsid w:val="00144946"/>
    <w:rsid w:val="00145ECC"/>
    <w:rsid w:val="00152189"/>
    <w:rsid w:val="001600CB"/>
    <w:rsid w:val="00160109"/>
    <w:rsid w:val="001652F0"/>
    <w:rsid w:val="00182FEA"/>
    <w:rsid w:val="00184AA8"/>
    <w:rsid w:val="00185AE9"/>
    <w:rsid w:val="00187324"/>
    <w:rsid w:val="00191597"/>
    <w:rsid w:val="00192CA0"/>
    <w:rsid w:val="001947A3"/>
    <w:rsid w:val="001963AC"/>
    <w:rsid w:val="00196F11"/>
    <w:rsid w:val="001A6843"/>
    <w:rsid w:val="001A7A0F"/>
    <w:rsid w:val="001B0C7A"/>
    <w:rsid w:val="001B36AD"/>
    <w:rsid w:val="001B397D"/>
    <w:rsid w:val="001B3FFC"/>
    <w:rsid w:val="001C0ABD"/>
    <w:rsid w:val="001C29C4"/>
    <w:rsid w:val="001C4BA0"/>
    <w:rsid w:val="001D0D7A"/>
    <w:rsid w:val="001E1B12"/>
    <w:rsid w:val="001E2235"/>
    <w:rsid w:val="001E5641"/>
    <w:rsid w:val="001E5B53"/>
    <w:rsid w:val="002029DD"/>
    <w:rsid w:val="00205456"/>
    <w:rsid w:val="0020598B"/>
    <w:rsid w:val="002108D8"/>
    <w:rsid w:val="0022187D"/>
    <w:rsid w:val="00234F29"/>
    <w:rsid w:val="00236322"/>
    <w:rsid w:val="00263F19"/>
    <w:rsid w:val="00264118"/>
    <w:rsid w:val="0026504F"/>
    <w:rsid w:val="00276989"/>
    <w:rsid w:val="00280866"/>
    <w:rsid w:val="002825F8"/>
    <w:rsid w:val="0029690E"/>
    <w:rsid w:val="00297C31"/>
    <w:rsid w:val="002A6870"/>
    <w:rsid w:val="002C0959"/>
    <w:rsid w:val="002C6291"/>
    <w:rsid w:val="002C66F1"/>
    <w:rsid w:val="002D00C7"/>
    <w:rsid w:val="002D2E01"/>
    <w:rsid w:val="002D6A3D"/>
    <w:rsid w:val="002E17B5"/>
    <w:rsid w:val="002E488E"/>
    <w:rsid w:val="002F14C1"/>
    <w:rsid w:val="002F2B09"/>
    <w:rsid w:val="002F40C4"/>
    <w:rsid w:val="002F62B2"/>
    <w:rsid w:val="003010E1"/>
    <w:rsid w:val="003107CF"/>
    <w:rsid w:val="003110C2"/>
    <w:rsid w:val="00326209"/>
    <w:rsid w:val="00335FB2"/>
    <w:rsid w:val="00337C59"/>
    <w:rsid w:val="0035297C"/>
    <w:rsid w:val="003552CE"/>
    <w:rsid w:val="0035747D"/>
    <w:rsid w:val="00360569"/>
    <w:rsid w:val="0036380F"/>
    <w:rsid w:val="00367BC6"/>
    <w:rsid w:val="00376106"/>
    <w:rsid w:val="00387423"/>
    <w:rsid w:val="0038783C"/>
    <w:rsid w:val="00390E8D"/>
    <w:rsid w:val="00395DD2"/>
    <w:rsid w:val="003B59B3"/>
    <w:rsid w:val="003B634C"/>
    <w:rsid w:val="003C03E4"/>
    <w:rsid w:val="003C45BC"/>
    <w:rsid w:val="003D09BC"/>
    <w:rsid w:val="003E380E"/>
    <w:rsid w:val="003E6A4D"/>
    <w:rsid w:val="003F0632"/>
    <w:rsid w:val="003F219A"/>
    <w:rsid w:val="003F30EA"/>
    <w:rsid w:val="004047C1"/>
    <w:rsid w:val="004049F7"/>
    <w:rsid w:val="004074F6"/>
    <w:rsid w:val="00424166"/>
    <w:rsid w:val="004256D4"/>
    <w:rsid w:val="00425859"/>
    <w:rsid w:val="00430FD7"/>
    <w:rsid w:val="00432EEC"/>
    <w:rsid w:val="00436007"/>
    <w:rsid w:val="00444879"/>
    <w:rsid w:val="00460DCE"/>
    <w:rsid w:val="00465F6B"/>
    <w:rsid w:val="00467581"/>
    <w:rsid w:val="0046784A"/>
    <w:rsid w:val="0047047A"/>
    <w:rsid w:val="00491CD5"/>
    <w:rsid w:val="004964D5"/>
    <w:rsid w:val="004A000A"/>
    <w:rsid w:val="004A2A78"/>
    <w:rsid w:val="004A69AA"/>
    <w:rsid w:val="004A7C7F"/>
    <w:rsid w:val="004B3E6C"/>
    <w:rsid w:val="004B4C32"/>
    <w:rsid w:val="004D0DA8"/>
    <w:rsid w:val="004D2CA6"/>
    <w:rsid w:val="004D6D32"/>
    <w:rsid w:val="004E418E"/>
    <w:rsid w:val="004F6C49"/>
    <w:rsid w:val="00507A7D"/>
    <w:rsid w:val="005114EE"/>
    <w:rsid w:val="00513C7C"/>
    <w:rsid w:val="00516961"/>
    <w:rsid w:val="00521361"/>
    <w:rsid w:val="005220BD"/>
    <w:rsid w:val="00526964"/>
    <w:rsid w:val="005277F3"/>
    <w:rsid w:val="00546BB4"/>
    <w:rsid w:val="00547C10"/>
    <w:rsid w:val="00550D07"/>
    <w:rsid w:val="00550E6A"/>
    <w:rsid w:val="005747CC"/>
    <w:rsid w:val="00575BC0"/>
    <w:rsid w:val="005808F3"/>
    <w:rsid w:val="005826EC"/>
    <w:rsid w:val="00583B32"/>
    <w:rsid w:val="00584A98"/>
    <w:rsid w:val="00584D89"/>
    <w:rsid w:val="00586BE1"/>
    <w:rsid w:val="005907D2"/>
    <w:rsid w:val="00592224"/>
    <w:rsid w:val="005A0651"/>
    <w:rsid w:val="005A0CE4"/>
    <w:rsid w:val="005A31C8"/>
    <w:rsid w:val="005A3B9B"/>
    <w:rsid w:val="005B16E5"/>
    <w:rsid w:val="005C12BF"/>
    <w:rsid w:val="005C516E"/>
    <w:rsid w:val="005C7FA3"/>
    <w:rsid w:val="005D5441"/>
    <w:rsid w:val="005E71F9"/>
    <w:rsid w:val="005F02F5"/>
    <w:rsid w:val="005F463C"/>
    <w:rsid w:val="005F6C31"/>
    <w:rsid w:val="00600153"/>
    <w:rsid w:val="006002F6"/>
    <w:rsid w:val="00600E0A"/>
    <w:rsid w:val="00604EC7"/>
    <w:rsid w:val="00612AEE"/>
    <w:rsid w:val="00614546"/>
    <w:rsid w:val="00617759"/>
    <w:rsid w:val="00621BD8"/>
    <w:rsid w:val="006247D1"/>
    <w:rsid w:val="0062638B"/>
    <w:rsid w:val="006321FE"/>
    <w:rsid w:val="00636C94"/>
    <w:rsid w:val="00637C14"/>
    <w:rsid w:val="006451D6"/>
    <w:rsid w:val="0064791C"/>
    <w:rsid w:val="00663AF3"/>
    <w:rsid w:val="00671BEA"/>
    <w:rsid w:val="006742B2"/>
    <w:rsid w:val="00674D71"/>
    <w:rsid w:val="00681ACE"/>
    <w:rsid w:val="00682AC8"/>
    <w:rsid w:val="00682C49"/>
    <w:rsid w:val="00683A21"/>
    <w:rsid w:val="0068655D"/>
    <w:rsid w:val="006869FB"/>
    <w:rsid w:val="006964E0"/>
    <w:rsid w:val="006A5955"/>
    <w:rsid w:val="006A6D02"/>
    <w:rsid w:val="006B71B2"/>
    <w:rsid w:val="006C36AA"/>
    <w:rsid w:val="006C43F6"/>
    <w:rsid w:val="006C4FCF"/>
    <w:rsid w:val="006D33C7"/>
    <w:rsid w:val="006D5D54"/>
    <w:rsid w:val="006E3EF5"/>
    <w:rsid w:val="006F76C4"/>
    <w:rsid w:val="00702C25"/>
    <w:rsid w:val="007056E7"/>
    <w:rsid w:val="007123EA"/>
    <w:rsid w:val="00712FC0"/>
    <w:rsid w:val="007142AE"/>
    <w:rsid w:val="00714876"/>
    <w:rsid w:val="00716EA8"/>
    <w:rsid w:val="00721188"/>
    <w:rsid w:val="00727DC7"/>
    <w:rsid w:val="00730319"/>
    <w:rsid w:val="007360EF"/>
    <w:rsid w:val="00741774"/>
    <w:rsid w:val="00744904"/>
    <w:rsid w:val="00745B04"/>
    <w:rsid w:val="00750535"/>
    <w:rsid w:val="00750F49"/>
    <w:rsid w:val="0075601E"/>
    <w:rsid w:val="00760C1B"/>
    <w:rsid w:val="00761B3F"/>
    <w:rsid w:val="00763072"/>
    <w:rsid w:val="007733CE"/>
    <w:rsid w:val="00777826"/>
    <w:rsid w:val="00777C98"/>
    <w:rsid w:val="00785A24"/>
    <w:rsid w:val="00790E64"/>
    <w:rsid w:val="007A7D30"/>
    <w:rsid w:val="007B6EB6"/>
    <w:rsid w:val="007C5338"/>
    <w:rsid w:val="007D2511"/>
    <w:rsid w:val="007E36E1"/>
    <w:rsid w:val="007E426B"/>
    <w:rsid w:val="007E4BF6"/>
    <w:rsid w:val="00801213"/>
    <w:rsid w:val="00802B16"/>
    <w:rsid w:val="008040C0"/>
    <w:rsid w:val="008229C0"/>
    <w:rsid w:val="00823A4A"/>
    <w:rsid w:val="00830031"/>
    <w:rsid w:val="008346E3"/>
    <w:rsid w:val="00846B1D"/>
    <w:rsid w:val="0084765D"/>
    <w:rsid w:val="008546E8"/>
    <w:rsid w:val="00855990"/>
    <w:rsid w:val="00857E1F"/>
    <w:rsid w:val="0086323E"/>
    <w:rsid w:val="00867A11"/>
    <w:rsid w:val="008749A4"/>
    <w:rsid w:val="00875775"/>
    <w:rsid w:val="00876AB3"/>
    <w:rsid w:val="0088746C"/>
    <w:rsid w:val="00892BFD"/>
    <w:rsid w:val="00893A6E"/>
    <w:rsid w:val="00894AC3"/>
    <w:rsid w:val="00897619"/>
    <w:rsid w:val="008A13DD"/>
    <w:rsid w:val="008A15F9"/>
    <w:rsid w:val="008A57CB"/>
    <w:rsid w:val="008B08A8"/>
    <w:rsid w:val="008B0A02"/>
    <w:rsid w:val="008C064E"/>
    <w:rsid w:val="008C6D2B"/>
    <w:rsid w:val="008E0462"/>
    <w:rsid w:val="008E109E"/>
    <w:rsid w:val="008E648F"/>
    <w:rsid w:val="008E7813"/>
    <w:rsid w:val="008F42E8"/>
    <w:rsid w:val="008F5161"/>
    <w:rsid w:val="00900F49"/>
    <w:rsid w:val="00907281"/>
    <w:rsid w:val="009200FC"/>
    <w:rsid w:val="009263EF"/>
    <w:rsid w:val="00927F70"/>
    <w:rsid w:val="009345FE"/>
    <w:rsid w:val="00941890"/>
    <w:rsid w:val="009542C8"/>
    <w:rsid w:val="00960FF2"/>
    <w:rsid w:val="00963340"/>
    <w:rsid w:val="00965F46"/>
    <w:rsid w:val="00967B30"/>
    <w:rsid w:val="00981418"/>
    <w:rsid w:val="009815F2"/>
    <w:rsid w:val="0099081F"/>
    <w:rsid w:val="009924DB"/>
    <w:rsid w:val="00993011"/>
    <w:rsid w:val="009A20A7"/>
    <w:rsid w:val="009A4423"/>
    <w:rsid w:val="009A5170"/>
    <w:rsid w:val="009B1A09"/>
    <w:rsid w:val="009B3B07"/>
    <w:rsid w:val="009B4BEE"/>
    <w:rsid w:val="009C2C3F"/>
    <w:rsid w:val="009E1AF4"/>
    <w:rsid w:val="009F4C87"/>
    <w:rsid w:val="009F509F"/>
    <w:rsid w:val="00A123FE"/>
    <w:rsid w:val="00A12F93"/>
    <w:rsid w:val="00A139D0"/>
    <w:rsid w:val="00A17DD2"/>
    <w:rsid w:val="00A20CE5"/>
    <w:rsid w:val="00A32CB9"/>
    <w:rsid w:val="00A479C1"/>
    <w:rsid w:val="00A5083B"/>
    <w:rsid w:val="00A51799"/>
    <w:rsid w:val="00A55C20"/>
    <w:rsid w:val="00A60075"/>
    <w:rsid w:val="00A603D6"/>
    <w:rsid w:val="00A6119C"/>
    <w:rsid w:val="00A615F2"/>
    <w:rsid w:val="00A71A79"/>
    <w:rsid w:val="00A84DA1"/>
    <w:rsid w:val="00A8555E"/>
    <w:rsid w:val="00A85A3B"/>
    <w:rsid w:val="00A87FFD"/>
    <w:rsid w:val="00A9146A"/>
    <w:rsid w:val="00A917C9"/>
    <w:rsid w:val="00AB5755"/>
    <w:rsid w:val="00AB6A32"/>
    <w:rsid w:val="00AB7239"/>
    <w:rsid w:val="00AC0F59"/>
    <w:rsid w:val="00AC4F1C"/>
    <w:rsid w:val="00AC5489"/>
    <w:rsid w:val="00AD31C3"/>
    <w:rsid w:val="00AD4230"/>
    <w:rsid w:val="00AE1195"/>
    <w:rsid w:val="00AF28C1"/>
    <w:rsid w:val="00B035A9"/>
    <w:rsid w:val="00B048E5"/>
    <w:rsid w:val="00B1052F"/>
    <w:rsid w:val="00B22715"/>
    <w:rsid w:val="00B3160C"/>
    <w:rsid w:val="00B34C92"/>
    <w:rsid w:val="00B449F6"/>
    <w:rsid w:val="00B46DEF"/>
    <w:rsid w:val="00B54BCB"/>
    <w:rsid w:val="00B54FDF"/>
    <w:rsid w:val="00B610C0"/>
    <w:rsid w:val="00B65DB5"/>
    <w:rsid w:val="00B72CCF"/>
    <w:rsid w:val="00B7316A"/>
    <w:rsid w:val="00B85528"/>
    <w:rsid w:val="00B86C05"/>
    <w:rsid w:val="00B94533"/>
    <w:rsid w:val="00B9555A"/>
    <w:rsid w:val="00BA1E7F"/>
    <w:rsid w:val="00BA4417"/>
    <w:rsid w:val="00BB4D4A"/>
    <w:rsid w:val="00BC5D43"/>
    <w:rsid w:val="00BC5E23"/>
    <w:rsid w:val="00BD469C"/>
    <w:rsid w:val="00BD640A"/>
    <w:rsid w:val="00BE17C1"/>
    <w:rsid w:val="00BE195B"/>
    <w:rsid w:val="00BF0551"/>
    <w:rsid w:val="00BF626E"/>
    <w:rsid w:val="00C01193"/>
    <w:rsid w:val="00C058A8"/>
    <w:rsid w:val="00C14DAC"/>
    <w:rsid w:val="00C17504"/>
    <w:rsid w:val="00C224A7"/>
    <w:rsid w:val="00C27146"/>
    <w:rsid w:val="00C30893"/>
    <w:rsid w:val="00C30DA7"/>
    <w:rsid w:val="00C3140E"/>
    <w:rsid w:val="00C44391"/>
    <w:rsid w:val="00C45E9E"/>
    <w:rsid w:val="00C468B7"/>
    <w:rsid w:val="00C500EA"/>
    <w:rsid w:val="00C50C4B"/>
    <w:rsid w:val="00C53DC6"/>
    <w:rsid w:val="00C5704A"/>
    <w:rsid w:val="00C61304"/>
    <w:rsid w:val="00C61688"/>
    <w:rsid w:val="00C71D90"/>
    <w:rsid w:val="00C722E1"/>
    <w:rsid w:val="00C767DB"/>
    <w:rsid w:val="00C76BA7"/>
    <w:rsid w:val="00C80282"/>
    <w:rsid w:val="00C84E82"/>
    <w:rsid w:val="00C86FBA"/>
    <w:rsid w:val="00C90FD4"/>
    <w:rsid w:val="00C92101"/>
    <w:rsid w:val="00C93F55"/>
    <w:rsid w:val="00C946BB"/>
    <w:rsid w:val="00CA20BE"/>
    <w:rsid w:val="00CC4092"/>
    <w:rsid w:val="00CC4FB9"/>
    <w:rsid w:val="00CC5952"/>
    <w:rsid w:val="00CC71F1"/>
    <w:rsid w:val="00CD3B48"/>
    <w:rsid w:val="00CD4FE6"/>
    <w:rsid w:val="00CE0E70"/>
    <w:rsid w:val="00CE1A93"/>
    <w:rsid w:val="00CE32B5"/>
    <w:rsid w:val="00CF38E1"/>
    <w:rsid w:val="00D1453C"/>
    <w:rsid w:val="00D20F0B"/>
    <w:rsid w:val="00D2458A"/>
    <w:rsid w:val="00D40E6B"/>
    <w:rsid w:val="00D41D8F"/>
    <w:rsid w:val="00D42798"/>
    <w:rsid w:val="00D64E0F"/>
    <w:rsid w:val="00D64F79"/>
    <w:rsid w:val="00D66833"/>
    <w:rsid w:val="00D7045E"/>
    <w:rsid w:val="00D74043"/>
    <w:rsid w:val="00D802A4"/>
    <w:rsid w:val="00D902CE"/>
    <w:rsid w:val="00D932AC"/>
    <w:rsid w:val="00DA2169"/>
    <w:rsid w:val="00DA7C6D"/>
    <w:rsid w:val="00DA7C80"/>
    <w:rsid w:val="00DA7E34"/>
    <w:rsid w:val="00DB28C4"/>
    <w:rsid w:val="00DB2E4A"/>
    <w:rsid w:val="00DB58D5"/>
    <w:rsid w:val="00DB6977"/>
    <w:rsid w:val="00DB7B5D"/>
    <w:rsid w:val="00DC0118"/>
    <w:rsid w:val="00DC155E"/>
    <w:rsid w:val="00DD57C0"/>
    <w:rsid w:val="00DD6802"/>
    <w:rsid w:val="00DE3BAF"/>
    <w:rsid w:val="00DE67C0"/>
    <w:rsid w:val="00DF0E1A"/>
    <w:rsid w:val="00DF26DA"/>
    <w:rsid w:val="00DF4808"/>
    <w:rsid w:val="00E02DF5"/>
    <w:rsid w:val="00E05424"/>
    <w:rsid w:val="00E0546F"/>
    <w:rsid w:val="00E126A7"/>
    <w:rsid w:val="00E15435"/>
    <w:rsid w:val="00E25B9C"/>
    <w:rsid w:val="00E26B53"/>
    <w:rsid w:val="00E332DF"/>
    <w:rsid w:val="00E368E7"/>
    <w:rsid w:val="00E36BB4"/>
    <w:rsid w:val="00E41938"/>
    <w:rsid w:val="00E42161"/>
    <w:rsid w:val="00E43CF0"/>
    <w:rsid w:val="00E4576B"/>
    <w:rsid w:val="00E47EDE"/>
    <w:rsid w:val="00E66F0A"/>
    <w:rsid w:val="00E7102F"/>
    <w:rsid w:val="00E87E62"/>
    <w:rsid w:val="00E95149"/>
    <w:rsid w:val="00E9550D"/>
    <w:rsid w:val="00E96BCA"/>
    <w:rsid w:val="00E97999"/>
    <w:rsid w:val="00EB0FF8"/>
    <w:rsid w:val="00EC0CCD"/>
    <w:rsid w:val="00EC151F"/>
    <w:rsid w:val="00EC27D8"/>
    <w:rsid w:val="00EC5124"/>
    <w:rsid w:val="00ED6BC2"/>
    <w:rsid w:val="00EE20E7"/>
    <w:rsid w:val="00EE32B5"/>
    <w:rsid w:val="00EE685B"/>
    <w:rsid w:val="00EF3652"/>
    <w:rsid w:val="00EF4B71"/>
    <w:rsid w:val="00EF4EC3"/>
    <w:rsid w:val="00EF5AC7"/>
    <w:rsid w:val="00F04733"/>
    <w:rsid w:val="00F04DA6"/>
    <w:rsid w:val="00F05E3D"/>
    <w:rsid w:val="00F10484"/>
    <w:rsid w:val="00F13A95"/>
    <w:rsid w:val="00F265DE"/>
    <w:rsid w:val="00F32A63"/>
    <w:rsid w:val="00F41AC7"/>
    <w:rsid w:val="00F4362F"/>
    <w:rsid w:val="00F470A8"/>
    <w:rsid w:val="00F5096D"/>
    <w:rsid w:val="00F51A21"/>
    <w:rsid w:val="00F55A3A"/>
    <w:rsid w:val="00F56063"/>
    <w:rsid w:val="00F566BC"/>
    <w:rsid w:val="00F66693"/>
    <w:rsid w:val="00F72480"/>
    <w:rsid w:val="00F73E9D"/>
    <w:rsid w:val="00F9019C"/>
    <w:rsid w:val="00F93D08"/>
    <w:rsid w:val="00F94A0A"/>
    <w:rsid w:val="00FA70DE"/>
    <w:rsid w:val="00FA729E"/>
    <w:rsid w:val="00FB2E87"/>
    <w:rsid w:val="00FB37DE"/>
    <w:rsid w:val="00FD1D84"/>
    <w:rsid w:val="00FD437B"/>
    <w:rsid w:val="00FF3B98"/>
    <w:rsid w:val="00FF5FA8"/>
    <w:rsid w:val="00FF7A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C020"/>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character" w:styleId="Mentionnonrsolue">
    <w:name w:val="Unresolved Mention"/>
    <w:basedOn w:val="Policepardfaut"/>
    <w:uiPriority w:val="99"/>
    <w:rsid w:val="0084765D"/>
    <w:rPr>
      <w:color w:val="605E5C"/>
      <w:shd w:val="clear" w:color="auto" w:fill="E1DFDD"/>
    </w:rPr>
  </w:style>
  <w:style w:type="paragraph" w:customStyle="1" w:styleId="xmsonormal">
    <w:name w:val="x_msonormal"/>
    <w:basedOn w:val="Normal"/>
    <w:rsid w:val="005B16E5"/>
    <w:pPr>
      <w:spacing w:before="0" w:after="0" w:line="240" w:lineRule="auto"/>
    </w:pPr>
    <w:rPr>
      <w:rFonts w:ascii="Calibri" w:hAnsi="Calibri" w:cs="Calibri"/>
      <w:sz w:val="22"/>
      <w:szCs w:val="22"/>
      <w:lang w:eastAsia="fr-CH"/>
    </w:rPr>
  </w:style>
  <w:style w:type="paragraph" w:customStyle="1" w:styleId="07puces">
    <w:name w:val="07_puces"/>
    <w:basedOn w:val="Normal"/>
    <w:rsid w:val="005114E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260">
      <w:bodyDiv w:val="1"/>
      <w:marLeft w:val="0"/>
      <w:marRight w:val="0"/>
      <w:marTop w:val="0"/>
      <w:marBottom w:val="0"/>
      <w:divBdr>
        <w:top w:val="none" w:sz="0" w:space="0" w:color="auto"/>
        <w:left w:val="none" w:sz="0" w:space="0" w:color="auto"/>
        <w:bottom w:val="none" w:sz="0" w:space="0" w:color="auto"/>
        <w:right w:val="none" w:sz="0" w:space="0" w:color="auto"/>
      </w:divBdr>
    </w:div>
    <w:div w:id="802622915">
      <w:bodyDiv w:val="1"/>
      <w:marLeft w:val="0"/>
      <w:marRight w:val="0"/>
      <w:marTop w:val="0"/>
      <w:marBottom w:val="0"/>
      <w:divBdr>
        <w:top w:val="none" w:sz="0" w:space="0" w:color="auto"/>
        <w:left w:val="none" w:sz="0" w:space="0" w:color="auto"/>
        <w:bottom w:val="none" w:sz="0" w:space="0" w:color="auto"/>
        <w:right w:val="none" w:sz="0" w:space="0" w:color="auto"/>
      </w:divBdr>
    </w:div>
    <w:div w:id="1534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3.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9</Pages>
  <Words>4546</Words>
  <Characters>25351</Characters>
  <Application>Microsoft Office Word</Application>
  <DocSecurity>0</DocSecurity>
  <Lines>337</Lines>
  <Paragraphs>118</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Gaudiano Fabrice</cp:lastModifiedBy>
  <cp:revision>6</cp:revision>
  <cp:lastPrinted>2026-01-23T09:52:00Z</cp:lastPrinted>
  <dcterms:created xsi:type="dcterms:W3CDTF">2026-02-18T07:16:00Z</dcterms:created>
  <dcterms:modified xsi:type="dcterms:W3CDTF">2026-03-05T06:22:00Z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