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E33" w14:textId="51BEE79A" w:rsidR="006B5C24" w:rsidRDefault="002F318F" w:rsidP="00FD0818">
      <w:pPr>
        <w:jc w:val="right"/>
      </w:pPr>
      <w:r>
        <w:rPr>
          <w:highlight w:val="yellow"/>
        </w:rPr>
        <w:t xml:space="preserve"> </w:t>
      </w:r>
      <w:r w:rsidR="006B5C24" w:rsidRPr="00240DC5">
        <w:rPr>
          <w:highlight w:val="yellow"/>
        </w:rPr>
        <w:t>DIR/Projet du 00.00.0000</w:t>
      </w:r>
    </w:p>
    <w:p w14:paraId="7368D0F4" w14:textId="609EA2BE" w:rsidR="006B5C24" w:rsidRPr="00FC7F16" w:rsidRDefault="006B5C24" w:rsidP="00FC7F16">
      <w:pPr>
        <w:pStyle w:val="05titreprincipalouobjetgras"/>
        <w:tabs>
          <w:tab w:val="right" w:pos="9920"/>
        </w:tabs>
      </w:pPr>
      <w:r>
        <w:t>Rapport</w:t>
      </w:r>
      <w:r w:rsidR="00E56708">
        <w:t xml:space="preserve"> explicatif</w:t>
      </w:r>
      <w:r w:rsidRPr="00FC7F16">
        <w:t xml:space="preserve"> </w:t>
      </w:r>
      <w:fldSimple w:instr=" COMMENTS &quot;2024-DFIN-37&quot; PATH=Dokument/Geschaeft/*[name()='Geschaeft']/Signatur  \* MERGEFORMAT">
        <w:r>
          <w:t>2024-DFIN-37</w:t>
        </w:r>
      </w:fldSimple>
      <w:r w:rsidRPr="00FC7F16">
        <w:tab/>
      </w:r>
      <w:r w:rsidRPr="004F57AA">
        <w:rPr>
          <w:b w:val="0"/>
          <w:bCs/>
          <w:sz w:val="24"/>
        </w:rPr>
        <w:t>00 mois 0000</w:t>
      </w:r>
    </w:p>
    <w:p w14:paraId="17250619" w14:textId="77777777" w:rsidR="006B5C24" w:rsidRPr="000000BC" w:rsidRDefault="006B5C24" w:rsidP="000000BC">
      <w:pPr>
        <w:pStyle w:val="05titreprincipalouobjetgras"/>
      </w:pPr>
      <w:r w:rsidRPr="008A20EE">
        <w:t>—</w:t>
      </w:r>
    </w:p>
    <w:p w14:paraId="02679E77" w14:textId="75249125" w:rsidR="006B5C24" w:rsidRDefault="006B5C24" w:rsidP="00461369">
      <w:pPr>
        <w:pStyle w:val="04titreprincipalouobjetnormal"/>
      </w:pPr>
      <w:r w:rsidRPr="004A4C3E">
        <w:rPr>
          <w:rFonts w:cs="Arial"/>
        </w:rPr>
        <w:fldChar w:fldCharType="begin"/>
      </w:r>
      <w:r>
        <w:instrText xml:space="preserve"> COMMENTS "Mesures d'assainissement des finances de l'Etat 2026-2028 - PAFE" PATH=Dokument/Geschaeft/*[name()='Geschaeft']/Titel  \* MERGEFORMAT</w:instrText>
      </w:r>
      <w:r w:rsidRPr="004A4C3E">
        <w:rPr>
          <w:rFonts w:cs="Arial"/>
        </w:rPr>
        <w:fldChar w:fldCharType="separate"/>
      </w:r>
      <w:r w:rsidR="0029480E">
        <w:rPr>
          <w:rFonts w:cs="Arial"/>
        </w:rPr>
        <w:t>Programme</w:t>
      </w:r>
      <w:r w:rsidRPr="004A4C3E">
        <w:rPr>
          <w:rFonts w:cs="Arial"/>
        </w:rPr>
        <w:t xml:space="preserve"> d'assainissement des finances de l'Etat - PAFE</w:t>
      </w:r>
      <w:r w:rsidRPr="004A4C3E">
        <w:rPr>
          <w:rFonts w:cs="Arial"/>
        </w:rPr>
        <w:fldChar w:fldCharType="end"/>
      </w:r>
    </w:p>
    <w:p w14:paraId="5C36E33E" w14:textId="574CFA73" w:rsidR="006B5C24" w:rsidRPr="00FE3A13" w:rsidRDefault="006B5C24" w:rsidP="00B01E1B">
      <w:pPr>
        <w:pStyle w:val="06lead"/>
        <w:rPr>
          <w:i w:val="0"/>
          <w:sz w:val="24"/>
          <w:lang w:val="fr-CH"/>
        </w:rPr>
      </w:pPr>
      <w:r w:rsidRPr="00FE3A13">
        <w:t xml:space="preserve">Nous avons l’honneur de vous soumettre le rapport </w:t>
      </w:r>
      <w:r w:rsidR="00E56708">
        <w:t>explicatif accompagnant l’avant-projet de loi portant assainissement des finances de l’Etat (LAFE)</w:t>
      </w:r>
      <w:r w:rsidR="0029480E" w:rsidRPr="00FE3A13">
        <w:t>. Ce document est structuré de la manière suivante :</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40B89B37" w14:textId="77777777" w:rsidR="006B5C24" w:rsidRPr="00FE3A13" w:rsidRDefault="006B5C24" w:rsidP="00D04CC2">
          <w:pPr>
            <w:pStyle w:val="En-ttedetabledesmatires"/>
            <w:spacing w:before="360"/>
          </w:pPr>
          <w:r w:rsidRPr="00FE3A13">
            <w:t>Table des matières</w:t>
          </w:r>
        </w:p>
        <w:p w14:paraId="052767B9" w14:textId="77777777" w:rsidR="006B5C24" w:rsidRPr="00FE3A13" w:rsidRDefault="006B5C24" w:rsidP="00FD0818">
          <w:pPr>
            <w:pStyle w:val="Tiret"/>
          </w:pPr>
          <w:r w:rsidRPr="00FE3A13">
            <w:t>—</w:t>
          </w:r>
        </w:p>
        <w:p w14:paraId="08A78333" w14:textId="4BEBB082" w:rsidR="00330506" w:rsidRDefault="006B5C24">
          <w:pPr>
            <w:pStyle w:val="TM1"/>
            <w:rPr>
              <w:rFonts w:asciiTheme="minorHAnsi" w:eastAsiaTheme="minorEastAsia" w:hAnsiTheme="minorHAnsi"/>
              <w:b w:val="0"/>
              <w:kern w:val="2"/>
              <w:sz w:val="24"/>
              <w:szCs w:val="24"/>
              <w:lang w:eastAsia="fr-CH"/>
              <w14:ligatures w14:val="standardContextual"/>
            </w:rPr>
          </w:pPr>
          <w:r w:rsidRPr="00FE3A13">
            <w:rPr>
              <w:color w:val="009581" w:themeColor="accent3"/>
            </w:rPr>
            <w:fldChar w:fldCharType="begin"/>
          </w:r>
          <w:r w:rsidRPr="00FE3A13">
            <w:instrText xml:space="preserve"> TOC \o "1-3" \h \z \u </w:instrText>
          </w:r>
          <w:r w:rsidRPr="00FE3A13">
            <w:rPr>
              <w:color w:val="009581" w:themeColor="accent3"/>
            </w:rPr>
            <w:fldChar w:fldCharType="separate"/>
          </w:r>
          <w:hyperlink w:anchor="_Toc195714664" w:history="1">
            <w:r w:rsidR="00330506" w:rsidRPr="00B33F5F">
              <w:rPr>
                <w:rStyle w:val="Lienhypertexte"/>
              </w:rPr>
              <w:t>1</w:t>
            </w:r>
            <w:r w:rsidR="00330506">
              <w:rPr>
                <w:rFonts w:asciiTheme="minorHAnsi" w:eastAsiaTheme="minorEastAsia" w:hAnsiTheme="minorHAnsi"/>
                <w:b w:val="0"/>
                <w:kern w:val="2"/>
                <w:sz w:val="24"/>
                <w:szCs w:val="24"/>
                <w:lang w:eastAsia="fr-CH"/>
                <w14:ligatures w14:val="standardContextual"/>
              </w:rPr>
              <w:tab/>
            </w:r>
            <w:r w:rsidR="00330506" w:rsidRPr="00B33F5F">
              <w:rPr>
                <w:rStyle w:val="Lienhypertexte"/>
              </w:rPr>
              <w:t>Résumé</w:t>
            </w:r>
            <w:r w:rsidR="00330506">
              <w:rPr>
                <w:webHidden/>
              </w:rPr>
              <w:tab/>
            </w:r>
            <w:r w:rsidR="00330506">
              <w:rPr>
                <w:webHidden/>
              </w:rPr>
              <w:fldChar w:fldCharType="begin"/>
            </w:r>
            <w:r w:rsidR="00330506">
              <w:rPr>
                <w:webHidden/>
              </w:rPr>
              <w:instrText xml:space="preserve"> PAGEREF _Toc195714664 \h </w:instrText>
            </w:r>
            <w:r w:rsidR="00330506">
              <w:rPr>
                <w:webHidden/>
              </w:rPr>
            </w:r>
            <w:r w:rsidR="00330506">
              <w:rPr>
                <w:webHidden/>
              </w:rPr>
              <w:fldChar w:fldCharType="separate"/>
            </w:r>
            <w:r w:rsidR="00330506">
              <w:rPr>
                <w:webHidden/>
              </w:rPr>
              <w:t>5</w:t>
            </w:r>
            <w:r w:rsidR="00330506">
              <w:rPr>
                <w:webHidden/>
              </w:rPr>
              <w:fldChar w:fldCharType="end"/>
            </w:r>
          </w:hyperlink>
        </w:p>
        <w:p w14:paraId="1D60F812" w14:textId="4F815D88"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4665" w:history="1">
            <w:r w:rsidRPr="00B33F5F">
              <w:rPr>
                <w:rStyle w:val="Lienhypertexte"/>
              </w:rPr>
              <w:t>2</w:t>
            </w:r>
            <w:r>
              <w:rPr>
                <w:rFonts w:asciiTheme="minorHAnsi" w:eastAsiaTheme="minorEastAsia" w:hAnsiTheme="minorHAnsi"/>
                <w:b w:val="0"/>
                <w:kern w:val="2"/>
                <w:sz w:val="24"/>
                <w:szCs w:val="24"/>
                <w:lang w:eastAsia="fr-CH"/>
                <w14:ligatures w14:val="standardContextual"/>
              </w:rPr>
              <w:tab/>
            </w:r>
            <w:r w:rsidRPr="00B33F5F">
              <w:rPr>
                <w:rStyle w:val="Lienhypertexte"/>
              </w:rPr>
              <w:t>Raisons du PAFE</w:t>
            </w:r>
            <w:r>
              <w:rPr>
                <w:webHidden/>
              </w:rPr>
              <w:tab/>
            </w:r>
            <w:r>
              <w:rPr>
                <w:webHidden/>
              </w:rPr>
              <w:fldChar w:fldCharType="begin"/>
            </w:r>
            <w:r>
              <w:rPr>
                <w:webHidden/>
              </w:rPr>
              <w:instrText xml:space="preserve"> PAGEREF _Toc195714665 \h </w:instrText>
            </w:r>
            <w:r>
              <w:rPr>
                <w:webHidden/>
              </w:rPr>
            </w:r>
            <w:r>
              <w:rPr>
                <w:webHidden/>
              </w:rPr>
              <w:fldChar w:fldCharType="separate"/>
            </w:r>
            <w:r>
              <w:rPr>
                <w:webHidden/>
              </w:rPr>
              <w:t>5</w:t>
            </w:r>
            <w:r>
              <w:rPr>
                <w:webHidden/>
              </w:rPr>
              <w:fldChar w:fldCharType="end"/>
            </w:r>
          </w:hyperlink>
        </w:p>
        <w:p w14:paraId="2C199B63" w14:textId="4F8A3EDD"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66" w:history="1">
            <w:r w:rsidRPr="00B33F5F">
              <w:rPr>
                <w:rStyle w:val="Lienhypertexte"/>
              </w:rPr>
              <w:t>2.1</w:t>
            </w:r>
            <w:r>
              <w:rPr>
                <w:rFonts w:asciiTheme="minorHAnsi" w:eastAsiaTheme="minorEastAsia" w:hAnsiTheme="minorHAnsi"/>
                <w:b w:val="0"/>
                <w:kern w:val="2"/>
                <w:sz w:val="24"/>
                <w:szCs w:val="24"/>
                <w:lang w:eastAsia="fr-CH"/>
                <w14:ligatures w14:val="standardContextual"/>
              </w:rPr>
              <w:tab/>
            </w:r>
            <w:r w:rsidRPr="00B33F5F">
              <w:rPr>
                <w:rStyle w:val="Lienhypertexte"/>
              </w:rPr>
              <w:t>Règle d’équilibre budgétaire</w:t>
            </w:r>
            <w:r>
              <w:rPr>
                <w:webHidden/>
              </w:rPr>
              <w:tab/>
            </w:r>
            <w:r>
              <w:rPr>
                <w:webHidden/>
              </w:rPr>
              <w:fldChar w:fldCharType="begin"/>
            </w:r>
            <w:r>
              <w:rPr>
                <w:webHidden/>
              </w:rPr>
              <w:instrText xml:space="preserve"> PAGEREF _Toc195714666 \h </w:instrText>
            </w:r>
            <w:r>
              <w:rPr>
                <w:webHidden/>
              </w:rPr>
            </w:r>
            <w:r>
              <w:rPr>
                <w:webHidden/>
              </w:rPr>
              <w:fldChar w:fldCharType="separate"/>
            </w:r>
            <w:r>
              <w:rPr>
                <w:webHidden/>
              </w:rPr>
              <w:t>6</w:t>
            </w:r>
            <w:r>
              <w:rPr>
                <w:webHidden/>
              </w:rPr>
              <w:fldChar w:fldCharType="end"/>
            </w:r>
          </w:hyperlink>
        </w:p>
        <w:p w14:paraId="6D6AFE6D" w14:textId="5549C68A"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67" w:history="1">
            <w:r w:rsidRPr="00B33F5F">
              <w:rPr>
                <w:rStyle w:val="Lienhypertexte"/>
              </w:rPr>
              <w:t>2.2</w:t>
            </w:r>
            <w:r>
              <w:rPr>
                <w:rFonts w:asciiTheme="minorHAnsi" w:eastAsiaTheme="minorEastAsia" w:hAnsiTheme="minorHAnsi"/>
                <w:b w:val="0"/>
                <w:kern w:val="2"/>
                <w:sz w:val="24"/>
                <w:szCs w:val="24"/>
                <w:lang w:eastAsia="fr-CH"/>
                <w14:ligatures w14:val="standardContextual"/>
              </w:rPr>
              <w:tab/>
            </w:r>
            <w:r w:rsidRPr="00B33F5F">
              <w:rPr>
                <w:rStyle w:val="Lienhypertexte"/>
              </w:rPr>
              <w:t>Résultat du plan financier actualisé</w:t>
            </w:r>
            <w:r>
              <w:rPr>
                <w:webHidden/>
              </w:rPr>
              <w:tab/>
            </w:r>
            <w:r>
              <w:rPr>
                <w:webHidden/>
              </w:rPr>
              <w:fldChar w:fldCharType="begin"/>
            </w:r>
            <w:r>
              <w:rPr>
                <w:webHidden/>
              </w:rPr>
              <w:instrText xml:space="preserve"> PAGEREF _Toc195714667 \h </w:instrText>
            </w:r>
            <w:r>
              <w:rPr>
                <w:webHidden/>
              </w:rPr>
            </w:r>
            <w:r>
              <w:rPr>
                <w:webHidden/>
              </w:rPr>
              <w:fldChar w:fldCharType="separate"/>
            </w:r>
            <w:r>
              <w:rPr>
                <w:webHidden/>
              </w:rPr>
              <w:t>6</w:t>
            </w:r>
            <w:r>
              <w:rPr>
                <w:webHidden/>
              </w:rPr>
              <w:fldChar w:fldCharType="end"/>
            </w:r>
          </w:hyperlink>
        </w:p>
        <w:p w14:paraId="3CAF9728" w14:textId="65FE3200"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68" w:history="1">
            <w:r w:rsidRPr="00B33F5F">
              <w:rPr>
                <w:rStyle w:val="Lienhypertexte"/>
              </w:rPr>
              <w:t>2.3</w:t>
            </w:r>
            <w:r>
              <w:rPr>
                <w:rFonts w:asciiTheme="minorHAnsi" w:eastAsiaTheme="minorEastAsia" w:hAnsiTheme="minorHAnsi"/>
                <w:b w:val="0"/>
                <w:kern w:val="2"/>
                <w:sz w:val="24"/>
                <w:szCs w:val="24"/>
                <w:lang w:eastAsia="fr-CH"/>
                <w14:ligatures w14:val="standardContextual"/>
              </w:rPr>
              <w:tab/>
            </w:r>
            <w:r w:rsidRPr="00B33F5F">
              <w:rPr>
                <w:rStyle w:val="Lienhypertexte"/>
              </w:rPr>
              <w:t>Incertitudes quant à l’évolution des revenus externes</w:t>
            </w:r>
            <w:r>
              <w:rPr>
                <w:webHidden/>
              </w:rPr>
              <w:tab/>
            </w:r>
            <w:r>
              <w:rPr>
                <w:webHidden/>
              </w:rPr>
              <w:fldChar w:fldCharType="begin"/>
            </w:r>
            <w:r>
              <w:rPr>
                <w:webHidden/>
              </w:rPr>
              <w:instrText xml:space="preserve"> PAGEREF _Toc195714668 \h </w:instrText>
            </w:r>
            <w:r>
              <w:rPr>
                <w:webHidden/>
              </w:rPr>
            </w:r>
            <w:r>
              <w:rPr>
                <w:webHidden/>
              </w:rPr>
              <w:fldChar w:fldCharType="separate"/>
            </w:r>
            <w:r>
              <w:rPr>
                <w:webHidden/>
              </w:rPr>
              <w:t>8</w:t>
            </w:r>
            <w:r>
              <w:rPr>
                <w:webHidden/>
              </w:rPr>
              <w:fldChar w:fldCharType="end"/>
            </w:r>
          </w:hyperlink>
        </w:p>
        <w:p w14:paraId="3746A13D" w14:textId="26C9C4B0"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69" w:history="1">
            <w:r w:rsidRPr="00B33F5F">
              <w:rPr>
                <w:rStyle w:val="Lienhypertexte"/>
              </w:rPr>
              <w:t>2.4</w:t>
            </w:r>
            <w:r>
              <w:rPr>
                <w:rFonts w:asciiTheme="minorHAnsi" w:eastAsiaTheme="minorEastAsia" w:hAnsiTheme="minorHAnsi"/>
                <w:b w:val="0"/>
                <w:kern w:val="2"/>
                <w:sz w:val="24"/>
                <w:szCs w:val="24"/>
                <w:lang w:eastAsia="fr-CH"/>
                <w14:ligatures w14:val="standardContextual"/>
              </w:rPr>
              <w:tab/>
            </w:r>
            <w:r w:rsidRPr="00B33F5F">
              <w:rPr>
                <w:rStyle w:val="Lienhypertexte"/>
              </w:rPr>
              <w:t>Incidences du programme d’allègement budgétaire 2027 de la Confédération</w:t>
            </w:r>
            <w:r>
              <w:rPr>
                <w:webHidden/>
              </w:rPr>
              <w:tab/>
            </w:r>
            <w:r>
              <w:rPr>
                <w:webHidden/>
              </w:rPr>
              <w:fldChar w:fldCharType="begin"/>
            </w:r>
            <w:r>
              <w:rPr>
                <w:webHidden/>
              </w:rPr>
              <w:instrText xml:space="preserve"> PAGEREF _Toc195714669 \h </w:instrText>
            </w:r>
            <w:r>
              <w:rPr>
                <w:webHidden/>
              </w:rPr>
            </w:r>
            <w:r>
              <w:rPr>
                <w:webHidden/>
              </w:rPr>
              <w:fldChar w:fldCharType="separate"/>
            </w:r>
            <w:r>
              <w:rPr>
                <w:webHidden/>
              </w:rPr>
              <w:t>9</w:t>
            </w:r>
            <w:r>
              <w:rPr>
                <w:webHidden/>
              </w:rPr>
              <w:fldChar w:fldCharType="end"/>
            </w:r>
          </w:hyperlink>
        </w:p>
        <w:p w14:paraId="2BA4747B" w14:textId="11612110"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4670" w:history="1">
            <w:r w:rsidRPr="00B33F5F">
              <w:rPr>
                <w:rStyle w:val="Lienhypertexte"/>
              </w:rPr>
              <w:t>3</w:t>
            </w:r>
            <w:r>
              <w:rPr>
                <w:rFonts w:asciiTheme="minorHAnsi" w:eastAsiaTheme="minorEastAsia" w:hAnsiTheme="minorHAnsi"/>
                <w:b w:val="0"/>
                <w:kern w:val="2"/>
                <w:sz w:val="24"/>
                <w:szCs w:val="24"/>
                <w:lang w:eastAsia="fr-CH"/>
                <w14:ligatures w14:val="standardContextual"/>
              </w:rPr>
              <w:tab/>
            </w:r>
            <w:r w:rsidRPr="00B33F5F">
              <w:rPr>
                <w:rStyle w:val="Lienhypertexte"/>
              </w:rPr>
              <w:t>Stratégie et objectifs du Conseil d’Etat</w:t>
            </w:r>
            <w:r>
              <w:rPr>
                <w:webHidden/>
              </w:rPr>
              <w:tab/>
            </w:r>
            <w:r>
              <w:rPr>
                <w:webHidden/>
              </w:rPr>
              <w:fldChar w:fldCharType="begin"/>
            </w:r>
            <w:r>
              <w:rPr>
                <w:webHidden/>
              </w:rPr>
              <w:instrText xml:space="preserve"> PAGEREF _Toc195714670 \h </w:instrText>
            </w:r>
            <w:r>
              <w:rPr>
                <w:webHidden/>
              </w:rPr>
            </w:r>
            <w:r>
              <w:rPr>
                <w:webHidden/>
              </w:rPr>
              <w:fldChar w:fldCharType="separate"/>
            </w:r>
            <w:r>
              <w:rPr>
                <w:webHidden/>
              </w:rPr>
              <w:t>10</w:t>
            </w:r>
            <w:r>
              <w:rPr>
                <w:webHidden/>
              </w:rPr>
              <w:fldChar w:fldCharType="end"/>
            </w:r>
          </w:hyperlink>
        </w:p>
        <w:p w14:paraId="5F156BEC" w14:textId="6240DD7B"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71" w:history="1">
            <w:r w:rsidRPr="00B33F5F">
              <w:rPr>
                <w:rStyle w:val="Lienhypertexte"/>
              </w:rPr>
              <w:t>3.1</w:t>
            </w:r>
            <w:r>
              <w:rPr>
                <w:rFonts w:asciiTheme="minorHAnsi" w:eastAsiaTheme="minorEastAsia" w:hAnsiTheme="minorHAnsi"/>
                <w:b w:val="0"/>
                <w:kern w:val="2"/>
                <w:sz w:val="24"/>
                <w:szCs w:val="24"/>
                <w:lang w:eastAsia="fr-CH"/>
                <w14:ligatures w14:val="standardContextual"/>
              </w:rPr>
              <w:tab/>
            </w:r>
            <w:r w:rsidRPr="00B33F5F">
              <w:rPr>
                <w:rStyle w:val="Lienhypertexte"/>
              </w:rPr>
              <w:t>Procédure participative</w:t>
            </w:r>
            <w:r>
              <w:rPr>
                <w:webHidden/>
              </w:rPr>
              <w:tab/>
            </w:r>
            <w:r>
              <w:rPr>
                <w:webHidden/>
              </w:rPr>
              <w:fldChar w:fldCharType="begin"/>
            </w:r>
            <w:r>
              <w:rPr>
                <w:webHidden/>
              </w:rPr>
              <w:instrText xml:space="preserve"> PAGEREF _Toc195714671 \h </w:instrText>
            </w:r>
            <w:r>
              <w:rPr>
                <w:webHidden/>
              </w:rPr>
            </w:r>
            <w:r>
              <w:rPr>
                <w:webHidden/>
              </w:rPr>
              <w:fldChar w:fldCharType="separate"/>
            </w:r>
            <w:r>
              <w:rPr>
                <w:webHidden/>
              </w:rPr>
              <w:t>10</w:t>
            </w:r>
            <w:r>
              <w:rPr>
                <w:webHidden/>
              </w:rPr>
              <w:fldChar w:fldCharType="end"/>
            </w:r>
          </w:hyperlink>
        </w:p>
        <w:p w14:paraId="53DA2363" w14:textId="7D6AC09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72" w:history="1">
            <w:r w:rsidRPr="00B33F5F">
              <w:rPr>
                <w:rStyle w:val="Lienhypertexte"/>
                <w:noProof/>
              </w:rPr>
              <w:t>3.1.1</w:t>
            </w:r>
            <w:r>
              <w:rPr>
                <w:rFonts w:asciiTheme="minorHAnsi" w:eastAsiaTheme="minorEastAsia" w:hAnsiTheme="minorHAnsi"/>
                <w:noProof/>
                <w:kern w:val="2"/>
                <w:sz w:val="24"/>
                <w:szCs w:val="24"/>
                <w:lang w:eastAsia="fr-CH"/>
                <w14:ligatures w14:val="standardContextual"/>
              </w:rPr>
              <w:tab/>
            </w:r>
            <w:r w:rsidRPr="00B33F5F">
              <w:rPr>
                <w:rStyle w:val="Lienhypertexte"/>
                <w:noProof/>
              </w:rPr>
              <w:t>Propositions de mesures</w:t>
            </w:r>
            <w:r>
              <w:rPr>
                <w:noProof/>
                <w:webHidden/>
              </w:rPr>
              <w:tab/>
            </w:r>
            <w:r>
              <w:rPr>
                <w:noProof/>
                <w:webHidden/>
              </w:rPr>
              <w:fldChar w:fldCharType="begin"/>
            </w:r>
            <w:r>
              <w:rPr>
                <w:noProof/>
                <w:webHidden/>
              </w:rPr>
              <w:instrText xml:space="preserve"> PAGEREF _Toc195714672 \h </w:instrText>
            </w:r>
            <w:r>
              <w:rPr>
                <w:noProof/>
                <w:webHidden/>
              </w:rPr>
            </w:r>
            <w:r>
              <w:rPr>
                <w:noProof/>
                <w:webHidden/>
              </w:rPr>
              <w:fldChar w:fldCharType="separate"/>
            </w:r>
            <w:r>
              <w:rPr>
                <w:noProof/>
                <w:webHidden/>
              </w:rPr>
              <w:t>10</w:t>
            </w:r>
            <w:r>
              <w:rPr>
                <w:noProof/>
                <w:webHidden/>
              </w:rPr>
              <w:fldChar w:fldCharType="end"/>
            </w:r>
          </w:hyperlink>
        </w:p>
        <w:p w14:paraId="728C60F5" w14:textId="0100E890"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73" w:history="1">
            <w:r w:rsidRPr="00B33F5F">
              <w:rPr>
                <w:rStyle w:val="Lienhypertexte"/>
                <w:noProof/>
              </w:rPr>
              <w:t>3.1.2</w:t>
            </w:r>
            <w:r>
              <w:rPr>
                <w:rFonts w:asciiTheme="minorHAnsi" w:eastAsiaTheme="minorEastAsia" w:hAnsiTheme="minorHAnsi"/>
                <w:noProof/>
                <w:kern w:val="2"/>
                <w:sz w:val="24"/>
                <w:szCs w:val="24"/>
                <w:lang w:eastAsia="fr-CH"/>
                <w14:ligatures w14:val="standardContextual"/>
              </w:rPr>
              <w:tab/>
            </w:r>
            <w:r w:rsidRPr="00B33F5F">
              <w:rPr>
                <w:rStyle w:val="Lienhypertexte"/>
                <w:noProof/>
              </w:rPr>
              <w:t>Groupes de travail</w:t>
            </w:r>
            <w:r>
              <w:rPr>
                <w:noProof/>
                <w:webHidden/>
              </w:rPr>
              <w:tab/>
            </w:r>
            <w:r>
              <w:rPr>
                <w:noProof/>
                <w:webHidden/>
              </w:rPr>
              <w:fldChar w:fldCharType="begin"/>
            </w:r>
            <w:r>
              <w:rPr>
                <w:noProof/>
                <w:webHidden/>
              </w:rPr>
              <w:instrText xml:space="preserve"> PAGEREF _Toc195714673 \h </w:instrText>
            </w:r>
            <w:r>
              <w:rPr>
                <w:noProof/>
                <w:webHidden/>
              </w:rPr>
            </w:r>
            <w:r>
              <w:rPr>
                <w:noProof/>
                <w:webHidden/>
              </w:rPr>
              <w:fldChar w:fldCharType="separate"/>
            </w:r>
            <w:r>
              <w:rPr>
                <w:noProof/>
                <w:webHidden/>
              </w:rPr>
              <w:t>10</w:t>
            </w:r>
            <w:r>
              <w:rPr>
                <w:noProof/>
                <w:webHidden/>
              </w:rPr>
              <w:fldChar w:fldCharType="end"/>
            </w:r>
          </w:hyperlink>
        </w:p>
        <w:p w14:paraId="0E708899" w14:textId="1B890AF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74" w:history="1">
            <w:r w:rsidRPr="00B33F5F">
              <w:rPr>
                <w:rStyle w:val="Lienhypertexte"/>
                <w:noProof/>
              </w:rPr>
              <w:t>3.1.3</w:t>
            </w:r>
            <w:r>
              <w:rPr>
                <w:rFonts w:asciiTheme="minorHAnsi" w:eastAsiaTheme="minorEastAsia" w:hAnsiTheme="minorHAnsi"/>
                <w:noProof/>
                <w:kern w:val="2"/>
                <w:sz w:val="24"/>
                <w:szCs w:val="24"/>
                <w:lang w:eastAsia="fr-CH"/>
                <w14:ligatures w14:val="standardContextual"/>
              </w:rPr>
              <w:tab/>
            </w:r>
            <w:r w:rsidRPr="00B33F5F">
              <w:rPr>
                <w:rStyle w:val="Lienhypertexte"/>
                <w:noProof/>
              </w:rPr>
              <w:t>Sélection des mesures</w:t>
            </w:r>
            <w:r>
              <w:rPr>
                <w:noProof/>
                <w:webHidden/>
              </w:rPr>
              <w:tab/>
            </w:r>
            <w:r>
              <w:rPr>
                <w:noProof/>
                <w:webHidden/>
              </w:rPr>
              <w:fldChar w:fldCharType="begin"/>
            </w:r>
            <w:r>
              <w:rPr>
                <w:noProof/>
                <w:webHidden/>
              </w:rPr>
              <w:instrText xml:space="preserve"> PAGEREF _Toc195714674 \h </w:instrText>
            </w:r>
            <w:r>
              <w:rPr>
                <w:noProof/>
                <w:webHidden/>
              </w:rPr>
            </w:r>
            <w:r>
              <w:rPr>
                <w:noProof/>
                <w:webHidden/>
              </w:rPr>
              <w:fldChar w:fldCharType="separate"/>
            </w:r>
            <w:r>
              <w:rPr>
                <w:noProof/>
                <w:webHidden/>
              </w:rPr>
              <w:t>10</w:t>
            </w:r>
            <w:r>
              <w:rPr>
                <w:noProof/>
                <w:webHidden/>
              </w:rPr>
              <w:fldChar w:fldCharType="end"/>
            </w:r>
          </w:hyperlink>
        </w:p>
        <w:p w14:paraId="0E351726" w14:textId="22A7B04A"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75" w:history="1">
            <w:r w:rsidRPr="00B33F5F">
              <w:rPr>
                <w:rStyle w:val="Lienhypertexte"/>
              </w:rPr>
              <w:t>3.2</w:t>
            </w:r>
            <w:r>
              <w:rPr>
                <w:rFonts w:asciiTheme="minorHAnsi" w:eastAsiaTheme="minorEastAsia" w:hAnsiTheme="minorHAnsi"/>
                <w:b w:val="0"/>
                <w:kern w:val="2"/>
                <w:sz w:val="24"/>
                <w:szCs w:val="24"/>
                <w:lang w:eastAsia="fr-CH"/>
                <w14:ligatures w14:val="standardContextual"/>
              </w:rPr>
              <w:tab/>
            </w:r>
            <w:r w:rsidRPr="00B33F5F">
              <w:rPr>
                <w:rStyle w:val="Lienhypertexte"/>
              </w:rPr>
              <w:t>Objectifs retenus</w:t>
            </w:r>
            <w:r>
              <w:rPr>
                <w:webHidden/>
              </w:rPr>
              <w:tab/>
            </w:r>
            <w:r>
              <w:rPr>
                <w:webHidden/>
              </w:rPr>
              <w:fldChar w:fldCharType="begin"/>
            </w:r>
            <w:r>
              <w:rPr>
                <w:webHidden/>
              </w:rPr>
              <w:instrText xml:space="preserve"> PAGEREF _Toc195714675 \h </w:instrText>
            </w:r>
            <w:r>
              <w:rPr>
                <w:webHidden/>
              </w:rPr>
            </w:r>
            <w:r>
              <w:rPr>
                <w:webHidden/>
              </w:rPr>
              <w:fldChar w:fldCharType="separate"/>
            </w:r>
            <w:r>
              <w:rPr>
                <w:webHidden/>
              </w:rPr>
              <w:t>11</w:t>
            </w:r>
            <w:r>
              <w:rPr>
                <w:webHidden/>
              </w:rPr>
              <w:fldChar w:fldCharType="end"/>
            </w:r>
          </w:hyperlink>
        </w:p>
        <w:p w14:paraId="25C5BDCF" w14:textId="2D27ABA9"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76" w:history="1">
            <w:r w:rsidRPr="00B33F5F">
              <w:rPr>
                <w:rStyle w:val="Lienhypertexte"/>
              </w:rPr>
              <w:t>3.3</w:t>
            </w:r>
            <w:r>
              <w:rPr>
                <w:rFonts w:asciiTheme="minorHAnsi" w:eastAsiaTheme="minorEastAsia" w:hAnsiTheme="minorHAnsi"/>
                <w:b w:val="0"/>
                <w:kern w:val="2"/>
                <w:sz w:val="24"/>
                <w:szCs w:val="24"/>
                <w:lang w:eastAsia="fr-CH"/>
                <w14:ligatures w14:val="standardContextual"/>
              </w:rPr>
              <w:tab/>
            </w:r>
            <w:r w:rsidRPr="00B33F5F">
              <w:rPr>
                <w:rStyle w:val="Lienhypertexte"/>
              </w:rPr>
              <w:t>Mesures abandonnées ou remises à plus tard</w:t>
            </w:r>
            <w:r>
              <w:rPr>
                <w:webHidden/>
              </w:rPr>
              <w:tab/>
            </w:r>
            <w:r>
              <w:rPr>
                <w:webHidden/>
              </w:rPr>
              <w:fldChar w:fldCharType="begin"/>
            </w:r>
            <w:r>
              <w:rPr>
                <w:webHidden/>
              </w:rPr>
              <w:instrText xml:space="preserve"> PAGEREF _Toc195714676 \h </w:instrText>
            </w:r>
            <w:r>
              <w:rPr>
                <w:webHidden/>
              </w:rPr>
            </w:r>
            <w:r>
              <w:rPr>
                <w:webHidden/>
              </w:rPr>
              <w:fldChar w:fldCharType="separate"/>
            </w:r>
            <w:r>
              <w:rPr>
                <w:webHidden/>
              </w:rPr>
              <w:t>11</w:t>
            </w:r>
            <w:r>
              <w:rPr>
                <w:webHidden/>
              </w:rPr>
              <w:fldChar w:fldCharType="end"/>
            </w:r>
          </w:hyperlink>
        </w:p>
        <w:p w14:paraId="2E0F8019" w14:textId="2C0831AC"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77" w:history="1">
            <w:r w:rsidRPr="00B33F5F">
              <w:rPr>
                <w:rStyle w:val="Lienhypertexte"/>
                <w:noProof/>
              </w:rPr>
              <w:t>3.3.1</w:t>
            </w:r>
            <w:r>
              <w:rPr>
                <w:rFonts w:asciiTheme="minorHAnsi" w:eastAsiaTheme="minorEastAsia" w:hAnsiTheme="minorHAnsi"/>
                <w:noProof/>
                <w:kern w:val="2"/>
                <w:sz w:val="24"/>
                <w:szCs w:val="24"/>
                <w:lang w:eastAsia="fr-CH"/>
                <w14:ligatures w14:val="standardContextual"/>
              </w:rPr>
              <w:tab/>
            </w:r>
            <w:r w:rsidRPr="00B33F5F">
              <w:rPr>
                <w:rStyle w:val="Lienhypertexte"/>
                <w:noProof/>
              </w:rPr>
              <w:t>Mesures abandonnées</w:t>
            </w:r>
            <w:r>
              <w:rPr>
                <w:noProof/>
                <w:webHidden/>
              </w:rPr>
              <w:tab/>
            </w:r>
            <w:r>
              <w:rPr>
                <w:noProof/>
                <w:webHidden/>
              </w:rPr>
              <w:fldChar w:fldCharType="begin"/>
            </w:r>
            <w:r>
              <w:rPr>
                <w:noProof/>
                <w:webHidden/>
              </w:rPr>
              <w:instrText xml:space="preserve"> PAGEREF _Toc195714677 \h </w:instrText>
            </w:r>
            <w:r>
              <w:rPr>
                <w:noProof/>
                <w:webHidden/>
              </w:rPr>
            </w:r>
            <w:r>
              <w:rPr>
                <w:noProof/>
                <w:webHidden/>
              </w:rPr>
              <w:fldChar w:fldCharType="separate"/>
            </w:r>
            <w:r>
              <w:rPr>
                <w:noProof/>
                <w:webHidden/>
              </w:rPr>
              <w:t>11</w:t>
            </w:r>
            <w:r>
              <w:rPr>
                <w:noProof/>
                <w:webHidden/>
              </w:rPr>
              <w:fldChar w:fldCharType="end"/>
            </w:r>
          </w:hyperlink>
        </w:p>
        <w:p w14:paraId="23B20704" w14:textId="38046B4F"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78" w:history="1">
            <w:r w:rsidRPr="00B33F5F">
              <w:rPr>
                <w:rStyle w:val="Lienhypertexte"/>
                <w:noProof/>
              </w:rPr>
              <w:t>3.3.2</w:t>
            </w:r>
            <w:r>
              <w:rPr>
                <w:rFonts w:asciiTheme="minorHAnsi" w:eastAsiaTheme="minorEastAsia" w:hAnsiTheme="minorHAnsi"/>
                <w:noProof/>
                <w:kern w:val="2"/>
                <w:sz w:val="24"/>
                <w:szCs w:val="24"/>
                <w:lang w:eastAsia="fr-CH"/>
                <w14:ligatures w14:val="standardContextual"/>
              </w:rPr>
              <w:tab/>
            </w:r>
            <w:r w:rsidRPr="00B33F5F">
              <w:rPr>
                <w:rStyle w:val="Lienhypertexte"/>
                <w:noProof/>
              </w:rPr>
              <w:t>Mesures remises à plus tard</w:t>
            </w:r>
            <w:r>
              <w:rPr>
                <w:noProof/>
                <w:webHidden/>
              </w:rPr>
              <w:tab/>
            </w:r>
            <w:r>
              <w:rPr>
                <w:noProof/>
                <w:webHidden/>
              </w:rPr>
              <w:fldChar w:fldCharType="begin"/>
            </w:r>
            <w:r>
              <w:rPr>
                <w:noProof/>
                <w:webHidden/>
              </w:rPr>
              <w:instrText xml:space="preserve"> PAGEREF _Toc195714678 \h </w:instrText>
            </w:r>
            <w:r>
              <w:rPr>
                <w:noProof/>
                <w:webHidden/>
              </w:rPr>
            </w:r>
            <w:r>
              <w:rPr>
                <w:noProof/>
                <w:webHidden/>
              </w:rPr>
              <w:fldChar w:fldCharType="separate"/>
            </w:r>
            <w:r>
              <w:rPr>
                <w:noProof/>
                <w:webHidden/>
              </w:rPr>
              <w:t>11</w:t>
            </w:r>
            <w:r>
              <w:rPr>
                <w:noProof/>
                <w:webHidden/>
              </w:rPr>
              <w:fldChar w:fldCharType="end"/>
            </w:r>
          </w:hyperlink>
        </w:p>
        <w:p w14:paraId="7FC3E650" w14:textId="3D81EB94"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79" w:history="1">
            <w:r w:rsidRPr="00B33F5F">
              <w:rPr>
                <w:rStyle w:val="Lienhypertexte"/>
                <w:noProof/>
              </w:rPr>
              <w:t>3.3.3</w:t>
            </w:r>
            <w:r>
              <w:rPr>
                <w:rFonts w:asciiTheme="minorHAnsi" w:eastAsiaTheme="minorEastAsia" w:hAnsiTheme="minorHAnsi"/>
                <w:noProof/>
                <w:kern w:val="2"/>
                <w:sz w:val="24"/>
                <w:szCs w:val="24"/>
                <w:lang w:eastAsia="fr-CH"/>
                <w14:ligatures w14:val="standardContextual"/>
              </w:rPr>
              <w:tab/>
            </w:r>
            <w:r w:rsidRPr="00B33F5F">
              <w:rPr>
                <w:rStyle w:val="Lienhypertexte"/>
                <w:noProof/>
              </w:rPr>
              <w:t>Examens complémentaires ultérieurs</w:t>
            </w:r>
            <w:r>
              <w:rPr>
                <w:noProof/>
                <w:webHidden/>
              </w:rPr>
              <w:tab/>
            </w:r>
            <w:r>
              <w:rPr>
                <w:noProof/>
                <w:webHidden/>
              </w:rPr>
              <w:fldChar w:fldCharType="begin"/>
            </w:r>
            <w:r>
              <w:rPr>
                <w:noProof/>
                <w:webHidden/>
              </w:rPr>
              <w:instrText xml:space="preserve"> PAGEREF _Toc195714679 \h </w:instrText>
            </w:r>
            <w:r>
              <w:rPr>
                <w:noProof/>
                <w:webHidden/>
              </w:rPr>
            </w:r>
            <w:r>
              <w:rPr>
                <w:noProof/>
                <w:webHidden/>
              </w:rPr>
              <w:fldChar w:fldCharType="separate"/>
            </w:r>
            <w:r>
              <w:rPr>
                <w:noProof/>
                <w:webHidden/>
              </w:rPr>
              <w:t>11</w:t>
            </w:r>
            <w:r>
              <w:rPr>
                <w:noProof/>
                <w:webHidden/>
              </w:rPr>
              <w:fldChar w:fldCharType="end"/>
            </w:r>
          </w:hyperlink>
        </w:p>
        <w:p w14:paraId="19677E4E" w14:textId="3452ED53"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4680" w:history="1">
            <w:r w:rsidRPr="00B33F5F">
              <w:rPr>
                <w:rStyle w:val="Lienhypertexte"/>
              </w:rPr>
              <w:t>4</w:t>
            </w:r>
            <w:r>
              <w:rPr>
                <w:rFonts w:asciiTheme="minorHAnsi" w:eastAsiaTheme="minorEastAsia" w:hAnsiTheme="minorHAnsi"/>
                <w:b w:val="0"/>
                <w:kern w:val="2"/>
                <w:sz w:val="24"/>
                <w:szCs w:val="24"/>
                <w:lang w:eastAsia="fr-CH"/>
                <w14:ligatures w14:val="standardContextual"/>
              </w:rPr>
              <w:tab/>
            </w:r>
            <w:r w:rsidRPr="00B33F5F">
              <w:rPr>
                <w:rStyle w:val="Lienhypertexte"/>
              </w:rPr>
              <w:t>Programme de mesures</w:t>
            </w:r>
            <w:r>
              <w:rPr>
                <w:webHidden/>
              </w:rPr>
              <w:tab/>
            </w:r>
            <w:r>
              <w:rPr>
                <w:webHidden/>
              </w:rPr>
              <w:fldChar w:fldCharType="begin"/>
            </w:r>
            <w:r>
              <w:rPr>
                <w:webHidden/>
              </w:rPr>
              <w:instrText xml:space="preserve"> PAGEREF _Toc195714680 \h </w:instrText>
            </w:r>
            <w:r>
              <w:rPr>
                <w:webHidden/>
              </w:rPr>
            </w:r>
            <w:r>
              <w:rPr>
                <w:webHidden/>
              </w:rPr>
              <w:fldChar w:fldCharType="separate"/>
            </w:r>
            <w:r>
              <w:rPr>
                <w:webHidden/>
              </w:rPr>
              <w:t>11</w:t>
            </w:r>
            <w:r>
              <w:rPr>
                <w:webHidden/>
              </w:rPr>
              <w:fldChar w:fldCharType="end"/>
            </w:r>
          </w:hyperlink>
        </w:p>
        <w:p w14:paraId="326537E6" w14:textId="5DF59812"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81" w:history="1">
            <w:r w:rsidRPr="00B33F5F">
              <w:rPr>
                <w:rStyle w:val="Lienhypertexte"/>
              </w:rPr>
              <w:t>4.1</w:t>
            </w:r>
            <w:r>
              <w:rPr>
                <w:rFonts w:asciiTheme="minorHAnsi" w:eastAsiaTheme="minorEastAsia" w:hAnsiTheme="minorHAnsi"/>
                <w:b w:val="0"/>
                <w:kern w:val="2"/>
                <w:sz w:val="24"/>
                <w:szCs w:val="24"/>
                <w:lang w:eastAsia="fr-CH"/>
                <w14:ligatures w14:val="standardContextual"/>
              </w:rPr>
              <w:tab/>
            </w:r>
            <w:r w:rsidRPr="00B33F5F">
              <w:rPr>
                <w:rStyle w:val="Lienhypertexte"/>
              </w:rPr>
              <w:t>Informations d’ordre statistique</w:t>
            </w:r>
            <w:r>
              <w:rPr>
                <w:webHidden/>
              </w:rPr>
              <w:tab/>
            </w:r>
            <w:r>
              <w:rPr>
                <w:webHidden/>
              </w:rPr>
              <w:fldChar w:fldCharType="begin"/>
            </w:r>
            <w:r>
              <w:rPr>
                <w:webHidden/>
              </w:rPr>
              <w:instrText xml:space="preserve"> PAGEREF _Toc195714681 \h </w:instrText>
            </w:r>
            <w:r>
              <w:rPr>
                <w:webHidden/>
              </w:rPr>
            </w:r>
            <w:r>
              <w:rPr>
                <w:webHidden/>
              </w:rPr>
              <w:fldChar w:fldCharType="separate"/>
            </w:r>
            <w:r>
              <w:rPr>
                <w:webHidden/>
              </w:rPr>
              <w:t>12</w:t>
            </w:r>
            <w:r>
              <w:rPr>
                <w:webHidden/>
              </w:rPr>
              <w:fldChar w:fldCharType="end"/>
            </w:r>
          </w:hyperlink>
        </w:p>
        <w:p w14:paraId="701E49EB" w14:textId="79D60757"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82" w:history="1">
            <w:r w:rsidRPr="00B33F5F">
              <w:rPr>
                <w:rStyle w:val="Lienhypertexte"/>
              </w:rPr>
              <w:t>4.2</w:t>
            </w:r>
            <w:r>
              <w:rPr>
                <w:rFonts w:asciiTheme="minorHAnsi" w:eastAsiaTheme="minorEastAsia" w:hAnsiTheme="minorHAnsi"/>
                <w:b w:val="0"/>
                <w:kern w:val="2"/>
                <w:sz w:val="24"/>
                <w:szCs w:val="24"/>
                <w:lang w:eastAsia="fr-CH"/>
                <w14:ligatures w14:val="standardContextual"/>
              </w:rPr>
              <w:tab/>
            </w:r>
            <w:r w:rsidRPr="00B33F5F">
              <w:rPr>
                <w:rStyle w:val="Lienhypertexte"/>
              </w:rPr>
              <w:t>Mesures de la compétence du Grand Conseil</w:t>
            </w:r>
            <w:r>
              <w:rPr>
                <w:webHidden/>
              </w:rPr>
              <w:tab/>
            </w:r>
            <w:r>
              <w:rPr>
                <w:webHidden/>
              </w:rPr>
              <w:fldChar w:fldCharType="begin"/>
            </w:r>
            <w:r>
              <w:rPr>
                <w:webHidden/>
              </w:rPr>
              <w:instrText xml:space="preserve"> PAGEREF _Toc195714682 \h </w:instrText>
            </w:r>
            <w:r>
              <w:rPr>
                <w:webHidden/>
              </w:rPr>
            </w:r>
            <w:r>
              <w:rPr>
                <w:webHidden/>
              </w:rPr>
              <w:fldChar w:fldCharType="separate"/>
            </w:r>
            <w:r>
              <w:rPr>
                <w:webHidden/>
              </w:rPr>
              <w:t>12</w:t>
            </w:r>
            <w:r>
              <w:rPr>
                <w:webHidden/>
              </w:rPr>
              <w:fldChar w:fldCharType="end"/>
            </w:r>
          </w:hyperlink>
        </w:p>
        <w:p w14:paraId="5506B4A1" w14:textId="20B503B4"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83" w:history="1">
            <w:r w:rsidRPr="00B33F5F">
              <w:rPr>
                <w:rStyle w:val="Lienhypertexte"/>
                <w:noProof/>
              </w:rPr>
              <w:t>4.2.1</w:t>
            </w:r>
            <w:r>
              <w:rPr>
                <w:rFonts w:asciiTheme="minorHAnsi" w:eastAsiaTheme="minorEastAsia" w:hAnsiTheme="minorHAnsi"/>
                <w:noProof/>
                <w:kern w:val="2"/>
                <w:sz w:val="24"/>
                <w:szCs w:val="24"/>
                <w:lang w:eastAsia="fr-CH"/>
                <w14:ligatures w14:val="standardContextual"/>
              </w:rPr>
              <w:tab/>
            </w:r>
            <w:r w:rsidRPr="00B33F5F">
              <w:rPr>
                <w:rStyle w:val="Lienhypertexte"/>
                <w:noProof/>
              </w:rPr>
              <w:t>Revenus</w:t>
            </w:r>
            <w:r>
              <w:rPr>
                <w:noProof/>
                <w:webHidden/>
              </w:rPr>
              <w:tab/>
            </w:r>
            <w:r>
              <w:rPr>
                <w:noProof/>
                <w:webHidden/>
              </w:rPr>
              <w:fldChar w:fldCharType="begin"/>
            </w:r>
            <w:r>
              <w:rPr>
                <w:noProof/>
                <w:webHidden/>
              </w:rPr>
              <w:instrText xml:space="preserve"> PAGEREF _Toc195714683 \h </w:instrText>
            </w:r>
            <w:r>
              <w:rPr>
                <w:noProof/>
                <w:webHidden/>
              </w:rPr>
            </w:r>
            <w:r>
              <w:rPr>
                <w:noProof/>
                <w:webHidden/>
              </w:rPr>
              <w:fldChar w:fldCharType="separate"/>
            </w:r>
            <w:r>
              <w:rPr>
                <w:noProof/>
                <w:webHidden/>
              </w:rPr>
              <w:t>12</w:t>
            </w:r>
            <w:r>
              <w:rPr>
                <w:noProof/>
                <w:webHidden/>
              </w:rPr>
              <w:fldChar w:fldCharType="end"/>
            </w:r>
          </w:hyperlink>
        </w:p>
        <w:p w14:paraId="7D4C72DB" w14:textId="54495A59"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84" w:history="1">
            <w:r w:rsidRPr="00B33F5F">
              <w:rPr>
                <w:rStyle w:val="Lienhypertexte"/>
                <w:noProof/>
              </w:rPr>
              <w:t>4.2.2</w:t>
            </w:r>
            <w:r>
              <w:rPr>
                <w:rFonts w:asciiTheme="minorHAnsi" w:eastAsiaTheme="minorEastAsia" w:hAnsiTheme="minorHAnsi"/>
                <w:noProof/>
                <w:kern w:val="2"/>
                <w:sz w:val="24"/>
                <w:szCs w:val="24"/>
                <w:lang w:eastAsia="fr-CH"/>
                <w14:ligatures w14:val="standardContextual"/>
              </w:rPr>
              <w:tab/>
            </w:r>
            <w:r w:rsidRPr="00B33F5F">
              <w:rPr>
                <w:rStyle w:val="Lienhypertexte"/>
                <w:noProof/>
              </w:rPr>
              <w:t>Personnel</w:t>
            </w:r>
            <w:r>
              <w:rPr>
                <w:noProof/>
                <w:webHidden/>
              </w:rPr>
              <w:tab/>
            </w:r>
            <w:r>
              <w:rPr>
                <w:noProof/>
                <w:webHidden/>
              </w:rPr>
              <w:fldChar w:fldCharType="begin"/>
            </w:r>
            <w:r>
              <w:rPr>
                <w:noProof/>
                <w:webHidden/>
              </w:rPr>
              <w:instrText xml:space="preserve"> PAGEREF _Toc195714684 \h </w:instrText>
            </w:r>
            <w:r>
              <w:rPr>
                <w:noProof/>
                <w:webHidden/>
              </w:rPr>
            </w:r>
            <w:r>
              <w:rPr>
                <w:noProof/>
                <w:webHidden/>
              </w:rPr>
              <w:fldChar w:fldCharType="separate"/>
            </w:r>
            <w:r>
              <w:rPr>
                <w:noProof/>
                <w:webHidden/>
              </w:rPr>
              <w:t>14</w:t>
            </w:r>
            <w:r>
              <w:rPr>
                <w:noProof/>
                <w:webHidden/>
              </w:rPr>
              <w:fldChar w:fldCharType="end"/>
            </w:r>
          </w:hyperlink>
        </w:p>
        <w:p w14:paraId="78DF2AC0" w14:textId="1C88290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85" w:history="1">
            <w:r w:rsidRPr="00B33F5F">
              <w:rPr>
                <w:rStyle w:val="Lienhypertexte"/>
                <w:noProof/>
              </w:rPr>
              <w:t>4.2.3</w:t>
            </w:r>
            <w:r>
              <w:rPr>
                <w:rFonts w:asciiTheme="minorHAnsi" w:eastAsiaTheme="minorEastAsia" w:hAnsiTheme="minorHAnsi"/>
                <w:noProof/>
                <w:kern w:val="2"/>
                <w:sz w:val="24"/>
                <w:szCs w:val="24"/>
                <w:lang w:eastAsia="fr-CH"/>
                <w14:ligatures w14:val="standardContextual"/>
              </w:rPr>
              <w:tab/>
            </w:r>
            <w:r w:rsidRPr="00B33F5F">
              <w:rPr>
                <w:rStyle w:val="Lienhypertexte"/>
                <w:noProof/>
              </w:rPr>
              <w:t>Subventionnement</w:t>
            </w:r>
            <w:r>
              <w:rPr>
                <w:noProof/>
                <w:webHidden/>
              </w:rPr>
              <w:tab/>
            </w:r>
            <w:r>
              <w:rPr>
                <w:noProof/>
                <w:webHidden/>
              </w:rPr>
              <w:fldChar w:fldCharType="begin"/>
            </w:r>
            <w:r>
              <w:rPr>
                <w:noProof/>
                <w:webHidden/>
              </w:rPr>
              <w:instrText xml:space="preserve"> PAGEREF _Toc195714685 \h </w:instrText>
            </w:r>
            <w:r>
              <w:rPr>
                <w:noProof/>
                <w:webHidden/>
              </w:rPr>
            </w:r>
            <w:r>
              <w:rPr>
                <w:noProof/>
                <w:webHidden/>
              </w:rPr>
              <w:fldChar w:fldCharType="separate"/>
            </w:r>
            <w:r>
              <w:rPr>
                <w:noProof/>
                <w:webHidden/>
              </w:rPr>
              <w:t>15</w:t>
            </w:r>
            <w:r>
              <w:rPr>
                <w:noProof/>
                <w:webHidden/>
              </w:rPr>
              <w:fldChar w:fldCharType="end"/>
            </w:r>
          </w:hyperlink>
        </w:p>
        <w:p w14:paraId="2477F6DF" w14:textId="00271C00"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86" w:history="1">
            <w:r w:rsidRPr="00B33F5F">
              <w:rPr>
                <w:rStyle w:val="Lienhypertexte"/>
                <w:noProof/>
              </w:rPr>
              <w:t>4.2.4</w:t>
            </w:r>
            <w:r>
              <w:rPr>
                <w:rFonts w:asciiTheme="minorHAnsi" w:eastAsiaTheme="minorEastAsia" w:hAnsiTheme="minorHAnsi"/>
                <w:noProof/>
                <w:kern w:val="2"/>
                <w:sz w:val="24"/>
                <w:szCs w:val="24"/>
                <w:lang w:eastAsia="fr-CH"/>
                <w14:ligatures w14:val="standardContextual"/>
              </w:rPr>
              <w:tab/>
            </w:r>
            <w:r w:rsidRPr="00B33F5F">
              <w:rPr>
                <w:rStyle w:val="Lienhypertexte"/>
                <w:noProof/>
              </w:rPr>
              <w:t>Projets et réformes</w:t>
            </w:r>
            <w:r>
              <w:rPr>
                <w:noProof/>
                <w:webHidden/>
              </w:rPr>
              <w:tab/>
            </w:r>
            <w:r>
              <w:rPr>
                <w:noProof/>
                <w:webHidden/>
              </w:rPr>
              <w:fldChar w:fldCharType="begin"/>
            </w:r>
            <w:r>
              <w:rPr>
                <w:noProof/>
                <w:webHidden/>
              </w:rPr>
              <w:instrText xml:space="preserve"> PAGEREF _Toc195714686 \h </w:instrText>
            </w:r>
            <w:r>
              <w:rPr>
                <w:noProof/>
                <w:webHidden/>
              </w:rPr>
            </w:r>
            <w:r>
              <w:rPr>
                <w:noProof/>
                <w:webHidden/>
              </w:rPr>
              <w:fldChar w:fldCharType="separate"/>
            </w:r>
            <w:r>
              <w:rPr>
                <w:noProof/>
                <w:webHidden/>
              </w:rPr>
              <w:t>18</w:t>
            </w:r>
            <w:r>
              <w:rPr>
                <w:noProof/>
                <w:webHidden/>
              </w:rPr>
              <w:fldChar w:fldCharType="end"/>
            </w:r>
          </w:hyperlink>
        </w:p>
        <w:p w14:paraId="29468AE0" w14:textId="07391866"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4687" w:history="1">
            <w:r w:rsidRPr="00B33F5F">
              <w:rPr>
                <w:rStyle w:val="Lienhypertexte"/>
              </w:rPr>
              <w:t>4.3</w:t>
            </w:r>
            <w:r>
              <w:rPr>
                <w:rFonts w:asciiTheme="minorHAnsi" w:eastAsiaTheme="minorEastAsia" w:hAnsiTheme="minorHAnsi"/>
                <w:b w:val="0"/>
                <w:kern w:val="2"/>
                <w:sz w:val="24"/>
                <w:szCs w:val="24"/>
                <w:lang w:eastAsia="fr-CH"/>
                <w14:ligatures w14:val="standardContextual"/>
              </w:rPr>
              <w:tab/>
            </w:r>
            <w:r w:rsidRPr="00B33F5F">
              <w:rPr>
                <w:rStyle w:val="Lienhypertexte"/>
              </w:rPr>
              <w:t>Mesures de la compétence du Conseil d’Etat</w:t>
            </w:r>
            <w:r>
              <w:rPr>
                <w:webHidden/>
              </w:rPr>
              <w:tab/>
            </w:r>
            <w:r>
              <w:rPr>
                <w:webHidden/>
              </w:rPr>
              <w:fldChar w:fldCharType="begin"/>
            </w:r>
            <w:r>
              <w:rPr>
                <w:webHidden/>
              </w:rPr>
              <w:instrText xml:space="preserve"> PAGEREF _Toc195714687 \h </w:instrText>
            </w:r>
            <w:r>
              <w:rPr>
                <w:webHidden/>
              </w:rPr>
            </w:r>
            <w:r>
              <w:rPr>
                <w:webHidden/>
              </w:rPr>
              <w:fldChar w:fldCharType="separate"/>
            </w:r>
            <w:r>
              <w:rPr>
                <w:webHidden/>
              </w:rPr>
              <w:t>22</w:t>
            </w:r>
            <w:r>
              <w:rPr>
                <w:webHidden/>
              </w:rPr>
              <w:fldChar w:fldCharType="end"/>
            </w:r>
          </w:hyperlink>
        </w:p>
        <w:p w14:paraId="124A8041" w14:textId="4E9BE355"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88" w:history="1">
            <w:r w:rsidRPr="00B33F5F">
              <w:rPr>
                <w:rStyle w:val="Lienhypertexte"/>
                <w:noProof/>
              </w:rPr>
              <w:t>4.3.1</w:t>
            </w:r>
            <w:r>
              <w:rPr>
                <w:rFonts w:asciiTheme="minorHAnsi" w:eastAsiaTheme="minorEastAsia" w:hAnsiTheme="minorHAnsi"/>
                <w:noProof/>
                <w:kern w:val="2"/>
                <w:sz w:val="24"/>
                <w:szCs w:val="24"/>
                <w:lang w:eastAsia="fr-CH"/>
                <w14:ligatures w14:val="standardContextual"/>
              </w:rPr>
              <w:tab/>
            </w:r>
            <w:r w:rsidRPr="00B33F5F">
              <w:rPr>
                <w:rStyle w:val="Lienhypertexte"/>
                <w:noProof/>
              </w:rPr>
              <w:t>Revenus</w:t>
            </w:r>
            <w:r>
              <w:rPr>
                <w:noProof/>
                <w:webHidden/>
              </w:rPr>
              <w:tab/>
            </w:r>
            <w:r>
              <w:rPr>
                <w:noProof/>
                <w:webHidden/>
              </w:rPr>
              <w:fldChar w:fldCharType="begin"/>
            </w:r>
            <w:r>
              <w:rPr>
                <w:noProof/>
                <w:webHidden/>
              </w:rPr>
              <w:instrText xml:space="preserve"> PAGEREF _Toc195714688 \h </w:instrText>
            </w:r>
            <w:r>
              <w:rPr>
                <w:noProof/>
                <w:webHidden/>
              </w:rPr>
            </w:r>
            <w:r>
              <w:rPr>
                <w:noProof/>
                <w:webHidden/>
              </w:rPr>
              <w:fldChar w:fldCharType="separate"/>
            </w:r>
            <w:r>
              <w:rPr>
                <w:noProof/>
                <w:webHidden/>
              </w:rPr>
              <w:t>22</w:t>
            </w:r>
            <w:r>
              <w:rPr>
                <w:noProof/>
                <w:webHidden/>
              </w:rPr>
              <w:fldChar w:fldCharType="end"/>
            </w:r>
          </w:hyperlink>
        </w:p>
        <w:p w14:paraId="4F26FF06" w14:textId="4C9033A7"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89" w:history="1">
            <w:r w:rsidRPr="00B33F5F">
              <w:rPr>
                <w:rStyle w:val="Lienhypertexte"/>
                <w:noProof/>
              </w:rPr>
              <w:t>4.3.2</w:t>
            </w:r>
            <w:r>
              <w:rPr>
                <w:rFonts w:asciiTheme="minorHAnsi" w:eastAsiaTheme="minorEastAsia" w:hAnsiTheme="minorHAnsi"/>
                <w:noProof/>
                <w:kern w:val="2"/>
                <w:sz w:val="24"/>
                <w:szCs w:val="24"/>
                <w:lang w:eastAsia="fr-CH"/>
                <w14:ligatures w14:val="standardContextual"/>
              </w:rPr>
              <w:tab/>
            </w:r>
            <w:r w:rsidRPr="00B33F5F">
              <w:rPr>
                <w:rStyle w:val="Lienhypertexte"/>
                <w:noProof/>
              </w:rPr>
              <w:t>Personnel</w:t>
            </w:r>
            <w:r>
              <w:rPr>
                <w:noProof/>
                <w:webHidden/>
              </w:rPr>
              <w:tab/>
            </w:r>
            <w:r>
              <w:rPr>
                <w:noProof/>
                <w:webHidden/>
              </w:rPr>
              <w:fldChar w:fldCharType="begin"/>
            </w:r>
            <w:r>
              <w:rPr>
                <w:noProof/>
                <w:webHidden/>
              </w:rPr>
              <w:instrText xml:space="preserve"> PAGEREF _Toc195714689 \h </w:instrText>
            </w:r>
            <w:r>
              <w:rPr>
                <w:noProof/>
                <w:webHidden/>
              </w:rPr>
            </w:r>
            <w:r>
              <w:rPr>
                <w:noProof/>
                <w:webHidden/>
              </w:rPr>
              <w:fldChar w:fldCharType="separate"/>
            </w:r>
            <w:r>
              <w:rPr>
                <w:noProof/>
                <w:webHidden/>
              </w:rPr>
              <w:t>28</w:t>
            </w:r>
            <w:r>
              <w:rPr>
                <w:noProof/>
                <w:webHidden/>
              </w:rPr>
              <w:fldChar w:fldCharType="end"/>
            </w:r>
          </w:hyperlink>
        </w:p>
        <w:p w14:paraId="261278F9" w14:textId="35F00F5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90" w:history="1">
            <w:r w:rsidRPr="00B33F5F">
              <w:rPr>
                <w:rStyle w:val="Lienhypertexte"/>
                <w:noProof/>
              </w:rPr>
              <w:t>4.3.3</w:t>
            </w:r>
            <w:r>
              <w:rPr>
                <w:rFonts w:asciiTheme="minorHAnsi" w:eastAsiaTheme="minorEastAsia" w:hAnsiTheme="minorHAnsi"/>
                <w:noProof/>
                <w:kern w:val="2"/>
                <w:sz w:val="24"/>
                <w:szCs w:val="24"/>
                <w:lang w:eastAsia="fr-CH"/>
                <w14:ligatures w14:val="standardContextual"/>
              </w:rPr>
              <w:tab/>
            </w:r>
            <w:r w:rsidRPr="00B33F5F">
              <w:rPr>
                <w:rStyle w:val="Lienhypertexte"/>
                <w:noProof/>
              </w:rPr>
              <w:t>Subventionnement</w:t>
            </w:r>
            <w:r>
              <w:rPr>
                <w:noProof/>
                <w:webHidden/>
              </w:rPr>
              <w:tab/>
            </w:r>
            <w:r>
              <w:rPr>
                <w:noProof/>
                <w:webHidden/>
              </w:rPr>
              <w:fldChar w:fldCharType="begin"/>
            </w:r>
            <w:r>
              <w:rPr>
                <w:noProof/>
                <w:webHidden/>
              </w:rPr>
              <w:instrText xml:space="preserve"> PAGEREF _Toc195714690 \h </w:instrText>
            </w:r>
            <w:r>
              <w:rPr>
                <w:noProof/>
                <w:webHidden/>
              </w:rPr>
            </w:r>
            <w:r>
              <w:rPr>
                <w:noProof/>
                <w:webHidden/>
              </w:rPr>
              <w:fldChar w:fldCharType="separate"/>
            </w:r>
            <w:r>
              <w:rPr>
                <w:noProof/>
                <w:webHidden/>
              </w:rPr>
              <w:t>30</w:t>
            </w:r>
            <w:r>
              <w:rPr>
                <w:noProof/>
                <w:webHidden/>
              </w:rPr>
              <w:fldChar w:fldCharType="end"/>
            </w:r>
          </w:hyperlink>
        </w:p>
        <w:p w14:paraId="2DB7C299" w14:textId="5437227A"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4691" w:history="1">
            <w:r w:rsidRPr="00B33F5F">
              <w:rPr>
                <w:rStyle w:val="Lienhypertexte"/>
                <w:noProof/>
              </w:rPr>
              <w:t>4.3.4</w:t>
            </w:r>
            <w:r>
              <w:rPr>
                <w:rFonts w:asciiTheme="minorHAnsi" w:eastAsiaTheme="minorEastAsia" w:hAnsiTheme="minorHAnsi"/>
                <w:noProof/>
                <w:kern w:val="2"/>
                <w:sz w:val="24"/>
                <w:szCs w:val="24"/>
                <w:lang w:eastAsia="fr-CH"/>
                <w14:ligatures w14:val="standardContextual"/>
              </w:rPr>
              <w:tab/>
            </w:r>
            <w:r w:rsidRPr="00B33F5F">
              <w:rPr>
                <w:rStyle w:val="Lienhypertexte"/>
                <w:noProof/>
              </w:rPr>
              <w:t>Projets et réformes</w:t>
            </w:r>
            <w:r>
              <w:rPr>
                <w:noProof/>
                <w:webHidden/>
              </w:rPr>
              <w:tab/>
            </w:r>
            <w:r>
              <w:rPr>
                <w:noProof/>
                <w:webHidden/>
              </w:rPr>
              <w:fldChar w:fldCharType="begin"/>
            </w:r>
            <w:r>
              <w:rPr>
                <w:noProof/>
                <w:webHidden/>
              </w:rPr>
              <w:instrText xml:space="preserve"> PAGEREF _Toc195714691 \h </w:instrText>
            </w:r>
            <w:r>
              <w:rPr>
                <w:noProof/>
                <w:webHidden/>
              </w:rPr>
            </w:r>
            <w:r>
              <w:rPr>
                <w:noProof/>
                <w:webHidden/>
              </w:rPr>
              <w:fldChar w:fldCharType="separate"/>
            </w:r>
            <w:r>
              <w:rPr>
                <w:noProof/>
                <w:webHidden/>
              </w:rPr>
              <w:t>36</w:t>
            </w:r>
            <w:r>
              <w:rPr>
                <w:noProof/>
                <w:webHidden/>
              </w:rPr>
              <w:fldChar w:fldCharType="end"/>
            </w:r>
          </w:hyperlink>
        </w:p>
        <w:p w14:paraId="7DB12EC3" w14:textId="0F510CF0"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5338" w:history="1">
            <w:r w:rsidRPr="00B33F5F">
              <w:rPr>
                <w:rStyle w:val="Lienhypertexte"/>
              </w:rPr>
              <w:t>5</w:t>
            </w:r>
            <w:r>
              <w:rPr>
                <w:rFonts w:asciiTheme="minorHAnsi" w:eastAsiaTheme="minorEastAsia" w:hAnsiTheme="minorHAnsi"/>
                <w:b w:val="0"/>
                <w:kern w:val="2"/>
                <w:sz w:val="24"/>
                <w:szCs w:val="24"/>
                <w:lang w:eastAsia="fr-CH"/>
                <w14:ligatures w14:val="standardContextual"/>
              </w:rPr>
              <w:tab/>
            </w:r>
            <w:r w:rsidRPr="00B33F5F">
              <w:rPr>
                <w:rStyle w:val="Lienhypertexte"/>
              </w:rPr>
              <w:t>Liens avec des interventions parlementaires</w:t>
            </w:r>
            <w:r>
              <w:rPr>
                <w:webHidden/>
              </w:rPr>
              <w:tab/>
            </w:r>
            <w:r>
              <w:rPr>
                <w:webHidden/>
              </w:rPr>
              <w:fldChar w:fldCharType="begin"/>
            </w:r>
            <w:r>
              <w:rPr>
                <w:webHidden/>
              </w:rPr>
              <w:instrText xml:space="preserve"> PAGEREF _Toc195715338 \h </w:instrText>
            </w:r>
            <w:r>
              <w:rPr>
                <w:webHidden/>
              </w:rPr>
            </w:r>
            <w:r>
              <w:rPr>
                <w:webHidden/>
              </w:rPr>
              <w:fldChar w:fldCharType="separate"/>
            </w:r>
            <w:r>
              <w:rPr>
                <w:webHidden/>
              </w:rPr>
              <w:t>40</w:t>
            </w:r>
            <w:r>
              <w:rPr>
                <w:webHidden/>
              </w:rPr>
              <w:fldChar w:fldCharType="end"/>
            </w:r>
          </w:hyperlink>
        </w:p>
        <w:p w14:paraId="115BDE1D" w14:textId="2FD177B0"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39" w:history="1">
            <w:r w:rsidRPr="00B33F5F">
              <w:rPr>
                <w:rStyle w:val="Lienhypertexte"/>
              </w:rPr>
              <w:t>5.1</w:t>
            </w:r>
            <w:r>
              <w:rPr>
                <w:rFonts w:asciiTheme="minorHAnsi" w:eastAsiaTheme="minorEastAsia" w:hAnsiTheme="minorHAnsi"/>
                <w:b w:val="0"/>
                <w:kern w:val="2"/>
                <w:sz w:val="24"/>
                <w:szCs w:val="24"/>
                <w:lang w:eastAsia="fr-CH"/>
                <w14:ligatures w14:val="standardContextual"/>
              </w:rPr>
              <w:tab/>
            </w:r>
            <w:r w:rsidRPr="00B33F5F">
              <w:rPr>
                <w:rStyle w:val="Lienhypertexte"/>
              </w:rPr>
              <w:t>Reports dans la mise en œuvre de certains instruments parlementaires</w:t>
            </w:r>
            <w:r>
              <w:rPr>
                <w:webHidden/>
              </w:rPr>
              <w:tab/>
            </w:r>
            <w:r>
              <w:rPr>
                <w:webHidden/>
              </w:rPr>
              <w:fldChar w:fldCharType="begin"/>
            </w:r>
            <w:r>
              <w:rPr>
                <w:webHidden/>
              </w:rPr>
              <w:instrText xml:space="preserve"> PAGEREF _Toc195715339 \h </w:instrText>
            </w:r>
            <w:r>
              <w:rPr>
                <w:webHidden/>
              </w:rPr>
            </w:r>
            <w:r>
              <w:rPr>
                <w:webHidden/>
              </w:rPr>
              <w:fldChar w:fldCharType="separate"/>
            </w:r>
            <w:r>
              <w:rPr>
                <w:webHidden/>
              </w:rPr>
              <w:t>40</w:t>
            </w:r>
            <w:r>
              <w:rPr>
                <w:webHidden/>
              </w:rPr>
              <w:fldChar w:fldCharType="end"/>
            </w:r>
          </w:hyperlink>
        </w:p>
        <w:p w14:paraId="0C64A7F9" w14:textId="78745DB4"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40" w:history="1">
            <w:r w:rsidRPr="00B33F5F">
              <w:rPr>
                <w:rStyle w:val="Lienhypertexte"/>
              </w:rPr>
              <w:t>5.2</w:t>
            </w:r>
            <w:r>
              <w:rPr>
                <w:rFonts w:asciiTheme="minorHAnsi" w:eastAsiaTheme="minorEastAsia" w:hAnsiTheme="minorHAnsi"/>
                <w:b w:val="0"/>
                <w:kern w:val="2"/>
                <w:sz w:val="24"/>
                <w:szCs w:val="24"/>
                <w:lang w:eastAsia="fr-CH"/>
                <w14:ligatures w14:val="standardContextual"/>
              </w:rPr>
              <w:tab/>
            </w:r>
            <w:r w:rsidRPr="00B33F5F">
              <w:rPr>
                <w:rStyle w:val="Lienhypertexte"/>
              </w:rPr>
              <w:t>Réponses à des instruments parlementaires non traités</w:t>
            </w:r>
            <w:r>
              <w:rPr>
                <w:webHidden/>
              </w:rPr>
              <w:tab/>
            </w:r>
            <w:r>
              <w:rPr>
                <w:webHidden/>
              </w:rPr>
              <w:fldChar w:fldCharType="begin"/>
            </w:r>
            <w:r>
              <w:rPr>
                <w:webHidden/>
              </w:rPr>
              <w:instrText xml:space="preserve"> PAGEREF _Toc195715340 \h </w:instrText>
            </w:r>
            <w:r>
              <w:rPr>
                <w:webHidden/>
              </w:rPr>
            </w:r>
            <w:r>
              <w:rPr>
                <w:webHidden/>
              </w:rPr>
              <w:fldChar w:fldCharType="separate"/>
            </w:r>
            <w:r>
              <w:rPr>
                <w:webHidden/>
              </w:rPr>
              <w:t>41</w:t>
            </w:r>
            <w:r>
              <w:rPr>
                <w:webHidden/>
              </w:rPr>
              <w:fldChar w:fldCharType="end"/>
            </w:r>
          </w:hyperlink>
        </w:p>
        <w:p w14:paraId="0C8CC018" w14:textId="1D0DCCDF"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41" w:history="1">
            <w:r w:rsidRPr="00B33F5F">
              <w:rPr>
                <w:rStyle w:val="Lienhypertexte"/>
                <w:noProof/>
              </w:rPr>
              <w:t>5.2.1</w:t>
            </w:r>
            <w:r>
              <w:rPr>
                <w:rFonts w:asciiTheme="minorHAnsi" w:eastAsiaTheme="minorEastAsia" w:hAnsiTheme="minorHAnsi"/>
                <w:noProof/>
                <w:kern w:val="2"/>
                <w:sz w:val="24"/>
                <w:szCs w:val="24"/>
                <w:lang w:eastAsia="fr-CH"/>
                <w14:ligatures w14:val="standardContextual"/>
              </w:rPr>
              <w:tab/>
            </w:r>
            <w:r w:rsidRPr="00B33F5F">
              <w:rPr>
                <w:rStyle w:val="Lienhypertexte"/>
                <w:noProof/>
              </w:rPr>
              <w:t>Motion « Introduisons un taux d’impôt équitable » (2024-GC-279)</w:t>
            </w:r>
            <w:r>
              <w:rPr>
                <w:noProof/>
                <w:webHidden/>
              </w:rPr>
              <w:tab/>
            </w:r>
            <w:r>
              <w:rPr>
                <w:noProof/>
                <w:webHidden/>
              </w:rPr>
              <w:fldChar w:fldCharType="begin"/>
            </w:r>
            <w:r>
              <w:rPr>
                <w:noProof/>
                <w:webHidden/>
              </w:rPr>
              <w:instrText xml:space="preserve"> PAGEREF _Toc195715341 \h </w:instrText>
            </w:r>
            <w:r>
              <w:rPr>
                <w:noProof/>
                <w:webHidden/>
              </w:rPr>
            </w:r>
            <w:r>
              <w:rPr>
                <w:noProof/>
                <w:webHidden/>
              </w:rPr>
              <w:fldChar w:fldCharType="separate"/>
            </w:r>
            <w:r>
              <w:rPr>
                <w:noProof/>
                <w:webHidden/>
              </w:rPr>
              <w:t>41</w:t>
            </w:r>
            <w:r>
              <w:rPr>
                <w:noProof/>
                <w:webHidden/>
              </w:rPr>
              <w:fldChar w:fldCharType="end"/>
            </w:r>
          </w:hyperlink>
        </w:p>
        <w:p w14:paraId="0EB21AE2" w14:textId="26EBBFA0"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42" w:history="1">
            <w:r w:rsidRPr="00B33F5F">
              <w:rPr>
                <w:rStyle w:val="Lienhypertexte"/>
                <w:noProof/>
              </w:rPr>
              <w:t>5.2.2</w:t>
            </w:r>
            <w:r>
              <w:rPr>
                <w:rFonts w:asciiTheme="minorHAnsi" w:eastAsiaTheme="minorEastAsia" w:hAnsiTheme="minorHAnsi"/>
                <w:noProof/>
                <w:kern w:val="2"/>
                <w:sz w:val="24"/>
                <w:szCs w:val="24"/>
                <w:lang w:eastAsia="fr-CH"/>
                <w14:ligatures w14:val="standardContextual"/>
              </w:rPr>
              <w:tab/>
            </w:r>
            <w:r w:rsidRPr="00B33F5F">
              <w:rPr>
                <w:rStyle w:val="Lienhypertexte"/>
                <w:noProof/>
              </w:rPr>
              <w:t>Mandat « Pour une administration efficace » (2024-GC-286)</w:t>
            </w:r>
            <w:r>
              <w:rPr>
                <w:noProof/>
                <w:webHidden/>
              </w:rPr>
              <w:tab/>
            </w:r>
            <w:r>
              <w:rPr>
                <w:noProof/>
                <w:webHidden/>
              </w:rPr>
              <w:fldChar w:fldCharType="begin"/>
            </w:r>
            <w:r>
              <w:rPr>
                <w:noProof/>
                <w:webHidden/>
              </w:rPr>
              <w:instrText xml:space="preserve"> PAGEREF _Toc195715342 \h </w:instrText>
            </w:r>
            <w:r>
              <w:rPr>
                <w:noProof/>
                <w:webHidden/>
              </w:rPr>
            </w:r>
            <w:r>
              <w:rPr>
                <w:noProof/>
                <w:webHidden/>
              </w:rPr>
              <w:fldChar w:fldCharType="separate"/>
            </w:r>
            <w:r>
              <w:rPr>
                <w:noProof/>
                <w:webHidden/>
              </w:rPr>
              <w:t>41</w:t>
            </w:r>
            <w:r>
              <w:rPr>
                <w:noProof/>
                <w:webHidden/>
              </w:rPr>
              <w:fldChar w:fldCharType="end"/>
            </w:r>
          </w:hyperlink>
        </w:p>
        <w:p w14:paraId="61BE127C" w14:textId="028D8EB9"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43" w:history="1">
            <w:r w:rsidRPr="00B33F5F">
              <w:rPr>
                <w:rStyle w:val="Lienhypertexte"/>
                <w:noProof/>
              </w:rPr>
              <w:t>5.2.3</w:t>
            </w:r>
            <w:r>
              <w:rPr>
                <w:rFonts w:asciiTheme="minorHAnsi" w:eastAsiaTheme="minorEastAsia" w:hAnsiTheme="minorHAnsi"/>
                <w:noProof/>
                <w:kern w:val="2"/>
                <w:sz w:val="24"/>
                <w:szCs w:val="24"/>
                <w:lang w:eastAsia="fr-CH"/>
                <w14:ligatures w14:val="standardContextual"/>
              </w:rPr>
              <w:tab/>
            </w:r>
            <w:r w:rsidRPr="00B33F5F">
              <w:rPr>
                <w:rStyle w:val="Lienhypertexte"/>
                <w:noProof/>
              </w:rPr>
              <w:t>Mandat « Diminuer les charges de l’Etat pou rmaintenir le pouvoir d’achat » (2025-GC-40)</w:t>
            </w:r>
            <w:r>
              <w:rPr>
                <w:noProof/>
                <w:webHidden/>
              </w:rPr>
              <w:tab/>
            </w:r>
            <w:r>
              <w:rPr>
                <w:noProof/>
                <w:webHidden/>
              </w:rPr>
              <w:fldChar w:fldCharType="begin"/>
            </w:r>
            <w:r>
              <w:rPr>
                <w:noProof/>
                <w:webHidden/>
              </w:rPr>
              <w:instrText xml:space="preserve"> PAGEREF _Toc195715343 \h </w:instrText>
            </w:r>
            <w:r>
              <w:rPr>
                <w:noProof/>
                <w:webHidden/>
              </w:rPr>
            </w:r>
            <w:r>
              <w:rPr>
                <w:noProof/>
                <w:webHidden/>
              </w:rPr>
              <w:fldChar w:fldCharType="separate"/>
            </w:r>
            <w:r>
              <w:rPr>
                <w:noProof/>
                <w:webHidden/>
              </w:rPr>
              <w:t>41</w:t>
            </w:r>
            <w:r>
              <w:rPr>
                <w:noProof/>
                <w:webHidden/>
              </w:rPr>
              <w:fldChar w:fldCharType="end"/>
            </w:r>
          </w:hyperlink>
        </w:p>
        <w:p w14:paraId="53D81CB3" w14:textId="45F8A7D4"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44" w:history="1">
            <w:r w:rsidRPr="00B33F5F">
              <w:rPr>
                <w:rStyle w:val="Lienhypertexte"/>
                <w:noProof/>
              </w:rPr>
              <w:t>5.2.4</w:t>
            </w:r>
            <w:r>
              <w:rPr>
                <w:rFonts w:asciiTheme="minorHAnsi" w:eastAsiaTheme="minorEastAsia" w:hAnsiTheme="minorHAnsi"/>
                <w:noProof/>
                <w:kern w:val="2"/>
                <w:sz w:val="24"/>
                <w:szCs w:val="24"/>
                <w:lang w:eastAsia="fr-CH"/>
                <w14:ligatures w14:val="standardContextual"/>
              </w:rPr>
              <w:tab/>
            </w:r>
            <w:r w:rsidRPr="00B33F5F">
              <w:rPr>
                <w:rStyle w:val="Lienhypertexte"/>
                <w:noProof/>
              </w:rPr>
              <w:t>Mandat « Un plan d’assainissement ! Une aubaine pour la biodiversité » (2025-GC-55)</w:t>
            </w:r>
            <w:r>
              <w:rPr>
                <w:noProof/>
                <w:webHidden/>
              </w:rPr>
              <w:tab/>
            </w:r>
            <w:r>
              <w:rPr>
                <w:noProof/>
                <w:webHidden/>
              </w:rPr>
              <w:fldChar w:fldCharType="begin"/>
            </w:r>
            <w:r>
              <w:rPr>
                <w:noProof/>
                <w:webHidden/>
              </w:rPr>
              <w:instrText xml:space="preserve"> PAGEREF _Toc195715344 \h </w:instrText>
            </w:r>
            <w:r>
              <w:rPr>
                <w:noProof/>
                <w:webHidden/>
              </w:rPr>
            </w:r>
            <w:r>
              <w:rPr>
                <w:noProof/>
                <w:webHidden/>
              </w:rPr>
              <w:fldChar w:fldCharType="separate"/>
            </w:r>
            <w:r>
              <w:rPr>
                <w:noProof/>
                <w:webHidden/>
              </w:rPr>
              <w:t>42</w:t>
            </w:r>
            <w:r>
              <w:rPr>
                <w:noProof/>
                <w:webHidden/>
              </w:rPr>
              <w:fldChar w:fldCharType="end"/>
            </w:r>
          </w:hyperlink>
        </w:p>
        <w:p w14:paraId="24D1F052" w14:textId="4E829CEA"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45" w:history="1">
            <w:r w:rsidRPr="00B33F5F">
              <w:rPr>
                <w:rStyle w:val="Lienhypertexte"/>
                <w:noProof/>
              </w:rPr>
              <w:t>5.2.5</w:t>
            </w:r>
            <w:r>
              <w:rPr>
                <w:rFonts w:asciiTheme="minorHAnsi" w:eastAsiaTheme="minorEastAsia" w:hAnsiTheme="minorHAnsi"/>
                <w:noProof/>
                <w:kern w:val="2"/>
                <w:sz w:val="24"/>
                <w:szCs w:val="24"/>
                <w:lang w:eastAsia="fr-CH"/>
                <w14:ligatures w14:val="standardContextual"/>
              </w:rPr>
              <w:tab/>
            </w:r>
            <w:r w:rsidRPr="00B33F5F">
              <w:rPr>
                <w:rStyle w:val="Lienhypertexte"/>
                <w:noProof/>
              </w:rPr>
              <w:t>Motion « Bon pour le climat et les caisses de l’Etat » (2025-GC-70)</w:t>
            </w:r>
            <w:r>
              <w:rPr>
                <w:noProof/>
                <w:webHidden/>
              </w:rPr>
              <w:tab/>
            </w:r>
            <w:r>
              <w:rPr>
                <w:noProof/>
                <w:webHidden/>
              </w:rPr>
              <w:fldChar w:fldCharType="begin"/>
            </w:r>
            <w:r>
              <w:rPr>
                <w:noProof/>
                <w:webHidden/>
              </w:rPr>
              <w:instrText xml:space="preserve"> PAGEREF _Toc195715345 \h </w:instrText>
            </w:r>
            <w:r>
              <w:rPr>
                <w:noProof/>
                <w:webHidden/>
              </w:rPr>
            </w:r>
            <w:r>
              <w:rPr>
                <w:noProof/>
                <w:webHidden/>
              </w:rPr>
              <w:fldChar w:fldCharType="separate"/>
            </w:r>
            <w:r>
              <w:rPr>
                <w:noProof/>
                <w:webHidden/>
              </w:rPr>
              <w:t>42</w:t>
            </w:r>
            <w:r>
              <w:rPr>
                <w:noProof/>
                <w:webHidden/>
              </w:rPr>
              <w:fldChar w:fldCharType="end"/>
            </w:r>
          </w:hyperlink>
        </w:p>
        <w:p w14:paraId="24FD45D8" w14:textId="1096D1A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46" w:history="1">
            <w:r w:rsidRPr="00B33F5F">
              <w:rPr>
                <w:rStyle w:val="Lienhypertexte"/>
                <w:noProof/>
              </w:rPr>
              <w:t>5.2.6</w:t>
            </w:r>
            <w:r>
              <w:rPr>
                <w:rFonts w:asciiTheme="minorHAnsi" w:eastAsiaTheme="minorEastAsia" w:hAnsiTheme="minorHAnsi"/>
                <w:noProof/>
                <w:kern w:val="2"/>
                <w:sz w:val="24"/>
                <w:szCs w:val="24"/>
                <w:lang w:eastAsia="fr-CH"/>
                <w14:ligatures w14:val="standardContextual"/>
              </w:rPr>
              <w:tab/>
            </w:r>
            <w:r w:rsidRPr="00B33F5F">
              <w:rPr>
                <w:rStyle w:val="Lienhypertexte"/>
                <w:noProof/>
              </w:rPr>
              <w:t>Mandat « Mesures d’économies : la classe politique doit donner l’exemple » (2025-GC-94)</w:t>
            </w:r>
            <w:r>
              <w:rPr>
                <w:noProof/>
                <w:webHidden/>
              </w:rPr>
              <w:tab/>
            </w:r>
            <w:r>
              <w:rPr>
                <w:noProof/>
                <w:webHidden/>
              </w:rPr>
              <w:fldChar w:fldCharType="begin"/>
            </w:r>
            <w:r>
              <w:rPr>
                <w:noProof/>
                <w:webHidden/>
              </w:rPr>
              <w:instrText xml:space="preserve"> PAGEREF _Toc195715346 \h </w:instrText>
            </w:r>
            <w:r>
              <w:rPr>
                <w:noProof/>
                <w:webHidden/>
              </w:rPr>
            </w:r>
            <w:r>
              <w:rPr>
                <w:noProof/>
                <w:webHidden/>
              </w:rPr>
              <w:fldChar w:fldCharType="separate"/>
            </w:r>
            <w:r>
              <w:rPr>
                <w:noProof/>
                <w:webHidden/>
              </w:rPr>
              <w:t>42</w:t>
            </w:r>
            <w:r>
              <w:rPr>
                <w:noProof/>
                <w:webHidden/>
              </w:rPr>
              <w:fldChar w:fldCharType="end"/>
            </w:r>
          </w:hyperlink>
        </w:p>
        <w:p w14:paraId="236D30F5" w14:textId="19FD921E"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5356" w:history="1">
            <w:r w:rsidRPr="00B33F5F">
              <w:rPr>
                <w:rStyle w:val="Lienhypertexte"/>
              </w:rPr>
              <w:t>6</w:t>
            </w:r>
            <w:r>
              <w:rPr>
                <w:rFonts w:asciiTheme="minorHAnsi" w:eastAsiaTheme="minorEastAsia" w:hAnsiTheme="minorHAnsi"/>
                <w:b w:val="0"/>
                <w:kern w:val="2"/>
                <w:sz w:val="24"/>
                <w:szCs w:val="24"/>
                <w:lang w:eastAsia="fr-CH"/>
                <w14:ligatures w14:val="standardContextual"/>
              </w:rPr>
              <w:tab/>
            </w:r>
            <w:r w:rsidRPr="00B33F5F">
              <w:rPr>
                <w:rStyle w:val="Lienhypertexte"/>
              </w:rPr>
              <w:t>Commentaire des modifications légales</w:t>
            </w:r>
            <w:r>
              <w:rPr>
                <w:webHidden/>
              </w:rPr>
              <w:tab/>
            </w:r>
            <w:r>
              <w:rPr>
                <w:webHidden/>
              </w:rPr>
              <w:fldChar w:fldCharType="begin"/>
            </w:r>
            <w:r>
              <w:rPr>
                <w:webHidden/>
              </w:rPr>
              <w:instrText xml:space="preserve"> PAGEREF _Toc195715356 \h </w:instrText>
            </w:r>
            <w:r>
              <w:rPr>
                <w:webHidden/>
              </w:rPr>
            </w:r>
            <w:r>
              <w:rPr>
                <w:webHidden/>
              </w:rPr>
              <w:fldChar w:fldCharType="separate"/>
            </w:r>
            <w:r>
              <w:rPr>
                <w:webHidden/>
              </w:rPr>
              <w:t>43</w:t>
            </w:r>
            <w:r>
              <w:rPr>
                <w:webHidden/>
              </w:rPr>
              <w:fldChar w:fldCharType="end"/>
            </w:r>
          </w:hyperlink>
        </w:p>
        <w:p w14:paraId="2EFBF767" w14:textId="3B740F87"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57" w:history="1">
            <w:r w:rsidRPr="00B33F5F">
              <w:rPr>
                <w:rStyle w:val="Lienhypertexte"/>
              </w:rPr>
              <w:t>6.1</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 droit de cité (LDCF)</w:t>
            </w:r>
            <w:r>
              <w:rPr>
                <w:webHidden/>
              </w:rPr>
              <w:tab/>
            </w:r>
            <w:r>
              <w:rPr>
                <w:webHidden/>
              </w:rPr>
              <w:fldChar w:fldCharType="begin"/>
            </w:r>
            <w:r>
              <w:rPr>
                <w:webHidden/>
              </w:rPr>
              <w:instrText xml:space="preserve"> PAGEREF _Toc195715357 \h </w:instrText>
            </w:r>
            <w:r>
              <w:rPr>
                <w:webHidden/>
              </w:rPr>
            </w:r>
            <w:r>
              <w:rPr>
                <w:webHidden/>
              </w:rPr>
              <w:fldChar w:fldCharType="separate"/>
            </w:r>
            <w:r>
              <w:rPr>
                <w:webHidden/>
              </w:rPr>
              <w:t>43</w:t>
            </w:r>
            <w:r>
              <w:rPr>
                <w:webHidden/>
              </w:rPr>
              <w:fldChar w:fldCharType="end"/>
            </w:r>
          </w:hyperlink>
        </w:p>
        <w:p w14:paraId="134F0070" w14:textId="0D28CA98"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58" w:history="1">
            <w:r w:rsidRPr="00B33F5F">
              <w:rPr>
                <w:rStyle w:val="Lienhypertexte"/>
                <w:noProof/>
              </w:rPr>
              <w:t>6.1.1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_Toc195715358 \h </w:instrText>
            </w:r>
            <w:r>
              <w:rPr>
                <w:noProof/>
                <w:webHidden/>
              </w:rPr>
            </w:r>
            <w:r>
              <w:rPr>
                <w:noProof/>
                <w:webHidden/>
              </w:rPr>
              <w:fldChar w:fldCharType="separate"/>
            </w:r>
            <w:r>
              <w:rPr>
                <w:noProof/>
                <w:webHidden/>
              </w:rPr>
              <w:t>43</w:t>
            </w:r>
            <w:r>
              <w:rPr>
                <w:noProof/>
                <w:webHidden/>
              </w:rPr>
              <w:fldChar w:fldCharType="end"/>
            </w:r>
          </w:hyperlink>
        </w:p>
        <w:p w14:paraId="58D0903E" w14:textId="5D34FA10"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59" w:history="1">
            <w:r w:rsidRPr="00B33F5F">
              <w:rPr>
                <w:rStyle w:val="Lienhypertexte"/>
                <w:noProof/>
              </w:rPr>
              <w:t>6.1.2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_Toc195715359 \h </w:instrText>
            </w:r>
            <w:r>
              <w:rPr>
                <w:noProof/>
                <w:webHidden/>
              </w:rPr>
            </w:r>
            <w:r>
              <w:rPr>
                <w:noProof/>
                <w:webHidden/>
              </w:rPr>
              <w:fldChar w:fldCharType="separate"/>
            </w:r>
            <w:r>
              <w:rPr>
                <w:noProof/>
                <w:webHidden/>
              </w:rPr>
              <w:t>44</w:t>
            </w:r>
            <w:r>
              <w:rPr>
                <w:noProof/>
                <w:webHidden/>
              </w:rPr>
              <w:fldChar w:fldCharType="end"/>
            </w:r>
          </w:hyperlink>
        </w:p>
        <w:p w14:paraId="543A8645" w14:textId="29207F95"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60" w:history="1">
            <w:r w:rsidRPr="00B33F5F">
              <w:rPr>
                <w:rStyle w:val="Lienhypertexte"/>
              </w:rPr>
              <w:t>6.2</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la participation de l’Etat aux frais de campagne électorale (LPFC)</w:t>
            </w:r>
            <w:r>
              <w:rPr>
                <w:webHidden/>
              </w:rPr>
              <w:tab/>
            </w:r>
            <w:r>
              <w:rPr>
                <w:webHidden/>
              </w:rPr>
              <w:fldChar w:fldCharType="begin"/>
            </w:r>
            <w:r>
              <w:rPr>
                <w:webHidden/>
              </w:rPr>
              <w:instrText xml:space="preserve"> PAGEREF _Toc195715360 \h </w:instrText>
            </w:r>
            <w:r>
              <w:rPr>
                <w:webHidden/>
              </w:rPr>
            </w:r>
            <w:r>
              <w:rPr>
                <w:webHidden/>
              </w:rPr>
              <w:fldChar w:fldCharType="separate"/>
            </w:r>
            <w:r>
              <w:rPr>
                <w:webHidden/>
              </w:rPr>
              <w:t>46</w:t>
            </w:r>
            <w:r>
              <w:rPr>
                <w:webHidden/>
              </w:rPr>
              <w:fldChar w:fldCharType="end"/>
            </w:r>
          </w:hyperlink>
        </w:p>
        <w:p w14:paraId="643DE68C" w14:textId="48EA846E"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61" w:history="1">
            <w:r w:rsidRPr="00B33F5F">
              <w:rPr>
                <w:rStyle w:val="Lienhypertexte"/>
                <w:noProof/>
              </w:rPr>
              <w:t>6.2.1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_Toc195715361 \h </w:instrText>
            </w:r>
            <w:r>
              <w:rPr>
                <w:noProof/>
                <w:webHidden/>
              </w:rPr>
            </w:r>
            <w:r>
              <w:rPr>
                <w:noProof/>
                <w:webHidden/>
              </w:rPr>
              <w:fldChar w:fldCharType="separate"/>
            </w:r>
            <w:r>
              <w:rPr>
                <w:noProof/>
                <w:webHidden/>
              </w:rPr>
              <w:t>46</w:t>
            </w:r>
            <w:r>
              <w:rPr>
                <w:noProof/>
                <w:webHidden/>
              </w:rPr>
              <w:fldChar w:fldCharType="end"/>
            </w:r>
          </w:hyperlink>
        </w:p>
        <w:p w14:paraId="35C26EC3" w14:textId="6217CB01"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62" w:history="1">
            <w:r w:rsidRPr="00B33F5F">
              <w:rPr>
                <w:rStyle w:val="Lienhypertexte"/>
                <w:noProof/>
              </w:rPr>
              <w:t>6.2.2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_Toc195715362 \h </w:instrText>
            </w:r>
            <w:r>
              <w:rPr>
                <w:noProof/>
                <w:webHidden/>
              </w:rPr>
            </w:r>
            <w:r>
              <w:rPr>
                <w:noProof/>
                <w:webHidden/>
              </w:rPr>
              <w:fldChar w:fldCharType="separate"/>
            </w:r>
            <w:r>
              <w:rPr>
                <w:noProof/>
                <w:webHidden/>
              </w:rPr>
              <w:t>46</w:t>
            </w:r>
            <w:r>
              <w:rPr>
                <w:noProof/>
                <w:webHidden/>
              </w:rPr>
              <w:fldChar w:fldCharType="end"/>
            </w:r>
          </w:hyperlink>
        </w:p>
        <w:p w14:paraId="7F2009E0" w14:textId="1E8FB388"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63" w:history="1">
            <w:r w:rsidRPr="00B33F5F">
              <w:rPr>
                <w:rStyle w:val="Lienhypertexte"/>
              </w:rPr>
              <w:t>6.3</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relative au traitement et à la prévoyance professionnelle des conseillers d’Etat, des préfets et des juges cantonaux (LTCE)</w:t>
            </w:r>
            <w:r>
              <w:rPr>
                <w:webHidden/>
              </w:rPr>
              <w:tab/>
            </w:r>
            <w:r>
              <w:rPr>
                <w:webHidden/>
              </w:rPr>
              <w:fldChar w:fldCharType="begin"/>
            </w:r>
            <w:r>
              <w:rPr>
                <w:webHidden/>
              </w:rPr>
              <w:instrText xml:space="preserve"> PAGEREF _Toc195715363 \h </w:instrText>
            </w:r>
            <w:r>
              <w:rPr>
                <w:webHidden/>
              </w:rPr>
            </w:r>
            <w:r>
              <w:rPr>
                <w:webHidden/>
              </w:rPr>
              <w:fldChar w:fldCharType="separate"/>
            </w:r>
            <w:r>
              <w:rPr>
                <w:webHidden/>
              </w:rPr>
              <w:t>47</w:t>
            </w:r>
            <w:r>
              <w:rPr>
                <w:webHidden/>
              </w:rPr>
              <w:fldChar w:fldCharType="end"/>
            </w:r>
          </w:hyperlink>
        </w:p>
        <w:p w14:paraId="0B27CAD1" w14:textId="423D6E3A"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64" w:history="1">
            <w:r w:rsidRPr="00B33F5F">
              <w:rPr>
                <w:rStyle w:val="Lienhypertexte"/>
                <w:noProof/>
              </w:rPr>
              <w:t>6.3.1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_Toc195715364 \h </w:instrText>
            </w:r>
            <w:r>
              <w:rPr>
                <w:noProof/>
                <w:webHidden/>
              </w:rPr>
            </w:r>
            <w:r>
              <w:rPr>
                <w:noProof/>
                <w:webHidden/>
              </w:rPr>
              <w:fldChar w:fldCharType="separate"/>
            </w:r>
            <w:r>
              <w:rPr>
                <w:noProof/>
                <w:webHidden/>
              </w:rPr>
              <w:t>47</w:t>
            </w:r>
            <w:r>
              <w:rPr>
                <w:noProof/>
                <w:webHidden/>
              </w:rPr>
              <w:fldChar w:fldCharType="end"/>
            </w:r>
          </w:hyperlink>
        </w:p>
        <w:p w14:paraId="109C71E5" w14:textId="6DD7D297"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65" w:history="1">
            <w:r w:rsidRPr="00B33F5F">
              <w:rPr>
                <w:rStyle w:val="Lienhypertexte"/>
                <w:noProof/>
              </w:rPr>
              <w:t>6.3.2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_Toc195715365 \h </w:instrText>
            </w:r>
            <w:r>
              <w:rPr>
                <w:noProof/>
                <w:webHidden/>
              </w:rPr>
            </w:r>
            <w:r>
              <w:rPr>
                <w:noProof/>
                <w:webHidden/>
              </w:rPr>
              <w:fldChar w:fldCharType="separate"/>
            </w:r>
            <w:r>
              <w:rPr>
                <w:noProof/>
                <w:webHidden/>
              </w:rPr>
              <w:t>47</w:t>
            </w:r>
            <w:r>
              <w:rPr>
                <w:noProof/>
                <w:webHidden/>
              </w:rPr>
              <w:fldChar w:fldCharType="end"/>
            </w:r>
          </w:hyperlink>
        </w:p>
        <w:p w14:paraId="5CCA19FC" w14:textId="1E04FD90"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66" w:history="1">
            <w:r w:rsidRPr="00B33F5F">
              <w:rPr>
                <w:rStyle w:val="Lienhypertexte"/>
              </w:rPr>
              <w:t>6.4</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 personnel de l’Etat (LPers)</w:t>
            </w:r>
            <w:r>
              <w:rPr>
                <w:webHidden/>
              </w:rPr>
              <w:tab/>
            </w:r>
            <w:r>
              <w:rPr>
                <w:webHidden/>
              </w:rPr>
              <w:fldChar w:fldCharType="begin"/>
            </w:r>
            <w:r>
              <w:rPr>
                <w:webHidden/>
              </w:rPr>
              <w:instrText xml:space="preserve"> PAGEREF _Toc195715366 \h </w:instrText>
            </w:r>
            <w:r>
              <w:rPr>
                <w:webHidden/>
              </w:rPr>
            </w:r>
            <w:r>
              <w:rPr>
                <w:webHidden/>
              </w:rPr>
              <w:fldChar w:fldCharType="separate"/>
            </w:r>
            <w:r>
              <w:rPr>
                <w:webHidden/>
              </w:rPr>
              <w:t>47</w:t>
            </w:r>
            <w:r>
              <w:rPr>
                <w:webHidden/>
              </w:rPr>
              <w:fldChar w:fldCharType="end"/>
            </w:r>
          </w:hyperlink>
        </w:p>
        <w:p w14:paraId="5053B070" w14:textId="45C8786E"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67" w:history="1">
            <w:r w:rsidRPr="00B33F5F">
              <w:rPr>
                <w:rStyle w:val="Lienhypertexte"/>
                <w:noProof/>
              </w:rPr>
              <w:t>6.4.1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_Toc195715367 \h </w:instrText>
            </w:r>
            <w:r>
              <w:rPr>
                <w:noProof/>
                <w:webHidden/>
              </w:rPr>
            </w:r>
            <w:r>
              <w:rPr>
                <w:noProof/>
                <w:webHidden/>
              </w:rPr>
              <w:fldChar w:fldCharType="separate"/>
            </w:r>
            <w:r>
              <w:rPr>
                <w:noProof/>
                <w:webHidden/>
              </w:rPr>
              <w:t>47</w:t>
            </w:r>
            <w:r>
              <w:rPr>
                <w:noProof/>
                <w:webHidden/>
              </w:rPr>
              <w:fldChar w:fldCharType="end"/>
            </w:r>
          </w:hyperlink>
        </w:p>
        <w:p w14:paraId="35A49500" w14:textId="0891A77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68" w:history="1">
            <w:r w:rsidRPr="00B33F5F">
              <w:rPr>
                <w:rStyle w:val="Lienhypertexte"/>
                <w:noProof/>
              </w:rPr>
              <w:t>6.4.2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_Toc195715368 \h </w:instrText>
            </w:r>
            <w:r>
              <w:rPr>
                <w:noProof/>
                <w:webHidden/>
              </w:rPr>
            </w:r>
            <w:r>
              <w:rPr>
                <w:noProof/>
                <w:webHidden/>
              </w:rPr>
              <w:fldChar w:fldCharType="separate"/>
            </w:r>
            <w:r>
              <w:rPr>
                <w:noProof/>
                <w:webHidden/>
              </w:rPr>
              <w:t>48</w:t>
            </w:r>
            <w:r>
              <w:rPr>
                <w:noProof/>
                <w:webHidden/>
              </w:rPr>
              <w:fldChar w:fldCharType="end"/>
            </w:r>
          </w:hyperlink>
        </w:p>
        <w:p w14:paraId="05F4F273" w14:textId="1EFA5C57"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69" w:history="1">
            <w:r w:rsidRPr="00B33F5F">
              <w:rPr>
                <w:rStyle w:val="Lienhypertexte"/>
              </w:rPr>
              <w:t>6.5</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d’application de la législation fédérale sur l’aide aux victimes d’infractions (LALAVI)</w:t>
            </w:r>
            <w:r>
              <w:rPr>
                <w:webHidden/>
              </w:rPr>
              <w:tab/>
            </w:r>
            <w:r>
              <w:rPr>
                <w:webHidden/>
              </w:rPr>
              <w:fldChar w:fldCharType="begin"/>
            </w:r>
            <w:r>
              <w:rPr>
                <w:webHidden/>
              </w:rPr>
              <w:instrText xml:space="preserve"> PAGEREF _Toc195715369 \h </w:instrText>
            </w:r>
            <w:r>
              <w:rPr>
                <w:webHidden/>
              </w:rPr>
            </w:r>
            <w:r>
              <w:rPr>
                <w:webHidden/>
              </w:rPr>
              <w:fldChar w:fldCharType="separate"/>
            </w:r>
            <w:r>
              <w:rPr>
                <w:webHidden/>
              </w:rPr>
              <w:t>49</w:t>
            </w:r>
            <w:r>
              <w:rPr>
                <w:webHidden/>
              </w:rPr>
              <w:fldChar w:fldCharType="end"/>
            </w:r>
          </w:hyperlink>
        </w:p>
        <w:p w14:paraId="2105EA44" w14:textId="7BE37480"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0" w:history="1">
            <w:r w:rsidRPr="00B33F5F">
              <w:rPr>
                <w:rStyle w:val="Lienhypertexte"/>
                <w:noProof/>
              </w:rPr>
              <w:t>6.5.1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_Toc195715370 \h </w:instrText>
            </w:r>
            <w:r>
              <w:rPr>
                <w:noProof/>
                <w:webHidden/>
              </w:rPr>
            </w:r>
            <w:r>
              <w:rPr>
                <w:noProof/>
                <w:webHidden/>
              </w:rPr>
              <w:fldChar w:fldCharType="separate"/>
            </w:r>
            <w:r>
              <w:rPr>
                <w:noProof/>
                <w:webHidden/>
              </w:rPr>
              <w:t>49</w:t>
            </w:r>
            <w:r>
              <w:rPr>
                <w:noProof/>
                <w:webHidden/>
              </w:rPr>
              <w:fldChar w:fldCharType="end"/>
            </w:r>
          </w:hyperlink>
        </w:p>
        <w:p w14:paraId="7AF8E6ED" w14:textId="4E1ADCC5"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1" w:history="1">
            <w:r w:rsidRPr="00B33F5F">
              <w:rPr>
                <w:rStyle w:val="Lienhypertexte"/>
                <w:noProof/>
              </w:rPr>
              <w:t>6.5.2</w:t>
            </w:r>
            <w:r>
              <w:rPr>
                <w:rFonts w:asciiTheme="minorHAnsi" w:eastAsiaTheme="minorEastAsia" w:hAnsiTheme="minorHAnsi"/>
                <w:noProof/>
                <w:kern w:val="2"/>
                <w:sz w:val="24"/>
                <w:szCs w:val="24"/>
                <w:lang w:eastAsia="fr-CH"/>
                <w14:ligatures w14:val="standardContextual"/>
              </w:rPr>
              <w:tab/>
            </w:r>
            <w:r w:rsidRPr="00B33F5F">
              <w:rPr>
                <w:rStyle w:val="Lienhypertexte"/>
                <w:noProof/>
              </w:rPr>
              <w:t>Estimations financières détaillées</w:t>
            </w:r>
            <w:r>
              <w:rPr>
                <w:noProof/>
                <w:webHidden/>
              </w:rPr>
              <w:tab/>
            </w:r>
            <w:r>
              <w:rPr>
                <w:noProof/>
                <w:webHidden/>
              </w:rPr>
              <w:fldChar w:fldCharType="begin"/>
            </w:r>
            <w:r>
              <w:rPr>
                <w:noProof/>
                <w:webHidden/>
              </w:rPr>
              <w:instrText xml:space="preserve"> PAGEREF _Toc195715371 \h </w:instrText>
            </w:r>
            <w:r>
              <w:rPr>
                <w:noProof/>
                <w:webHidden/>
              </w:rPr>
            </w:r>
            <w:r>
              <w:rPr>
                <w:noProof/>
                <w:webHidden/>
              </w:rPr>
              <w:fldChar w:fldCharType="separate"/>
            </w:r>
            <w:r>
              <w:rPr>
                <w:noProof/>
                <w:webHidden/>
              </w:rPr>
              <w:t>49</w:t>
            </w:r>
            <w:r>
              <w:rPr>
                <w:noProof/>
                <w:webHidden/>
              </w:rPr>
              <w:fldChar w:fldCharType="end"/>
            </w:r>
          </w:hyperlink>
        </w:p>
        <w:p w14:paraId="39C00317" w14:textId="5DBD074F"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2" w:history="1">
            <w:r w:rsidRPr="00B33F5F">
              <w:rPr>
                <w:rStyle w:val="Lienhypertexte"/>
                <w:noProof/>
              </w:rPr>
              <w:t>6.5.3</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_Toc195715372 \h </w:instrText>
            </w:r>
            <w:r>
              <w:rPr>
                <w:noProof/>
                <w:webHidden/>
              </w:rPr>
            </w:r>
            <w:r>
              <w:rPr>
                <w:noProof/>
                <w:webHidden/>
              </w:rPr>
              <w:fldChar w:fldCharType="separate"/>
            </w:r>
            <w:r>
              <w:rPr>
                <w:noProof/>
                <w:webHidden/>
              </w:rPr>
              <w:t>50</w:t>
            </w:r>
            <w:r>
              <w:rPr>
                <w:noProof/>
                <w:webHidden/>
              </w:rPr>
              <w:fldChar w:fldCharType="end"/>
            </w:r>
          </w:hyperlink>
        </w:p>
        <w:p w14:paraId="16435FE7" w14:textId="2B6AACFA"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73" w:history="1">
            <w:r w:rsidRPr="00B33F5F">
              <w:rPr>
                <w:rStyle w:val="Lienhypertexte"/>
              </w:rPr>
              <w:t>6.6</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la péréquation financière intercommunale (LPFI)</w:t>
            </w:r>
            <w:r>
              <w:rPr>
                <w:webHidden/>
              </w:rPr>
              <w:tab/>
            </w:r>
            <w:r>
              <w:rPr>
                <w:webHidden/>
              </w:rPr>
              <w:fldChar w:fldCharType="begin"/>
            </w:r>
            <w:r>
              <w:rPr>
                <w:webHidden/>
              </w:rPr>
              <w:instrText xml:space="preserve"> PAGEREF _Toc195715373 \h </w:instrText>
            </w:r>
            <w:r>
              <w:rPr>
                <w:webHidden/>
              </w:rPr>
            </w:r>
            <w:r>
              <w:rPr>
                <w:webHidden/>
              </w:rPr>
              <w:fldChar w:fldCharType="separate"/>
            </w:r>
            <w:r>
              <w:rPr>
                <w:webHidden/>
              </w:rPr>
              <w:t>50</w:t>
            </w:r>
            <w:r>
              <w:rPr>
                <w:webHidden/>
              </w:rPr>
              <w:fldChar w:fldCharType="end"/>
            </w:r>
          </w:hyperlink>
        </w:p>
        <w:p w14:paraId="31C2CC87" w14:textId="07A8B77A"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4" w:history="1">
            <w:r w:rsidRPr="00B33F5F">
              <w:rPr>
                <w:rStyle w:val="Lienhypertexte"/>
                <w:noProof/>
              </w:rPr>
              <w:t>6.6.1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_Toc195715374 \h </w:instrText>
            </w:r>
            <w:r>
              <w:rPr>
                <w:noProof/>
                <w:webHidden/>
              </w:rPr>
            </w:r>
            <w:r>
              <w:rPr>
                <w:noProof/>
                <w:webHidden/>
              </w:rPr>
              <w:fldChar w:fldCharType="separate"/>
            </w:r>
            <w:r>
              <w:rPr>
                <w:noProof/>
                <w:webHidden/>
              </w:rPr>
              <w:t>50</w:t>
            </w:r>
            <w:r>
              <w:rPr>
                <w:noProof/>
                <w:webHidden/>
              </w:rPr>
              <w:fldChar w:fldCharType="end"/>
            </w:r>
          </w:hyperlink>
        </w:p>
        <w:p w14:paraId="192D25F2" w14:textId="0F1D2E12"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5" w:history="1">
            <w:r w:rsidRPr="00B33F5F">
              <w:rPr>
                <w:rStyle w:val="Lienhypertexte"/>
                <w:noProof/>
              </w:rPr>
              <w:t>6.6.2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_Toc195715375 \h </w:instrText>
            </w:r>
            <w:r>
              <w:rPr>
                <w:noProof/>
                <w:webHidden/>
              </w:rPr>
            </w:r>
            <w:r>
              <w:rPr>
                <w:noProof/>
                <w:webHidden/>
              </w:rPr>
              <w:fldChar w:fldCharType="separate"/>
            </w:r>
            <w:r>
              <w:rPr>
                <w:noProof/>
                <w:webHidden/>
              </w:rPr>
              <w:t>50</w:t>
            </w:r>
            <w:r>
              <w:rPr>
                <w:noProof/>
                <w:webHidden/>
              </w:rPr>
              <w:fldChar w:fldCharType="end"/>
            </w:r>
          </w:hyperlink>
        </w:p>
        <w:p w14:paraId="741572A7" w14:textId="220BD512"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76" w:history="1">
            <w:r w:rsidRPr="00B33F5F">
              <w:rPr>
                <w:rStyle w:val="Lienhypertexte"/>
              </w:rPr>
              <w:t>6.7</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l’aide au recouvrement et l’avance de contributions d’entretien (LARACE)</w:t>
            </w:r>
            <w:r>
              <w:rPr>
                <w:webHidden/>
              </w:rPr>
              <w:tab/>
            </w:r>
            <w:r>
              <w:rPr>
                <w:webHidden/>
              </w:rPr>
              <w:fldChar w:fldCharType="begin"/>
            </w:r>
            <w:r>
              <w:rPr>
                <w:webHidden/>
              </w:rPr>
              <w:instrText xml:space="preserve"> PAGEREF _Toc195715376 \h </w:instrText>
            </w:r>
            <w:r>
              <w:rPr>
                <w:webHidden/>
              </w:rPr>
            </w:r>
            <w:r>
              <w:rPr>
                <w:webHidden/>
              </w:rPr>
              <w:fldChar w:fldCharType="separate"/>
            </w:r>
            <w:r>
              <w:rPr>
                <w:webHidden/>
              </w:rPr>
              <w:t>51</w:t>
            </w:r>
            <w:r>
              <w:rPr>
                <w:webHidden/>
              </w:rPr>
              <w:fldChar w:fldCharType="end"/>
            </w:r>
          </w:hyperlink>
        </w:p>
        <w:p w14:paraId="75DC6448" w14:textId="5C52C09E"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7" w:history="1">
            <w:r w:rsidRPr="00B33F5F">
              <w:rPr>
                <w:rStyle w:val="Lienhypertexte"/>
                <w:noProof/>
              </w:rPr>
              <w:t>6.7.1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_Toc195715377 \h </w:instrText>
            </w:r>
            <w:r>
              <w:rPr>
                <w:noProof/>
                <w:webHidden/>
              </w:rPr>
            </w:r>
            <w:r>
              <w:rPr>
                <w:noProof/>
                <w:webHidden/>
              </w:rPr>
              <w:fldChar w:fldCharType="separate"/>
            </w:r>
            <w:r>
              <w:rPr>
                <w:noProof/>
                <w:webHidden/>
              </w:rPr>
              <w:t>51</w:t>
            </w:r>
            <w:r>
              <w:rPr>
                <w:noProof/>
                <w:webHidden/>
              </w:rPr>
              <w:fldChar w:fldCharType="end"/>
            </w:r>
          </w:hyperlink>
        </w:p>
        <w:p w14:paraId="2300027D" w14:textId="4C84CBC6"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8" w:history="1">
            <w:r w:rsidRPr="00B33F5F">
              <w:rPr>
                <w:rStyle w:val="Lienhypertexte"/>
                <w:noProof/>
              </w:rPr>
              <w:t>6.7.2</w:t>
            </w:r>
            <w:r>
              <w:rPr>
                <w:rFonts w:asciiTheme="minorHAnsi" w:eastAsiaTheme="minorEastAsia" w:hAnsiTheme="minorHAnsi"/>
                <w:noProof/>
                <w:kern w:val="2"/>
                <w:sz w:val="24"/>
                <w:szCs w:val="24"/>
                <w:lang w:eastAsia="fr-CH"/>
                <w14:ligatures w14:val="standardContextual"/>
              </w:rPr>
              <w:tab/>
            </w:r>
            <w:r w:rsidRPr="00B33F5F">
              <w:rPr>
                <w:rStyle w:val="Lienhypertexte"/>
                <w:noProof/>
              </w:rPr>
              <w:t>Estimations financières détaillées</w:t>
            </w:r>
            <w:r>
              <w:rPr>
                <w:noProof/>
                <w:webHidden/>
              </w:rPr>
              <w:tab/>
            </w:r>
            <w:r>
              <w:rPr>
                <w:noProof/>
                <w:webHidden/>
              </w:rPr>
              <w:fldChar w:fldCharType="begin"/>
            </w:r>
            <w:r>
              <w:rPr>
                <w:noProof/>
                <w:webHidden/>
              </w:rPr>
              <w:instrText xml:space="preserve"> PAGEREF _Toc195715378 \h </w:instrText>
            </w:r>
            <w:r>
              <w:rPr>
                <w:noProof/>
                <w:webHidden/>
              </w:rPr>
            </w:r>
            <w:r>
              <w:rPr>
                <w:noProof/>
                <w:webHidden/>
              </w:rPr>
              <w:fldChar w:fldCharType="separate"/>
            </w:r>
            <w:r>
              <w:rPr>
                <w:noProof/>
                <w:webHidden/>
              </w:rPr>
              <w:t>51</w:t>
            </w:r>
            <w:r>
              <w:rPr>
                <w:noProof/>
                <w:webHidden/>
              </w:rPr>
              <w:fldChar w:fldCharType="end"/>
            </w:r>
          </w:hyperlink>
        </w:p>
        <w:p w14:paraId="526C3147" w14:textId="699E29F0"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79" w:history="1">
            <w:r w:rsidRPr="00B33F5F">
              <w:rPr>
                <w:rStyle w:val="Lienhypertexte"/>
                <w:noProof/>
              </w:rPr>
              <w:t>6.7.3</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_Toc195715379 \h </w:instrText>
            </w:r>
            <w:r>
              <w:rPr>
                <w:noProof/>
                <w:webHidden/>
              </w:rPr>
            </w:r>
            <w:r>
              <w:rPr>
                <w:noProof/>
                <w:webHidden/>
              </w:rPr>
              <w:fldChar w:fldCharType="separate"/>
            </w:r>
            <w:r>
              <w:rPr>
                <w:noProof/>
                <w:webHidden/>
              </w:rPr>
              <w:t>51</w:t>
            </w:r>
            <w:r>
              <w:rPr>
                <w:noProof/>
                <w:webHidden/>
              </w:rPr>
              <w:fldChar w:fldCharType="end"/>
            </w:r>
          </w:hyperlink>
        </w:p>
        <w:p w14:paraId="1BAB4FA8" w14:textId="3F623149"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80" w:history="1">
            <w:r w:rsidRPr="00B33F5F">
              <w:rPr>
                <w:rStyle w:val="Lienhypertexte"/>
              </w:rPr>
              <w:t>6.8</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relative aux subventions pour les constructions d’écoles enfantines, primaires et du cycle d’orientation</w:t>
            </w:r>
            <w:r>
              <w:rPr>
                <w:webHidden/>
              </w:rPr>
              <w:tab/>
            </w:r>
            <w:r>
              <w:rPr>
                <w:webHidden/>
              </w:rPr>
              <w:fldChar w:fldCharType="begin"/>
            </w:r>
            <w:r>
              <w:rPr>
                <w:webHidden/>
              </w:rPr>
              <w:instrText xml:space="preserve"> PAGEREF _Toc195715380 \h </w:instrText>
            </w:r>
            <w:r>
              <w:rPr>
                <w:webHidden/>
              </w:rPr>
            </w:r>
            <w:r>
              <w:rPr>
                <w:webHidden/>
              </w:rPr>
              <w:fldChar w:fldCharType="separate"/>
            </w:r>
            <w:r>
              <w:rPr>
                <w:webHidden/>
              </w:rPr>
              <w:t>51</w:t>
            </w:r>
            <w:r>
              <w:rPr>
                <w:webHidden/>
              </w:rPr>
              <w:fldChar w:fldCharType="end"/>
            </w:r>
          </w:hyperlink>
        </w:p>
        <w:p w14:paraId="161B91DD" w14:textId="7C436895"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81" w:history="1">
            <w:r w:rsidRPr="00B33F5F">
              <w:rPr>
                <w:rStyle w:val="Lienhypertexte"/>
                <w:noProof/>
              </w:rPr>
              <w:t>6.8.1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_Toc195715381 \h </w:instrText>
            </w:r>
            <w:r>
              <w:rPr>
                <w:noProof/>
                <w:webHidden/>
              </w:rPr>
            </w:r>
            <w:r>
              <w:rPr>
                <w:noProof/>
                <w:webHidden/>
              </w:rPr>
              <w:fldChar w:fldCharType="separate"/>
            </w:r>
            <w:r>
              <w:rPr>
                <w:noProof/>
                <w:webHidden/>
              </w:rPr>
              <w:t>51</w:t>
            </w:r>
            <w:r>
              <w:rPr>
                <w:noProof/>
                <w:webHidden/>
              </w:rPr>
              <w:fldChar w:fldCharType="end"/>
            </w:r>
          </w:hyperlink>
        </w:p>
        <w:p w14:paraId="3AB776BF" w14:textId="736D59DB"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82" w:history="1">
            <w:r w:rsidRPr="00B33F5F">
              <w:rPr>
                <w:rStyle w:val="Lienhypertexte"/>
                <w:noProof/>
              </w:rPr>
              <w:t>6.8.2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_Toc195715382 \h </w:instrText>
            </w:r>
            <w:r>
              <w:rPr>
                <w:noProof/>
                <w:webHidden/>
              </w:rPr>
            </w:r>
            <w:r>
              <w:rPr>
                <w:noProof/>
                <w:webHidden/>
              </w:rPr>
              <w:fldChar w:fldCharType="separate"/>
            </w:r>
            <w:r>
              <w:rPr>
                <w:noProof/>
                <w:webHidden/>
              </w:rPr>
              <w:t>51</w:t>
            </w:r>
            <w:r>
              <w:rPr>
                <w:noProof/>
                <w:webHidden/>
              </w:rPr>
              <w:fldChar w:fldCharType="end"/>
            </w:r>
          </w:hyperlink>
        </w:p>
        <w:p w14:paraId="2B533E5A" w14:textId="151498B1"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83" w:history="1">
            <w:r w:rsidRPr="00B33F5F">
              <w:rPr>
                <w:rStyle w:val="Lienhypertexte"/>
              </w:rPr>
              <w:t>6.9</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les impôts cantonaux directs (LICD)</w:t>
            </w:r>
            <w:r>
              <w:rPr>
                <w:webHidden/>
              </w:rPr>
              <w:tab/>
            </w:r>
            <w:r>
              <w:rPr>
                <w:webHidden/>
              </w:rPr>
              <w:fldChar w:fldCharType="begin"/>
            </w:r>
            <w:r>
              <w:rPr>
                <w:webHidden/>
              </w:rPr>
              <w:instrText xml:space="preserve"> PAGEREF _Toc195715383 \h </w:instrText>
            </w:r>
            <w:r>
              <w:rPr>
                <w:webHidden/>
              </w:rPr>
            </w:r>
            <w:r>
              <w:rPr>
                <w:webHidden/>
              </w:rPr>
              <w:fldChar w:fldCharType="separate"/>
            </w:r>
            <w:r>
              <w:rPr>
                <w:webHidden/>
              </w:rPr>
              <w:t>52</w:t>
            </w:r>
            <w:r>
              <w:rPr>
                <w:webHidden/>
              </w:rPr>
              <w:fldChar w:fldCharType="end"/>
            </w:r>
          </w:hyperlink>
        </w:p>
        <w:p w14:paraId="338BC8AE" w14:textId="30075D53"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84" w:history="1">
            <w:r w:rsidRPr="00B33F5F">
              <w:rPr>
                <w:rStyle w:val="Lienhypertexte"/>
                <w:noProof/>
              </w:rPr>
              <w:t>6.9.1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_Toc195715384 \h </w:instrText>
            </w:r>
            <w:r>
              <w:rPr>
                <w:noProof/>
                <w:webHidden/>
              </w:rPr>
            </w:r>
            <w:r>
              <w:rPr>
                <w:noProof/>
                <w:webHidden/>
              </w:rPr>
              <w:fldChar w:fldCharType="separate"/>
            </w:r>
            <w:r>
              <w:rPr>
                <w:noProof/>
                <w:webHidden/>
              </w:rPr>
              <w:t>52</w:t>
            </w:r>
            <w:r>
              <w:rPr>
                <w:noProof/>
                <w:webHidden/>
              </w:rPr>
              <w:fldChar w:fldCharType="end"/>
            </w:r>
          </w:hyperlink>
        </w:p>
        <w:p w14:paraId="149E87B7" w14:textId="3D8CFA12"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85" w:history="1">
            <w:r w:rsidRPr="00B33F5F">
              <w:rPr>
                <w:rStyle w:val="Lienhypertexte"/>
                <w:noProof/>
              </w:rPr>
              <w:t>6.9.2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_Toc195715385 \h </w:instrText>
            </w:r>
            <w:r>
              <w:rPr>
                <w:noProof/>
                <w:webHidden/>
              </w:rPr>
            </w:r>
            <w:r>
              <w:rPr>
                <w:noProof/>
                <w:webHidden/>
              </w:rPr>
              <w:fldChar w:fldCharType="separate"/>
            </w:r>
            <w:r>
              <w:rPr>
                <w:noProof/>
                <w:webHidden/>
              </w:rPr>
              <w:t>52</w:t>
            </w:r>
            <w:r>
              <w:rPr>
                <w:noProof/>
                <w:webHidden/>
              </w:rPr>
              <w:fldChar w:fldCharType="end"/>
            </w:r>
          </w:hyperlink>
        </w:p>
        <w:p w14:paraId="20C93C6B" w14:textId="43703BE5"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86" w:history="1">
            <w:r w:rsidRPr="00B33F5F">
              <w:rPr>
                <w:rStyle w:val="Lienhypertexte"/>
              </w:rPr>
              <w:t>6.10</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l’imposition des véhicules automobiles et des remorques (LIVAR)</w:t>
            </w:r>
            <w:r>
              <w:rPr>
                <w:webHidden/>
              </w:rPr>
              <w:tab/>
            </w:r>
            <w:r>
              <w:rPr>
                <w:webHidden/>
              </w:rPr>
              <w:fldChar w:fldCharType="begin"/>
            </w:r>
            <w:r>
              <w:rPr>
                <w:webHidden/>
              </w:rPr>
              <w:instrText xml:space="preserve"> PAGEREF _Toc195715386 \h </w:instrText>
            </w:r>
            <w:r>
              <w:rPr>
                <w:webHidden/>
              </w:rPr>
            </w:r>
            <w:r>
              <w:rPr>
                <w:webHidden/>
              </w:rPr>
              <w:fldChar w:fldCharType="separate"/>
            </w:r>
            <w:r>
              <w:rPr>
                <w:webHidden/>
              </w:rPr>
              <w:t>53</w:t>
            </w:r>
            <w:r>
              <w:rPr>
                <w:webHidden/>
              </w:rPr>
              <w:fldChar w:fldCharType="end"/>
            </w:r>
          </w:hyperlink>
        </w:p>
        <w:p w14:paraId="631F8C8A" w14:textId="01E01F66"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87" w:history="1">
            <w:r w:rsidRPr="00B33F5F">
              <w:rPr>
                <w:rStyle w:val="Lienhypertexte"/>
                <w:noProof/>
              </w:rPr>
              <w:t>6.10.1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_Toc195715387 \h </w:instrText>
            </w:r>
            <w:r>
              <w:rPr>
                <w:noProof/>
                <w:webHidden/>
              </w:rPr>
            </w:r>
            <w:r>
              <w:rPr>
                <w:noProof/>
                <w:webHidden/>
              </w:rPr>
              <w:fldChar w:fldCharType="separate"/>
            </w:r>
            <w:r>
              <w:rPr>
                <w:noProof/>
                <w:webHidden/>
              </w:rPr>
              <w:t>53</w:t>
            </w:r>
            <w:r>
              <w:rPr>
                <w:noProof/>
                <w:webHidden/>
              </w:rPr>
              <w:fldChar w:fldCharType="end"/>
            </w:r>
          </w:hyperlink>
        </w:p>
        <w:p w14:paraId="4C5F88C3" w14:textId="0017CBDF"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88" w:history="1">
            <w:r w:rsidRPr="00B33F5F">
              <w:rPr>
                <w:rStyle w:val="Lienhypertexte"/>
                <w:noProof/>
              </w:rPr>
              <w:t>6.10.2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_Toc195715388 \h </w:instrText>
            </w:r>
            <w:r>
              <w:rPr>
                <w:noProof/>
                <w:webHidden/>
              </w:rPr>
            </w:r>
            <w:r>
              <w:rPr>
                <w:noProof/>
                <w:webHidden/>
              </w:rPr>
              <w:fldChar w:fldCharType="separate"/>
            </w:r>
            <w:r>
              <w:rPr>
                <w:noProof/>
                <w:webHidden/>
              </w:rPr>
              <w:t>53</w:t>
            </w:r>
            <w:r>
              <w:rPr>
                <w:noProof/>
                <w:webHidden/>
              </w:rPr>
              <w:fldChar w:fldCharType="end"/>
            </w:r>
          </w:hyperlink>
        </w:p>
        <w:p w14:paraId="080E79A2" w14:textId="380D2FDD"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89" w:history="1">
            <w:r w:rsidRPr="00B33F5F">
              <w:rPr>
                <w:rStyle w:val="Lienhypertexte"/>
              </w:rPr>
              <w:t>6.11</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la mobilité (LMob)</w:t>
            </w:r>
            <w:r>
              <w:rPr>
                <w:webHidden/>
              </w:rPr>
              <w:tab/>
            </w:r>
            <w:r>
              <w:rPr>
                <w:webHidden/>
              </w:rPr>
              <w:fldChar w:fldCharType="begin"/>
            </w:r>
            <w:r>
              <w:rPr>
                <w:webHidden/>
              </w:rPr>
              <w:instrText xml:space="preserve"> PAGEREF _Toc195715389 \h </w:instrText>
            </w:r>
            <w:r>
              <w:rPr>
                <w:webHidden/>
              </w:rPr>
            </w:r>
            <w:r>
              <w:rPr>
                <w:webHidden/>
              </w:rPr>
              <w:fldChar w:fldCharType="separate"/>
            </w:r>
            <w:r>
              <w:rPr>
                <w:webHidden/>
              </w:rPr>
              <w:t>53</w:t>
            </w:r>
            <w:r>
              <w:rPr>
                <w:webHidden/>
              </w:rPr>
              <w:fldChar w:fldCharType="end"/>
            </w:r>
          </w:hyperlink>
        </w:p>
        <w:p w14:paraId="2E5CF8B2" w14:textId="18A866D6"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0" w:history="1">
            <w:r w:rsidRPr="00B33F5F">
              <w:rPr>
                <w:rStyle w:val="Lienhypertexte"/>
                <w:noProof/>
              </w:rPr>
              <w:t>6.11.1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_Toc195715390 \h </w:instrText>
            </w:r>
            <w:r>
              <w:rPr>
                <w:noProof/>
                <w:webHidden/>
              </w:rPr>
            </w:r>
            <w:r>
              <w:rPr>
                <w:noProof/>
                <w:webHidden/>
              </w:rPr>
              <w:fldChar w:fldCharType="separate"/>
            </w:r>
            <w:r>
              <w:rPr>
                <w:noProof/>
                <w:webHidden/>
              </w:rPr>
              <w:t>53</w:t>
            </w:r>
            <w:r>
              <w:rPr>
                <w:noProof/>
                <w:webHidden/>
              </w:rPr>
              <w:fldChar w:fldCharType="end"/>
            </w:r>
          </w:hyperlink>
        </w:p>
        <w:p w14:paraId="3FBD8B06" w14:textId="7B2ECAE6"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1" w:history="1">
            <w:r w:rsidRPr="00B33F5F">
              <w:rPr>
                <w:rStyle w:val="Lienhypertexte"/>
                <w:noProof/>
              </w:rPr>
              <w:t>6.11.2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_Toc195715391 \h </w:instrText>
            </w:r>
            <w:r>
              <w:rPr>
                <w:noProof/>
                <w:webHidden/>
              </w:rPr>
            </w:r>
            <w:r>
              <w:rPr>
                <w:noProof/>
                <w:webHidden/>
              </w:rPr>
              <w:fldChar w:fldCharType="separate"/>
            </w:r>
            <w:r>
              <w:rPr>
                <w:noProof/>
                <w:webHidden/>
              </w:rPr>
              <w:t>54</w:t>
            </w:r>
            <w:r>
              <w:rPr>
                <w:noProof/>
                <w:webHidden/>
              </w:rPr>
              <w:fldChar w:fldCharType="end"/>
            </w:r>
          </w:hyperlink>
        </w:p>
        <w:p w14:paraId="658B2E28" w14:textId="6D14763D"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92" w:history="1">
            <w:r w:rsidRPr="00B33F5F">
              <w:rPr>
                <w:rStyle w:val="Lienhypertexte"/>
              </w:rPr>
              <w:t>6.12</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les prestations médico-sociales (LPMS)</w:t>
            </w:r>
            <w:r>
              <w:rPr>
                <w:webHidden/>
              </w:rPr>
              <w:tab/>
            </w:r>
            <w:r>
              <w:rPr>
                <w:webHidden/>
              </w:rPr>
              <w:fldChar w:fldCharType="begin"/>
            </w:r>
            <w:r>
              <w:rPr>
                <w:webHidden/>
              </w:rPr>
              <w:instrText xml:space="preserve"> PAGEREF _Toc195715392 \h </w:instrText>
            </w:r>
            <w:r>
              <w:rPr>
                <w:webHidden/>
              </w:rPr>
            </w:r>
            <w:r>
              <w:rPr>
                <w:webHidden/>
              </w:rPr>
              <w:fldChar w:fldCharType="separate"/>
            </w:r>
            <w:r>
              <w:rPr>
                <w:webHidden/>
              </w:rPr>
              <w:t>54</w:t>
            </w:r>
            <w:r>
              <w:rPr>
                <w:webHidden/>
              </w:rPr>
              <w:fldChar w:fldCharType="end"/>
            </w:r>
          </w:hyperlink>
        </w:p>
        <w:p w14:paraId="2776B197" w14:textId="5EBE6E73"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3" w:history="1">
            <w:r w:rsidRPr="00B33F5F">
              <w:rPr>
                <w:rStyle w:val="Lienhypertexte"/>
                <w:noProof/>
              </w:rPr>
              <w:t>6.12.1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_Toc195715393 \h </w:instrText>
            </w:r>
            <w:r>
              <w:rPr>
                <w:noProof/>
                <w:webHidden/>
              </w:rPr>
            </w:r>
            <w:r>
              <w:rPr>
                <w:noProof/>
                <w:webHidden/>
              </w:rPr>
              <w:fldChar w:fldCharType="separate"/>
            </w:r>
            <w:r>
              <w:rPr>
                <w:noProof/>
                <w:webHidden/>
              </w:rPr>
              <w:t>54</w:t>
            </w:r>
            <w:r>
              <w:rPr>
                <w:noProof/>
                <w:webHidden/>
              </w:rPr>
              <w:fldChar w:fldCharType="end"/>
            </w:r>
          </w:hyperlink>
        </w:p>
        <w:p w14:paraId="0F87A767" w14:textId="6E80B155"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4" w:history="1">
            <w:r w:rsidRPr="00B33F5F">
              <w:rPr>
                <w:rStyle w:val="Lienhypertexte"/>
                <w:noProof/>
              </w:rPr>
              <w:t>6.12.2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_Toc195715394 \h </w:instrText>
            </w:r>
            <w:r>
              <w:rPr>
                <w:noProof/>
                <w:webHidden/>
              </w:rPr>
            </w:r>
            <w:r>
              <w:rPr>
                <w:noProof/>
                <w:webHidden/>
              </w:rPr>
              <w:fldChar w:fldCharType="separate"/>
            </w:r>
            <w:r>
              <w:rPr>
                <w:noProof/>
                <w:webHidden/>
              </w:rPr>
              <w:t>55</w:t>
            </w:r>
            <w:r>
              <w:rPr>
                <w:noProof/>
                <w:webHidden/>
              </w:rPr>
              <w:fldChar w:fldCharType="end"/>
            </w:r>
          </w:hyperlink>
        </w:p>
        <w:p w14:paraId="622DE113" w14:textId="4E83021C"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95" w:history="1">
            <w:r w:rsidRPr="00B33F5F">
              <w:rPr>
                <w:rStyle w:val="Lienhypertexte"/>
              </w:rPr>
              <w:t>6.13</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d’application de la loi fédérale sur le nouveau régime de financement des soins</w:t>
            </w:r>
            <w:r>
              <w:rPr>
                <w:webHidden/>
              </w:rPr>
              <w:tab/>
            </w:r>
            <w:r>
              <w:rPr>
                <w:webHidden/>
              </w:rPr>
              <w:fldChar w:fldCharType="begin"/>
            </w:r>
            <w:r>
              <w:rPr>
                <w:webHidden/>
              </w:rPr>
              <w:instrText xml:space="preserve"> PAGEREF _Toc195715395 \h </w:instrText>
            </w:r>
            <w:r>
              <w:rPr>
                <w:webHidden/>
              </w:rPr>
            </w:r>
            <w:r>
              <w:rPr>
                <w:webHidden/>
              </w:rPr>
              <w:fldChar w:fldCharType="separate"/>
            </w:r>
            <w:r>
              <w:rPr>
                <w:webHidden/>
              </w:rPr>
              <w:t>55</w:t>
            </w:r>
            <w:r>
              <w:rPr>
                <w:webHidden/>
              </w:rPr>
              <w:fldChar w:fldCharType="end"/>
            </w:r>
          </w:hyperlink>
        </w:p>
        <w:p w14:paraId="15207AC2" w14:textId="60B23093"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6" w:history="1">
            <w:r w:rsidRPr="00B33F5F">
              <w:rPr>
                <w:rStyle w:val="Lienhypertexte"/>
                <w:noProof/>
              </w:rPr>
              <w:t>6.13.1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_Toc195715396 \h </w:instrText>
            </w:r>
            <w:r>
              <w:rPr>
                <w:noProof/>
                <w:webHidden/>
              </w:rPr>
            </w:r>
            <w:r>
              <w:rPr>
                <w:noProof/>
                <w:webHidden/>
              </w:rPr>
              <w:fldChar w:fldCharType="separate"/>
            </w:r>
            <w:r>
              <w:rPr>
                <w:noProof/>
                <w:webHidden/>
              </w:rPr>
              <w:t>55</w:t>
            </w:r>
            <w:r>
              <w:rPr>
                <w:noProof/>
                <w:webHidden/>
              </w:rPr>
              <w:fldChar w:fldCharType="end"/>
            </w:r>
          </w:hyperlink>
        </w:p>
        <w:p w14:paraId="1A122AB0" w14:textId="5061C53B"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7" w:history="1">
            <w:r w:rsidRPr="00B33F5F">
              <w:rPr>
                <w:rStyle w:val="Lienhypertexte"/>
                <w:noProof/>
              </w:rPr>
              <w:t>6.13.2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_Toc195715397 \h </w:instrText>
            </w:r>
            <w:r>
              <w:rPr>
                <w:noProof/>
                <w:webHidden/>
              </w:rPr>
            </w:r>
            <w:r>
              <w:rPr>
                <w:noProof/>
                <w:webHidden/>
              </w:rPr>
              <w:fldChar w:fldCharType="separate"/>
            </w:r>
            <w:r>
              <w:rPr>
                <w:noProof/>
                <w:webHidden/>
              </w:rPr>
              <w:t>56</w:t>
            </w:r>
            <w:r>
              <w:rPr>
                <w:noProof/>
                <w:webHidden/>
              </w:rPr>
              <w:fldChar w:fldCharType="end"/>
            </w:r>
          </w:hyperlink>
        </w:p>
        <w:p w14:paraId="45FC5CFB" w14:textId="3E7FAA29"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398" w:history="1">
            <w:r w:rsidRPr="00B33F5F">
              <w:rPr>
                <w:rStyle w:val="Lienhypertexte"/>
              </w:rPr>
              <w:t>6.14</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l’aide sociale (LASoc)</w:t>
            </w:r>
            <w:r>
              <w:rPr>
                <w:webHidden/>
              </w:rPr>
              <w:tab/>
            </w:r>
            <w:r>
              <w:rPr>
                <w:webHidden/>
              </w:rPr>
              <w:fldChar w:fldCharType="begin"/>
            </w:r>
            <w:r>
              <w:rPr>
                <w:webHidden/>
              </w:rPr>
              <w:instrText xml:space="preserve"> PAGEREF _Toc195715398 \h </w:instrText>
            </w:r>
            <w:r>
              <w:rPr>
                <w:webHidden/>
              </w:rPr>
            </w:r>
            <w:r>
              <w:rPr>
                <w:webHidden/>
              </w:rPr>
              <w:fldChar w:fldCharType="separate"/>
            </w:r>
            <w:r>
              <w:rPr>
                <w:webHidden/>
              </w:rPr>
              <w:t>56</w:t>
            </w:r>
            <w:r>
              <w:rPr>
                <w:webHidden/>
              </w:rPr>
              <w:fldChar w:fldCharType="end"/>
            </w:r>
          </w:hyperlink>
        </w:p>
        <w:p w14:paraId="7D87E81D" w14:textId="4E1FA0E2"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399" w:history="1">
            <w:r w:rsidRPr="00B33F5F">
              <w:rPr>
                <w:rStyle w:val="Lienhypertexte"/>
                <w:noProof/>
              </w:rPr>
              <w:t>6.14.1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_Toc195715399 \h </w:instrText>
            </w:r>
            <w:r>
              <w:rPr>
                <w:noProof/>
                <w:webHidden/>
              </w:rPr>
            </w:r>
            <w:r>
              <w:rPr>
                <w:noProof/>
                <w:webHidden/>
              </w:rPr>
              <w:fldChar w:fldCharType="separate"/>
            </w:r>
            <w:r>
              <w:rPr>
                <w:noProof/>
                <w:webHidden/>
              </w:rPr>
              <w:t>56</w:t>
            </w:r>
            <w:r>
              <w:rPr>
                <w:noProof/>
                <w:webHidden/>
              </w:rPr>
              <w:fldChar w:fldCharType="end"/>
            </w:r>
          </w:hyperlink>
        </w:p>
        <w:p w14:paraId="61E0A60E" w14:textId="7B783F15"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0" w:history="1">
            <w:r w:rsidRPr="00B33F5F">
              <w:rPr>
                <w:rStyle w:val="Lienhypertexte"/>
                <w:noProof/>
              </w:rPr>
              <w:t>6.14.2</w:t>
            </w:r>
            <w:r>
              <w:rPr>
                <w:rFonts w:asciiTheme="minorHAnsi" w:eastAsiaTheme="minorEastAsia" w:hAnsiTheme="minorHAnsi"/>
                <w:noProof/>
                <w:kern w:val="2"/>
                <w:sz w:val="24"/>
                <w:szCs w:val="24"/>
                <w:lang w:eastAsia="fr-CH"/>
                <w14:ligatures w14:val="standardContextual"/>
              </w:rPr>
              <w:tab/>
            </w:r>
            <w:r w:rsidRPr="00B33F5F">
              <w:rPr>
                <w:rStyle w:val="Lienhypertexte"/>
                <w:noProof/>
              </w:rPr>
              <w:t>Estimations financières détaillées</w:t>
            </w:r>
            <w:r>
              <w:rPr>
                <w:noProof/>
                <w:webHidden/>
              </w:rPr>
              <w:tab/>
            </w:r>
            <w:r>
              <w:rPr>
                <w:noProof/>
                <w:webHidden/>
              </w:rPr>
              <w:fldChar w:fldCharType="begin"/>
            </w:r>
            <w:r>
              <w:rPr>
                <w:noProof/>
                <w:webHidden/>
              </w:rPr>
              <w:instrText xml:space="preserve"> PAGEREF _Toc195715400 \h </w:instrText>
            </w:r>
            <w:r>
              <w:rPr>
                <w:noProof/>
                <w:webHidden/>
              </w:rPr>
            </w:r>
            <w:r>
              <w:rPr>
                <w:noProof/>
                <w:webHidden/>
              </w:rPr>
              <w:fldChar w:fldCharType="separate"/>
            </w:r>
            <w:r>
              <w:rPr>
                <w:noProof/>
                <w:webHidden/>
              </w:rPr>
              <w:t>56</w:t>
            </w:r>
            <w:r>
              <w:rPr>
                <w:noProof/>
                <w:webHidden/>
              </w:rPr>
              <w:fldChar w:fldCharType="end"/>
            </w:r>
          </w:hyperlink>
        </w:p>
        <w:p w14:paraId="024F5B4E" w14:textId="2821D4DB"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1" w:history="1">
            <w:r w:rsidRPr="00B33F5F">
              <w:rPr>
                <w:rStyle w:val="Lienhypertexte"/>
                <w:noProof/>
              </w:rPr>
              <w:t>6.14.3</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_Toc195715401 \h </w:instrText>
            </w:r>
            <w:r>
              <w:rPr>
                <w:noProof/>
                <w:webHidden/>
              </w:rPr>
            </w:r>
            <w:r>
              <w:rPr>
                <w:noProof/>
                <w:webHidden/>
              </w:rPr>
              <w:fldChar w:fldCharType="separate"/>
            </w:r>
            <w:r>
              <w:rPr>
                <w:noProof/>
                <w:webHidden/>
              </w:rPr>
              <w:t>56</w:t>
            </w:r>
            <w:r>
              <w:rPr>
                <w:noProof/>
                <w:webHidden/>
              </w:rPr>
              <w:fldChar w:fldCharType="end"/>
            </w:r>
          </w:hyperlink>
        </w:p>
        <w:p w14:paraId="396E683F" w14:textId="39A9944D"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02" w:history="1">
            <w:r w:rsidRPr="00B33F5F">
              <w:rPr>
                <w:rStyle w:val="Lienhypertexte"/>
              </w:rPr>
              <w:t>6.15</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les institutions spécialisées et les familles d’accueil professionnelles (LIFAP)</w:t>
            </w:r>
            <w:r>
              <w:rPr>
                <w:webHidden/>
              </w:rPr>
              <w:tab/>
            </w:r>
            <w:r>
              <w:rPr>
                <w:webHidden/>
              </w:rPr>
              <w:fldChar w:fldCharType="begin"/>
            </w:r>
            <w:r>
              <w:rPr>
                <w:webHidden/>
              </w:rPr>
              <w:instrText xml:space="preserve"> PAGEREF _Toc195715402 \h </w:instrText>
            </w:r>
            <w:r>
              <w:rPr>
                <w:webHidden/>
              </w:rPr>
            </w:r>
            <w:r>
              <w:rPr>
                <w:webHidden/>
              </w:rPr>
              <w:fldChar w:fldCharType="separate"/>
            </w:r>
            <w:r>
              <w:rPr>
                <w:webHidden/>
              </w:rPr>
              <w:t>56</w:t>
            </w:r>
            <w:r>
              <w:rPr>
                <w:webHidden/>
              </w:rPr>
              <w:fldChar w:fldCharType="end"/>
            </w:r>
          </w:hyperlink>
        </w:p>
        <w:p w14:paraId="5BA21978" w14:textId="1A3915D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3" w:history="1">
            <w:r w:rsidRPr="00B33F5F">
              <w:rPr>
                <w:rStyle w:val="Lienhypertexte"/>
                <w:noProof/>
              </w:rPr>
              <w:t>6.15.1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_Toc195715403 \h </w:instrText>
            </w:r>
            <w:r>
              <w:rPr>
                <w:noProof/>
                <w:webHidden/>
              </w:rPr>
            </w:r>
            <w:r>
              <w:rPr>
                <w:noProof/>
                <w:webHidden/>
              </w:rPr>
              <w:fldChar w:fldCharType="separate"/>
            </w:r>
            <w:r>
              <w:rPr>
                <w:noProof/>
                <w:webHidden/>
              </w:rPr>
              <w:t>56</w:t>
            </w:r>
            <w:r>
              <w:rPr>
                <w:noProof/>
                <w:webHidden/>
              </w:rPr>
              <w:fldChar w:fldCharType="end"/>
            </w:r>
          </w:hyperlink>
        </w:p>
        <w:p w14:paraId="74B8069A" w14:textId="4430134C"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4" w:history="1">
            <w:r w:rsidRPr="00B33F5F">
              <w:rPr>
                <w:rStyle w:val="Lienhypertexte"/>
                <w:noProof/>
              </w:rPr>
              <w:t>6.15.2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_Toc195715404 \h </w:instrText>
            </w:r>
            <w:r>
              <w:rPr>
                <w:noProof/>
                <w:webHidden/>
              </w:rPr>
            </w:r>
            <w:r>
              <w:rPr>
                <w:noProof/>
                <w:webHidden/>
              </w:rPr>
              <w:fldChar w:fldCharType="separate"/>
            </w:r>
            <w:r>
              <w:rPr>
                <w:noProof/>
                <w:webHidden/>
              </w:rPr>
              <w:t>57</w:t>
            </w:r>
            <w:r>
              <w:rPr>
                <w:noProof/>
                <w:webHidden/>
              </w:rPr>
              <w:fldChar w:fldCharType="end"/>
            </w:r>
          </w:hyperlink>
        </w:p>
        <w:p w14:paraId="52E2455E" w14:textId="03E672B2"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05" w:history="1">
            <w:r w:rsidRPr="00B33F5F">
              <w:rPr>
                <w:rStyle w:val="Lienhypertexte"/>
              </w:rPr>
              <w:t>6.16</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les structures d’accueil extrafamilial de jour (LStE)</w:t>
            </w:r>
            <w:r>
              <w:rPr>
                <w:webHidden/>
              </w:rPr>
              <w:tab/>
            </w:r>
            <w:r>
              <w:rPr>
                <w:webHidden/>
              </w:rPr>
              <w:fldChar w:fldCharType="begin"/>
            </w:r>
            <w:r>
              <w:rPr>
                <w:webHidden/>
              </w:rPr>
              <w:instrText xml:space="preserve"> PAGEREF _Toc195715405 \h </w:instrText>
            </w:r>
            <w:r>
              <w:rPr>
                <w:webHidden/>
              </w:rPr>
            </w:r>
            <w:r>
              <w:rPr>
                <w:webHidden/>
              </w:rPr>
              <w:fldChar w:fldCharType="separate"/>
            </w:r>
            <w:r>
              <w:rPr>
                <w:webHidden/>
              </w:rPr>
              <w:t>57</w:t>
            </w:r>
            <w:r>
              <w:rPr>
                <w:webHidden/>
              </w:rPr>
              <w:fldChar w:fldCharType="end"/>
            </w:r>
          </w:hyperlink>
        </w:p>
        <w:p w14:paraId="4D8C1811" w14:textId="334C0CAC"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6" w:history="1">
            <w:r w:rsidRPr="00B33F5F">
              <w:rPr>
                <w:rStyle w:val="Lienhypertexte"/>
                <w:noProof/>
              </w:rPr>
              <w:t>6.16.1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_Toc195715406 \h </w:instrText>
            </w:r>
            <w:r>
              <w:rPr>
                <w:noProof/>
                <w:webHidden/>
              </w:rPr>
            </w:r>
            <w:r>
              <w:rPr>
                <w:noProof/>
                <w:webHidden/>
              </w:rPr>
              <w:fldChar w:fldCharType="separate"/>
            </w:r>
            <w:r>
              <w:rPr>
                <w:noProof/>
                <w:webHidden/>
              </w:rPr>
              <w:t>57</w:t>
            </w:r>
            <w:r>
              <w:rPr>
                <w:noProof/>
                <w:webHidden/>
              </w:rPr>
              <w:fldChar w:fldCharType="end"/>
            </w:r>
          </w:hyperlink>
        </w:p>
        <w:p w14:paraId="128413C1" w14:textId="4A6BDFA4"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7" w:history="1">
            <w:r w:rsidRPr="00B33F5F">
              <w:rPr>
                <w:rStyle w:val="Lienhypertexte"/>
                <w:noProof/>
              </w:rPr>
              <w:t>6.16.2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_Toc195715407 \h </w:instrText>
            </w:r>
            <w:r>
              <w:rPr>
                <w:noProof/>
                <w:webHidden/>
              </w:rPr>
            </w:r>
            <w:r>
              <w:rPr>
                <w:noProof/>
                <w:webHidden/>
              </w:rPr>
              <w:fldChar w:fldCharType="separate"/>
            </w:r>
            <w:r>
              <w:rPr>
                <w:noProof/>
                <w:webHidden/>
              </w:rPr>
              <w:t>58</w:t>
            </w:r>
            <w:r>
              <w:rPr>
                <w:noProof/>
                <w:webHidden/>
              </w:rPr>
              <w:fldChar w:fldCharType="end"/>
            </w:r>
          </w:hyperlink>
        </w:p>
        <w:p w14:paraId="6FF682D7" w14:textId="4F91B3E5"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08" w:history="1">
            <w:r w:rsidRPr="00B33F5F">
              <w:rPr>
                <w:rStyle w:val="Lienhypertexte"/>
              </w:rPr>
              <w:t>6.17</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les prestations complémentaires pour les familles (LPCFam)</w:t>
            </w:r>
            <w:r>
              <w:rPr>
                <w:webHidden/>
              </w:rPr>
              <w:tab/>
            </w:r>
            <w:r>
              <w:rPr>
                <w:webHidden/>
              </w:rPr>
              <w:fldChar w:fldCharType="begin"/>
            </w:r>
            <w:r>
              <w:rPr>
                <w:webHidden/>
              </w:rPr>
              <w:instrText xml:space="preserve"> PAGEREF _Toc195715408 \h </w:instrText>
            </w:r>
            <w:r>
              <w:rPr>
                <w:webHidden/>
              </w:rPr>
            </w:r>
            <w:r>
              <w:rPr>
                <w:webHidden/>
              </w:rPr>
              <w:fldChar w:fldCharType="separate"/>
            </w:r>
            <w:r>
              <w:rPr>
                <w:webHidden/>
              </w:rPr>
              <w:t>58</w:t>
            </w:r>
            <w:r>
              <w:rPr>
                <w:webHidden/>
              </w:rPr>
              <w:fldChar w:fldCharType="end"/>
            </w:r>
          </w:hyperlink>
        </w:p>
        <w:p w14:paraId="5F0666FE" w14:textId="1E58EE01"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09" w:history="1">
            <w:r w:rsidRPr="00B33F5F">
              <w:rPr>
                <w:rStyle w:val="Lienhypertexte"/>
                <w:noProof/>
              </w:rPr>
              <w:t>6.17.1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_Toc195715409 \h </w:instrText>
            </w:r>
            <w:r>
              <w:rPr>
                <w:noProof/>
                <w:webHidden/>
              </w:rPr>
            </w:r>
            <w:r>
              <w:rPr>
                <w:noProof/>
                <w:webHidden/>
              </w:rPr>
              <w:fldChar w:fldCharType="separate"/>
            </w:r>
            <w:r>
              <w:rPr>
                <w:noProof/>
                <w:webHidden/>
              </w:rPr>
              <w:t>58</w:t>
            </w:r>
            <w:r>
              <w:rPr>
                <w:noProof/>
                <w:webHidden/>
              </w:rPr>
              <w:fldChar w:fldCharType="end"/>
            </w:r>
          </w:hyperlink>
        </w:p>
        <w:p w14:paraId="13AA05E7" w14:textId="7179CED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10" w:history="1">
            <w:r w:rsidRPr="00B33F5F">
              <w:rPr>
                <w:rStyle w:val="Lienhypertexte"/>
                <w:noProof/>
              </w:rPr>
              <w:t>6.17.2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_Toc195715410 \h </w:instrText>
            </w:r>
            <w:r>
              <w:rPr>
                <w:noProof/>
                <w:webHidden/>
              </w:rPr>
            </w:r>
            <w:r>
              <w:rPr>
                <w:noProof/>
                <w:webHidden/>
              </w:rPr>
              <w:fldChar w:fldCharType="separate"/>
            </w:r>
            <w:r>
              <w:rPr>
                <w:noProof/>
                <w:webHidden/>
              </w:rPr>
              <w:t>58</w:t>
            </w:r>
            <w:r>
              <w:rPr>
                <w:noProof/>
                <w:webHidden/>
              </w:rPr>
              <w:fldChar w:fldCharType="end"/>
            </w:r>
          </w:hyperlink>
        </w:p>
        <w:p w14:paraId="7CB12A68" w14:textId="433E6AB4"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11" w:history="1">
            <w:r w:rsidRPr="00B33F5F">
              <w:rPr>
                <w:rStyle w:val="Lienhypertexte"/>
              </w:rPr>
              <w:t>6.18</w:t>
            </w:r>
            <w:r>
              <w:rPr>
                <w:rFonts w:asciiTheme="minorHAnsi" w:eastAsiaTheme="minorEastAsia" w:hAnsiTheme="minorHAnsi"/>
                <w:b w:val="0"/>
                <w:kern w:val="2"/>
                <w:sz w:val="24"/>
                <w:szCs w:val="24"/>
                <w:lang w:eastAsia="fr-CH"/>
                <w14:ligatures w14:val="standardContextual"/>
              </w:rPr>
              <w:tab/>
            </w:r>
            <w:r w:rsidRPr="00B33F5F">
              <w:rPr>
                <w:rStyle w:val="Lienhypertexte"/>
              </w:rPr>
              <w:t>La modification de la loi sur les prestations complémentaires à l’assurances vieillesses, survivants et invalidé</w:t>
            </w:r>
            <w:r>
              <w:rPr>
                <w:webHidden/>
              </w:rPr>
              <w:tab/>
            </w:r>
            <w:r>
              <w:rPr>
                <w:webHidden/>
              </w:rPr>
              <w:fldChar w:fldCharType="begin"/>
            </w:r>
            <w:r>
              <w:rPr>
                <w:webHidden/>
              </w:rPr>
              <w:instrText xml:space="preserve"> PAGEREF _Toc195715411 \h </w:instrText>
            </w:r>
            <w:r>
              <w:rPr>
                <w:webHidden/>
              </w:rPr>
            </w:r>
            <w:r>
              <w:rPr>
                <w:webHidden/>
              </w:rPr>
              <w:fldChar w:fldCharType="separate"/>
            </w:r>
            <w:r>
              <w:rPr>
                <w:webHidden/>
              </w:rPr>
              <w:t>58</w:t>
            </w:r>
            <w:r>
              <w:rPr>
                <w:webHidden/>
              </w:rPr>
              <w:fldChar w:fldCharType="end"/>
            </w:r>
          </w:hyperlink>
        </w:p>
        <w:p w14:paraId="33B4E087" w14:textId="35DBE43D"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12" w:history="1">
            <w:r w:rsidRPr="00B33F5F">
              <w:rPr>
                <w:rStyle w:val="Lienhypertexte"/>
                <w:noProof/>
              </w:rPr>
              <w:t>6.18.1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_Toc195715412 \h </w:instrText>
            </w:r>
            <w:r>
              <w:rPr>
                <w:noProof/>
                <w:webHidden/>
              </w:rPr>
            </w:r>
            <w:r>
              <w:rPr>
                <w:noProof/>
                <w:webHidden/>
              </w:rPr>
              <w:fldChar w:fldCharType="separate"/>
            </w:r>
            <w:r>
              <w:rPr>
                <w:noProof/>
                <w:webHidden/>
              </w:rPr>
              <w:t>58</w:t>
            </w:r>
            <w:r>
              <w:rPr>
                <w:noProof/>
                <w:webHidden/>
              </w:rPr>
              <w:fldChar w:fldCharType="end"/>
            </w:r>
          </w:hyperlink>
        </w:p>
        <w:p w14:paraId="3D16618D" w14:textId="0A8F12FB"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13" w:history="1">
            <w:r w:rsidRPr="00B33F5F">
              <w:rPr>
                <w:rStyle w:val="Lienhypertexte"/>
                <w:noProof/>
              </w:rPr>
              <w:t>6.18.2</w:t>
            </w:r>
            <w:r>
              <w:rPr>
                <w:rFonts w:asciiTheme="minorHAnsi" w:eastAsiaTheme="minorEastAsia" w:hAnsiTheme="minorHAnsi"/>
                <w:noProof/>
                <w:kern w:val="2"/>
                <w:sz w:val="24"/>
                <w:szCs w:val="24"/>
                <w:lang w:eastAsia="fr-CH"/>
                <w14:ligatures w14:val="standardContextual"/>
              </w:rPr>
              <w:tab/>
            </w:r>
            <w:r w:rsidRPr="00B33F5F">
              <w:rPr>
                <w:rStyle w:val="Lienhypertexte"/>
                <w:noProof/>
              </w:rPr>
              <w:t>Commentaires des articles de la modification légale</w:t>
            </w:r>
            <w:r>
              <w:rPr>
                <w:noProof/>
                <w:webHidden/>
              </w:rPr>
              <w:tab/>
            </w:r>
            <w:r>
              <w:rPr>
                <w:noProof/>
                <w:webHidden/>
              </w:rPr>
              <w:fldChar w:fldCharType="begin"/>
            </w:r>
            <w:r>
              <w:rPr>
                <w:noProof/>
                <w:webHidden/>
              </w:rPr>
              <w:instrText xml:space="preserve"> PAGEREF _Toc195715413 \h </w:instrText>
            </w:r>
            <w:r>
              <w:rPr>
                <w:noProof/>
                <w:webHidden/>
              </w:rPr>
            </w:r>
            <w:r>
              <w:rPr>
                <w:noProof/>
                <w:webHidden/>
              </w:rPr>
              <w:fldChar w:fldCharType="separate"/>
            </w:r>
            <w:r>
              <w:rPr>
                <w:noProof/>
                <w:webHidden/>
              </w:rPr>
              <w:t>59</w:t>
            </w:r>
            <w:r>
              <w:rPr>
                <w:noProof/>
                <w:webHidden/>
              </w:rPr>
              <w:fldChar w:fldCharType="end"/>
            </w:r>
          </w:hyperlink>
        </w:p>
        <w:p w14:paraId="1EA93524" w14:textId="1F71A813"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14" w:history="1">
            <w:r w:rsidRPr="00B33F5F">
              <w:rPr>
                <w:rStyle w:val="Lienhypertexte"/>
              </w:rPr>
              <w:t>6.19</w:t>
            </w:r>
            <w:r>
              <w:rPr>
                <w:rFonts w:asciiTheme="minorHAnsi" w:eastAsiaTheme="minorEastAsia" w:hAnsiTheme="minorHAnsi"/>
                <w:b w:val="0"/>
                <w:kern w:val="2"/>
                <w:sz w:val="24"/>
                <w:szCs w:val="24"/>
                <w:lang w:eastAsia="fr-CH"/>
                <w14:ligatures w14:val="standardContextual"/>
              </w:rPr>
              <w:tab/>
            </w:r>
            <w:r w:rsidRPr="00B33F5F">
              <w:rPr>
                <w:rStyle w:val="Lienhypertexte"/>
              </w:rPr>
              <w:t>Modification de l’application de la motion 2022-GC-182</w:t>
            </w:r>
            <w:r>
              <w:rPr>
                <w:webHidden/>
              </w:rPr>
              <w:tab/>
            </w:r>
            <w:r>
              <w:rPr>
                <w:webHidden/>
              </w:rPr>
              <w:fldChar w:fldCharType="begin"/>
            </w:r>
            <w:r>
              <w:rPr>
                <w:webHidden/>
              </w:rPr>
              <w:instrText xml:space="preserve"> PAGEREF _Toc195715414 \h </w:instrText>
            </w:r>
            <w:r>
              <w:rPr>
                <w:webHidden/>
              </w:rPr>
            </w:r>
            <w:r>
              <w:rPr>
                <w:webHidden/>
              </w:rPr>
              <w:fldChar w:fldCharType="separate"/>
            </w:r>
            <w:r>
              <w:rPr>
                <w:webHidden/>
              </w:rPr>
              <w:t>59</w:t>
            </w:r>
            <w:r>
              <w:rPr>
                <w:webHidden/>
              </w:rPr>
              <w:fldChar w:fldCharType="end"/>
            </w:r>
          </w:hyperlink>
        </w:p>
        <w:p w14:paraId="5C687487" w14:textId="341E0A81" w:rsidR="00330506" w:rsidRDefault="00330506">
          <w:pPr>
            <w:pStyle w:val="TM3"/>
            <w:tabs>
              <w:tab w:val="right" w:pos="9910"/>
            </w:tabs>
            <w:rPr>
              <w:rFonts w:asciiTheme="minorHAnsi" w:eastAsiaTheme="minorEastAsia" w:hAnsiTheme="minorHAnsi"/>
              <w:noProof/>
              <w:kern w:val="2"/>
              <w:sz w:val="24"/>
              <w:szCs w:val="24"/>
              <w:lang w:eastAsia="fr-CH"/>
              <w14:ligatures w14:val="standardContextual"/>
            </w:rPr>
          </w:pPr>
          <w:hyperlink w:anchor="_Toc195715415" w:history="1">
            <w:r w:rsidRPr="00B33F5F">
              <w:rPr>
                <w:rStyle w:val="Lienhypertexte"/>
                <w:noProof/>
              </w:rPr>
              <w:t>6.19.1</w:t>
            </w:r>
            <w:r>
              <w:rPr>
                <w:rFonts w:asciiTheme="minorHAnsi" w:eastAsiaTheme="minorEastAsia" w:hAnsiTheme="minorHAnsi"/>
                <w:noProof/>
                <w:kern w:val="2"/>
                <w:sz w:val="24"/>
                <w:szCs w:val="24"/>
                <w:lang w:eastAsia="fr-CH"/>
                <w14:ligatures w14:val="standardContextual"/>
              </w:rPr>
              <w:tab/>
            </w:r>
            <w:r w:rsidRPr="00B33F5F">
              <w:rPr>
                <w:rStyle w:val="Lienhypertexte"/>
                <w:noProof/>
              </w:rPr>
              <w:t>Informations générales</w:t>
            </w:r>
            <w:r>
              <w:rPr>
                <w:noProof/>
                <w:webHidden/>
              </w:rPr>
              <w:tab/>
            </w:r>
            <w:r>
              <w:rPr>
                <w:noProof/>
                <w:webHidden/>
              </w:rPr>
              <w:fldChar w:fldCharType="begin"/>
            </w:r>
            <w:r>
              <w:rPr>
                <w:noProof/>
                <w:webHidden/>
              </w:rPr>
              <w:instrText xml:space="preserve"> PAGEREF _Toc195715415 \h </w:instrText>
            </w:r>
            <w:r>
              <w:rPr>
                <w:noProof/>
                <w:webHidden/>
              </w:rPr>
            </w:r>
            <w:r>
              <w:rPr>
                <w:noProof/>
                <w:webHidden/>
              </w:rPr>
              <w:fldChar w:fldCharType="separate"/>
            </w:r>
            <w:r>
              <w:rPr>
                <w:noProof/>
                <w:webHidden/>
              </w:rPr>
              <w:t>59</w:t>
            </w:r>
            <w:r>
              <w:rPr>
                <w:noProof/>
                <w:webHidden/>
              </w:rPr>
              <w:fldChar w:fldCharType="end"/>
            </w:r>
          </w:hyperlink>
        </w:p>
        <w:p w14:paraId="2E4B3FB4" w14:textId="3053F36D"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16" w:history="1">
            <w:r w:rsidRPr="00B33F5F">
              <w:rPr>
                <w:rStyle w:val="Lienhypertexte"/>
              </w:rPr>
              <w:t>6.20</w:t>
            </w:r>
            <w:r>
              <w:rPr>
                <w:rFonts w:asciiTheme="minorHAnsi" w:eastAsiaTheme="minorEastAsia" w:hAnsiTheme="minorHAnsi"/>
                <w:b w:val="0"/>
                <w:kern w:val="2"/>
                <w:sz w:val="24"/>
                <w:szCs w:val="24"/>
                <w:lang w:eastAsia="fr-CH"/>
                <w14:ligatures w14:val="standardContextual"/>
              </w:rPr>
              <w:tab/>
            </w:r>
            <w:r w:rsidRPr="00B33F5F">
              <w:rPr>
                <w:rStyle w:val="Lienhypertexte"/>
              </w:rPr>
              <w:t>Arrêté d'exécution de la loi du 16 novembre 1965 sur les prestations complémentaires à l'assurance-vieillesse, survivants et invalidité, modifiée par celle du 11 novembre 1970 (841.3.11)</w:t>
            </w:r>
            <w:r>
              <w:rPr>
                <w:webHidden/>
              </w:rPr>
              <w:tab/>
            </w:r>
            <w:r>
              <w:rPr>
                <w:webHidden/>
              </w:rPr>
              <w:fldChar w:fldCharType="begin"/>
            </w:r>
            <w:r>
              <w:rPr>
                <w:webHidden/>
              </w:rPr>
              <w:instrText xml:space="preserve"> PAGEREF _Toc195715416 \h </w:instrText>
            </w:r>
            <w:r>
              <w:rPr>
                <w:webHidden/>
              </w:rPr>
            </w:r>
            <w:r>
              <w:rPr>
                <w:webHidden/>
              </w:rPr>
              <w:fldChar w:fldCharType="separate"/>
            </w:r>
            <w:r>
              <w:rPr>
                <w:webHidden/>
              </w:rPr>
              <w:t>60</w:t>
            </w:r>
            <w:r>
              <w:rPr>
                <w:webHidden/>
              </w:rPr>
              <w:fldChar w:fldCharType="end"/>
            </w:r>
          </w:hyperlink>
        </w:p>
        <w:p w14:paraId="17D79C02" w14:textId="489E8FD8"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5417" w:history="1">
            <w:r w:rsidRPr="00B33F5F">
              <w:rPr>
                <w:rStyle w:val="Lienhypertexte"/>
              </w:rPr>
              <w:t>7</w:t>
            </w:r>
            <w:r>
              <w:rPr>
                <w:rFonts w:asciiTheme="minorHAnsi" w:eastAsiaTheme="minorEastAsia" w:hAnsiTheme="minorHAnsi"/>
                <w:b w:val="0"/>
                <w:kern w:val="2"/>
                <w:sz w:val="24"/>
                <w:szCs w:val="24"/>
                <w:lang w:eastAsia="fr-CH"/>
                <w14:ligatures w14:val="standardContextual"/>
              </w:rPr>
              <w:tab/>
            </w:r>
            <w:r w:rsidRPr="00B33F5F">
              <w:rPr>
                <w:rStyle w:val="Lienhypertexte"/>
              </w:rPr>
              <w:t>Conséquences des propositions</w:t>
            </w:r>
            <w:r>
              <w:rPr>
                <w:webHidden/>
              </w:rPr>
              <w:tab/>
            </w:r>
            <w:r>
              <w:rPr>
                <w:webHidden/>
              </w:rPr>
              <w:fldChar w:fldCharType="begin"/>
            </w:r>
            <w:r>
              <w:rPr>
                <w:webHidden/>
              </w:rPr>
              <w:instrText xml:space="preserve"> PAGEREF _Toc195715417 \h </w:instrText>
            </w:r>
            <w:r>
              <w:rPr>
                <w:webHidden/>
              </w:rPr>
            </w:r>
            <w:r>
              <w:rPr>
                <w:webHidden/>
              </w:rPr>
              <w:fldChar w:fldCharType="separate"/>
            </w:r>
            <w:r>
              <w:rPr>
                <w:webHidden/>
              </w:rPr>
              <w:t>60</w:t>
            </w:r>
            <w:r>
              <w:rPr>
                <w:webHidden/>
              </w:rPr>
              <w:fldChar w:fldCharType="end"/>
            </w:r>
          </w:hyperlink>
        </w:p>
        <w:p w14:paraId="4588B45F" w14:textId="4A5E8D18"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18" w:history="1">
            <w:r w:rsidRPr="00B33F5F">
              <w:rPr>
                <w:rStyle w:val="Lienhypertexte"/>
              </w:rPr>
              <w:t>7.1</w:t>
            </w:r>
            <w:r>
              <w:rPr>
                <w:rFonts w:asciiTheme="minorHAnsi" w:eastAsiaTheme="minorEastAsia" w:hAnsiTheme="minorHAnsi"/>
                <w:b w:val="0"/>
                <w:kern w:val="2"/>
                <w:sz w:val="24"/>
                <w:szCs w:val="24"/>
                <w:lang w:eastAsia="fr-CH"/>
                <w14:ligatures w14:val="standardContextual"/>
              </w:rPr>
              <w:tab/>
            </w:r>
            <w:r w:rsidRPr="00B33F5F">
              <w:rPr>
                <w:rStyle w:val="Lienhypertexte"/>
              </w:rPr>
              <w:t>Conséquences financières</w:t>
            </w:r>
            <w:r>
              <w:rPr>
                <w:webHidden/>
              </w:rPr>
              <w:tab/>
            </w:r>
            <w:r>
              <w:rPr>
                <w:webHidden/>
              </w:rPr>
              <w:fldChar w:fldCharType="begin"/>
            </w:r>
            <w:r>
              <w:rPr>
                <w:webHidden/>
              </w:rPr>
              <w:instrText xml:space="preserve"> PAGEREF _Toc195715418 \h </w:instrText>
            </w:r>
            <w:r>
              <w:rPr>
                <w:webHidden/>
              </w:rPr>
            </w:r>
            <w:r>
              <w:rPr>
                <w:webHidden/>
              </w:rPr>
              <w:fldChar w:fldCharType="separate"/>
            </w:r>
            <w:r>
              <w:rPr>
                <w:webHidden/>
              </w:rPr>
              <w:t>60</w:t>
            </w:r>
            <w:r>
              <w:rPr>
                <w:webHidden/>
              </w:rPr>
              <w:fldChar w:fldCharType="end"/>
            </w:r>
          </w:hyperlink>
        </w:p>
        <w:p w14:paraId="287C6A78" w14:textId="405BB4EE"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19" w:history="1">
            <w:r w:rsidRPr="00B33F5F">
              <w:rPr>
                <w:rStyle w:val="Lienhypertexte"/>
              </w:rPr>
              <w:t>7.2</w:t>
            </w:r>
            <w:r>
              <w:rPr>
                <w:rFonts w:asciiTheme="minorHAnsi" w:eastAsiaTheme="minorEastAsia" w:hAnsiTheme="minorHAnsi"/>
                <w:b w:val="0"/>
                <w:kern w:val="2"/>
                <w:sz w:val="24"/>
                <w:szCs w:val="24"/>
                <w:lang w:eastAsia="fr-CH"/>
                <w14:ligatures w14:val="standardContextual"/>
              </w:rPr>
              <w:tab/>
            </w:r>
            <w:r w:rsidRPr="00B33F5F">
              <w:rPr>
                <w:rStyle w:val="Lienhypertexte"/>
              </w:rPr>
              <w:t>Conséquences pour le personnel de l’Etat</w:t>
            </w:r>
            <w:r>
              <w:rPr>
                <w:webHidden/>
              </w:rPr>
              <w:tab/>
            </w:r>
            <w:r>
              <w:rPr>
                <w:webHidden/>
              </w:rPr>
              <w:fldChar w:fldCharType="begin"/>
            </w:r>
            <w:r>
              <w:rPr>
                <w:webHidden/>
              </w:rPr>
              <w:instrText xml:space="preserve"> PAGEREF _Toc195715419 \h </w:instrText>
            </w:r>
            <w:r>
              <w:rPr>
                <w:webHidden/>
              </w:rPr>
            </w:r>
            <w:r>
              <w:rPr>
                <w:webHidden/>
              </w:rPr>
              <w:fldChar w:fldCharType="separate"/>
            </w:r>
            <w:r>
              <w:rPr>
                <w:webHidden/>
              </w:rPr>
              <w:t>61</w:t>
            </w:r>
            <w:r>
              <w:rPr>
                <w:webHidden/>
              </w:rPr>
              <w:fldChar w:fldCharType="end"/>
            </w:r>
          </w:hyperlink>
        </w:p>
        <w:p w14:paraId="480D3BC9" w14:textId="605FDE2E"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20" w:history="1">
            <w:r w:rsidRPr="00B33F5F">
              <w:rPr>
                <w:rStyle w:val="Lienhypertexte"/>
              </w:rPr>
              <w:t>7.3</w:t>
            </w:r>
            <w:r>
              <w:rPr>
                <w:rFonts w:asciiTheme="minorHAnsi" w:eastAsiaTheme="minorEastAsia" w:hAnsiTheme="minorHAnsi"/>
                <w:b w:val="0"/>
                <w:kern w:val="2"/>
                <w:sz w:val="24"/>
                <w:szCs w:val="24"/>
                <w:lang w:eastAsia="fr-CH"/>
                <w14:ligatures w14:val="standardContextual"/>
              </w:rPr>
              <w:tab/>
            </w:r>
            <w:r w:rsidRPr="00B33F5F">
              <w:rPr>
                <w:rStyle w:val="Lienhypertexte"/>
              </w:rPr>
              <w:t>Conséquences pour les communes</w:t>
            </w:r>
            <w:r>
              <w:rPr>
                <w:webHidden/>
              </w:rPr>
              <w:tab/>
            </w:r>
            <w:r>
              <w:rPr>
                <w:webHidden/>
              </w:rPr>
              <w:fldChar w:fldCharType="begin"/>
            </w:r>
            <w:r>
              <w:rPr>
                <w:webHidden/>
              </w:rPr>
              <w:instrText xml:space="preserve"> PAGEREF _Toc195715420 \h </w:instrText>
            </w:r>
            <w:r>
              <w:rPr>
                <w:webHidden/>
              </w:rPr>
            </w:r>
            <w:r>
              <w:rPr>
                <w:webHidden/>
              </w:rPr>
              <w:fldChar w:fldCharType="separate"/>
            </w:r>
            <w:r>
              <w:rPr>
                <w:webHidden/>
              </w:rPr>
              <w:t>61</w:t>
            </w:r>
            <w:r>
              <w:rPr>
                <w:webHidden/>
              </w:rPr>
              <w:fldChar w:fldCharType="end"/>
            </w:r>
          </w:hyperlink>
        </w:p>
        <w:p w14:paraId="3EBB5EB8" w14:textId="3DEC36D5" w:rsidR="00330506" w:rsidRDefault="00330506">
          <w:pPr>
            <w:pStyle w:val="TM2"/>
            <w:tabs>
              <w:tab w:val="right" w:pos="9910"/>
            </w:tabs>
            <w:rPr>
              <w:rFonts w:asciiTheme="minorHAnsi" w:eastAsiaTheme="minorEastAsia" w:hAnsiTheme="minorHAnsi"/>
              <w:b w:val="0"/>
              <w:kern w:val="2"/>
              <w:sz w:val="24"/>
              <w:szCs w:val="24"/>
              <w:lang w:eastAsia="fr-CH"/>
              <w14:ligatures w14:val="standardContextual"/>
            </w:rPr>
          </w:pPr>
          <w:hyperlink w:anchor="_Toc195715421" w:history="1">
            <w:r w:rsidRPr="00B33F5F">
              <w:rPr>
                <w:rStyle w:val="Lienhypertexte"/>
              </w:rPr>
              <w:t>7.4</w:t>
            </w:r>
            <w:r>
              <w:rPr>
                <w:rFonts w:asciiTheme="minorHAnsi" w:eastAsiaTheme="minorEastAsia" w:hAnsiTheme="minorHAnsi"/>
                <w:b w:val="0"/>
                <w:kern w:val="2"/>
                <w:sz w:val="24"/>
                <w:szCs w:val="24"/>
                <w:lang w:eastAsia="fr-CH"/>
                <w14:ligatures w14:val="standardContextual"/>
              </w:rPr>
              <w:tab/>
            </w:r>
            <w:r w:rsidRPr="00B33F5F">
              <w:rPr>
                <w:rStyle w:val="Lienhypertexte"/>
              </w:rPr>
              <w:t>Autres conséquences</w:t>
            </w:r>
            <w:r>
              <w:rPr>
                <w:webHidden/>
              </w:rPr>
              <w:tab/>
            </w:r>
            <w:r>
              <w:rPr>
                <w:webHidden/>
              </w:rPr>
              <w:fldChar w:fldCharType="begin"/>
            </w:r>
            <w:r>
              <w:rPr>
                <w:webHidden/>
              </w:rPr>
              <w:instrText xml:space="preserve"> PAGEREF _Toc195715421 \h </w:instrText>
            </w:r>
            <w:r>
              <w:rPr>
                <w:webHidden/>
              </w:rPr>
            </w:r>
            <w:r>
              <w:rPr>
                <w:webHidden/>
              </w:rPr>
              <w:fldChar w:fldCharType="separate"/>
            </w:r>
            <w:r>
              <w:rPr>
                <w:webHidden/>
              </w:rPr>
              <w:t>61</w:t>
            </w:r>
            <w:r>
              <w:rPr>
                <w:webHidden/>
              </w:rPr>
              <w:fldChar w:fldCharType="end"/>
            </w:r>
          </w:hyperlink>
        </w:p>
        <w:p w14:paraId="352D845F" w14:textId="57D02FEF" w:rsidR="00330506" w:rsidRDefault="00330506">
          <w:pPr>
            <w:pStyle w:val="TM1"/>
            <w:rPr>
              <w:rFonts w:asciiTheme="minorHAnsi" w:eastAsiaTheme="minorEastAsia" w:hAnsiTheme="minorHAnsi"/>
              <w:b w:val="0"/>
              <w:kern w:val="2"/>
              <w:sz w:val="24"/>
              <w:szCs w:val="24"/>
              <w:lang w:eastAsia="fr-CH"/>
              <w14:ligatures w14:val="standardContextual"/>
            </w:rPr>
          </w:pPr>
          <w:hyperlink w:anchor="_Toc195715422" w:history="1">
            <w:r w:rsidRPr="00B33F5F">
              <w:rPr>
                <w:rStyle w:val="Lienhypertexte"/>
              </w:rPr>
              <w:t>8</w:t>
            </w:r>
            <w:r>
              <w:rPr>
                <w:rFonts w:asciiTheme="minorHAnsi" w:eastAsiaTheme="minorEastAsia" w:hAnsiTheme="minorHAnsi"/>
                <w:b w:val="0"/>
                <w:kern w:val="2"/>
                <w:sz w:val="24"/>
                <w:szCs w:val="24"/>
                <w:lang w:eastAsia="fr-CH"/>
                <w14:ligatures w14:val="standardContextual"/>
              </w:rPr>
              <w:tab/>
            </w:r>
            <w:r w:rsidRPr="00B33F5F">
              <w:rPr>
                <w:rStyle w:val="Lienhypertexte"/>
              </w:rPr>
              <w:t>Conclusion</w:t>
            </w:r>
            <w:r>
              <w:rPr>
                <w:webHidden/>
              </w:rPr>
              <w:tab/>
            </w:r>
            <w:r>
              <w:rPr>
                <w:webHidden/>
              </w:rPr>
              <w:fldChar w:fldCharType="begin"/>
            </w:r>
            <w:r>
              <w:rPr>
                <w:webHidden/>
              </w:rPr>
              <w:instrText xml:space="preserve"> PAGEREF _Toc195715422 \h </w:instrText>
            </w:r>
            <w:r>
              <w:rPr>
                <w:webHidden/>
              </w:rPr>
            </w:r>
            <w:r>
              <w:rPr>
                <w:webHidden/>
              </w:rPr>
              <w:fldChar w:fldCharType="separate"/>
            </w:r>
            <w:r>
              <w:rPr>
                <w:webHidden/>
              </w:rPr>
              <w:t>62</w:t>
            </w:r>
            <w:r>
              <w:rPr>
                <w:webHidden/>
              </w:rPr>
              <w:fldChar w:fldCharType="end"/>
            </w:r>
          </w:hyperlink>
        </w:p>
        <w:p w14:paraId="6CEBCF78" w14:textId="141856A4" w:rsidR="006B5C24" w:rsidRPr="00FE3A13" w:rsidRDefault="006B5C24">
          <w:r w:rsidRPr="00FE3A13">
            <w:fldChar w:fldCharType="end"/>
          </w:r>
        </w:p>
      </w:sdtContent>
    </w:sdt>
    <w:p w14:paraId="2D831E2A" w14:textId="77777777" w:rsidR="006B5C24" w:rsidRPr="00FE3A13" w:rsidRDefault="006B5C24" w:rsidP="00FD0818">
      <w:r w:rsidRPr="00FE3A13">
        <w:br w:type="page"/>
      </w:r>
    </w:p>
    <w:p w14:paraId="1A28F692" w14:textId="52822B2D" w:rsidR="006B5C24" w:rsidRPr="00FE3A13" w:rsidRDefault="00425C87" w:rsidP="0029480E">
      <w:pPr>
        <w:pStyle w:val="Titre1"/>
      </w:pPr>
      <w:bookmarkStart w:id="0" w:name="_Toc195714664"/>
      <w:r w:rsidRPr="00FE3A13">
        <w:lastRenderedPageBreak/>
        <w:t>Résumé</w:t>
      </w:r>
      <w:bookmarkEnd w:id="0"/>
    </w:p>
    <w:p w14:paraId="433213F5" w14:textId="1A5E9BA0" w:rsidR="00425C87" w:rsidRPr="00FE3A13" w:rsidRDefault="006B5C24" w:rsidP="00183978">
      <w:pPr>
        <w:pStyle w:val="Tiret"/>
      </w:pPr>
      <w:r w:rsidRPr="00FE3A13">
        <w:t>—</w:t>
      </w:r>
    </w:p>
    <w:p w14:paraId="31AFA8EE" w14:textId="2E4C5588" w:rsidR="00882DFC" w:rsidRPr="00FE3A13" w:rsidRDefault="004E7031" w:rsidP="00183978">
      <w:r w:rsidRPr="00FE3A13">
        <w:t>Le 4 juillet 2024,</w:t>
      </w:r>
      <w:r w:rsidR="00882DFC" w:rsidRPr="00FE3A13">
        <w:t xml:space="preserve"> au vu des difficultés rencontrées dans l</w:t>
      </w:r>
      <w:r w:rsidR="00A13AB1" w:rsidRPr="00FE3A13">
        <w:t>a préparation</w:t>
      </w:r>
      <w:r w:rsidR="00882DFC" w:rsidRPr="00FE3A13">
        <w:t xml:space="preserve"> du budget 2025 et l’actualisation du plan financier</w:t>
      </w:r>
      <w:r w:rsidR="00A13AB1" w:rsidRPr="00FE3A13">
        <w:t xml:space="preserve"> pour les années 2026-2028</w:t>
      </w:r>
      <w:r w:rsidR="00882DFC" w:rsidRPr="00FE3A13">
        <w:t xml:space="preserve">, </w:t>
      </w:r>
      <w:r w:rsidRPr="00FE3A13">
        <w:t xml:space="preserve">le Conseil d’Etat </w:t>
      </w:r>
      <w:r w:rsidR="00F45885" w:rsidRPr="00FE3A13">
        <w:t>indiquait</w:t>
      </w:r>
      <w:r w:rsidRPr="00FE3A13">
        <w:t xml:space="preserve"> par communiqué de presse que</w:t>
      </w:r>
      <w:r w:rsidR="00882DFC" w:rsidRPr="00FE3A13">
        <w:t xml:space="preserve"> l’élaboration d’un programme d’assainissement des finances de l’Etat apparaissait inéluctable. Il soulignait que les préoccupations qu’il avait déjà eu l’occasion d’exprimer au moment de la présentation des comptes 2023 quant aux perspectives financières de l’Etat se confirmaient et qu’il était nécessaire de prendre des mesures si l’on entendait continuer</w:t>
      </w:r>
      <w:r w:rsidR="00C36E34" w:rsidRPr="00FE3A13">
        <w:t xml:space="preserve"> à respecter</w:t>
      </w:r>
      <w:r w:rsidR="00882DFC" w:rsidRPr="00FE3A13">
        <w:t xml:space="preserve"> les dispositions constitutionnelles et légales en matière d’équilibre budgétaire.</w:t>
      </w:r>
    </w:p>
    <w:p w14:paraId="1D885EDD" w14:textId="4C24BE7F" w:rsidR="00882DFC" w:rsidRPr="00FE3A13" w:rsidRDefault="00A13AB1" w:rsidP="00A13AB1">
      <w:r w:rsidRPr="00FE3A13">
        <w:t>Dans l’intervalle, d</w:t>
      </w:r>
      <w:r w:rsidR="009257C3" w:rsidRPr="00FE3A13">
        <w:t>iverses</w:t>
      </w:r>
      <w:r w:rsidRPr="00FE3A13">
        <w:t xml:space="preserve"> restrictions et priorisation</w:t>
      </w:r>
      <w:r w:rsidR="009257C3" w:rsidRPr="00FE3A13">
        <w:t>s</w:t>
      </w:r>
      <w:r w:rsidRPr="00FE3A13">
        <w:t xml:space="preserve"> ont permis d’équilibrer le budget 2025 et d’améliorer les résultats de la planification financière. Cette dernière laisse toutefois encore apparaître une progression des charges nettement plus important que celles des revenus. Elle met en évidence des excédents de charges qui se creusent de façon sensible dès 2026. </w:t>
      </w:r>
      <w:r w:rsidR="00882DFC" w:rsidRPr="00FE3A13">
        <w:t>Les perspectives sont encore assombries par le programme d’allègement budgétaire 2027 de la Confédération qui, selon toute vraisemblance, ne restera pas sans incidences financières</w:t>
      </w:r>
      <w:r w:rsidRPr="00FE3A13">
        <w:t xml:space="preserve"> négatives</w:t>
      </w:r>
      <w:r w:rsidR="00882DFC" w:rsidRPr="00FE3A13">
        <w:t xml:space="preserve"> importantes pour les cantons</w:t>
      </w:r>
      <w:r w:rsidRPr="00FE3A13">
        <w:t xml:space="preserve">. </w:t>
      </w:r>
      <w:r w:rsidR="009257C3" w:rsidRPr="00FE3A13">
        <w:t>A ce stade, le besoin d</w:t>
      </w:r>
      <w:r w:rsidR="00FD6EF3" w:rsidRPr="00FE3A13">
        <w:t>e mesures correct</w:t>
      </w:r>
      <w:r w:rsidR="00C36E34" w:rsidRPr="00FE3A13">
        <w:t>ive</w:t>
      </w:r>
      <w:r w:rsidR="00FD6EF3" w:rsidRPr="00FE3A13">
        <w:t>s</w:t>
      </w:r>
      <w:r w:rsidR="009257C3" w:rsidRPr="00FE3A13">
        <w:t xml:space="preserve"> ne peut être que confirmé.</w:t>
      </w:r>
    </w:p>
    <w:p w14:paraId="5D3CF2C2" w14:textId="645FDE47" w:rsidR="009257C3" w:rsidRPr="00FE3A13" w:rsidRDefault="009257C3" w:rsidP="00A13AB1">
      <w:r w:rsidRPr="00FE3A13">
        <w:t>Suite à un</w:t>
      </w:r>
      <w:r w:rsidR="00FD6EF3" w:rsidRPr="00FE3A13">
        <w:t xml:space="preserve"> intense</w:t>
      </w:r>
      <w:r w:rsidRPr="00FE3A13">
        <w:t xml:space="preserve"> processus participatif interne à l’administration cantonale,</w:t>
      </w:r>
      <w:r w:rsidR="00FD6EF3" w:rsidRPr="00FE3A13">
        <w:t xml:space="preserve"> et tout en restant attentif aux attentes exprimées </w:t>
      </w:r>
      <w:r w:rsidR="00C36E34" w:rsidRPr="00FE3A13">
        <w:t>par</w:t>
      </w:r>
      <w:r w:rsidR="00FD6EF3" w:rsidRPr="00FE3A13">
        <w:t xml:space="preserve"> le Grand Conseil,</w:t>
      </w:r>
      <w:r w:rsidRPr="00FE3A13">
        <w:t xml:space="preserve"> le Conseil d’Etat</w:t>
      </w:r>
      <w:r w:rsidR="00FD6EF3" w:rsidRPr="00FE3A13">
        <w:t xml:space="preserve"> a élaboré durant l’automne 2024 et les premiers mois de l’année 2025 un projet de programme d’assainissement des finances de l’Etat pour les années 2026 à 2028 (PAFE). Ce dernier peut désormais être mis en consultation. Il est composé de</w:t>
      </w:r>
      <w:r w:rsidR="007455CF" w:rsidRPr="00FE3A13">
        <w:t xml:space="preserve"> </w:t>
      </w:r>
      <w:r w:rsidR="007455CF" w:rsidRPr="00973A49">
        <w:t>97</w:t>
      </w:r>
      <w:r w:rsidR="007455CF" w:rsidRPr="00FE3A13">
        <w:t xml:space="preserve"> </w:t>
      </w:r>
      <w:r w:rsidR="00FD6EF3" w:rsidRPr="00FE3A13">
        <w:t xml:space="preserve">mesures, relevant pour certaines directement du Conseil d’Etat et pour d’autres du Grand Conseil. </w:t>
      </w:r>
      <w:r w:rsidR="00CB63F6" w:rsidRPr="00FE3A13">
        <w:t xml:space="preserve">Les modifications légales relatives à ces dernières ont été réunies dans un avant-projet d’acte modificateur qui </w:t>
      </w:r>
      <w:r w:rsidR="00BB049B" w:rsidRPr="00FE3A13">
        <w:t xml:space="preserve">présente à ce stade un caractère partiel et </w:t>
      </w:r>
      <w:r w:rsidR="00CB63F6" w:rsidRPr="00FE3A13">
        <w:t>sera encore complété</w:t>
      </w:r>
      <w:r w:rsidR="00BB049B" w:rsidRPr="00FE3A13">
        <w:t xml:space="preserve"> après</w:t>
      </w:r>
      <w:r w:rsidR="00CB63F6" w:rsidRPr="00FE3A13">
        <w:t xml:space="preserve"> la consultation.</w:t>
      </w:r>
    </w:p>
    <w:p w14:paraId="64B0865A" w14:textId="3164A7C1" w:rsidR="00882DFC" w:rsidRPr="00FE3A13" w:rsidRDefault="00CB63F6" w:rsidP="00183978">
      <w:r w:rsidRPr="00FE3A13">
        <w:t>Au total, par rapport aux résultats du plan financier actualisé dont le Grand Conseil a pris acte lors de sa session de mars 2025, le PAFE engendre des améliorations</w:t>
      </w:r>
      <w:r w:rsidR="007455CF" w:rsidRPr="00FE3A13">
        <w:t xml:space="preserve"> nettes</w:t>
      </w:r>
      <w:r w:rsidRPr="00FE3A13">
        <w:t xml:space="preserve"> pour l’Etat de </w:t>
      </w:r>
      <w:r w:rsidR="007455CF" w:rsidRPr="00973A49">
        <w:t>142</w:t>
      </w:r>
      <w:r w:rsidRPr="00973A49">
        <w:t xml:space="preserve"> millions de francs en 2026, </w:t>
      </w:r>
      <w:r w:rsidR="007455CF" w:rsidRPr="00973A49">
        <w:t>184</w:t>
      </w:r>
      <w:r w:rsidRPr="00973A49">
        <w:t xml:space="preserve"> millions de francs en 2027 et </w:t>
      </w:r>
      <w:r w:rsidR="007455CF" w:rsidRPr="00973A49">
        <w:t xml:space="preserve">166 </w:t>
      </w:r>
      <w:r w:rsidRPr="00973A49">
        <w:t>millions de francs en 2028</w:t>
      </w:r>
      <w:r w:rsidRPr="00FE3A13">
        <w:t>.</w:t>
      </w:r>
      <w:r w:rsidR="00421654" w:rsidRPr="00FE3A13">
        <w:t xml:space="preserve"> Dans la plupart des cas, les mesures proposées permettent de réduire le rythme de croissance des charges et ne vont pas jusqu’à engendrer une diminution nette de ces dernières</w:t>
      </w:r>
      <w:r w:rsidR="00A013AF" w:rsidRPr="00FE3A13">
        <w:t xml:space="preserve"> par rapport à la situation actuelle</w:t>
      </w:r>
      <w:r w:rsidR="00421654" w:rsidRPr="00FE3A13">
        <w:t xml:space="preserve">. </w:t>
      </w:r>
      <w:bookmarkStart w:id="1" w:name="_Hlk194600788"/>
      <w:r w:rsidR="008B2F2A" w:rsidRPr="00FE3A13">
        <w:t xml:space="preserve">Des augmentations de revenus importantes sont aussi prévues. </w:t>
      </w:r>
      <w:r w:rsidR="00421654" w:rsidRPr="00FE3A13">
        <w:t xml:space="preserve">Compte tenu de la forte imbrication des tâches cantonales et communales, le PAFE aura immanquablement des répercussions sur les communes. </w:t>
      </w:r>
      <w:r w:rsidR="00BB049B" w:rsidRPr="00FE3A13">
        <w:t>L</w:t>
      </w:r>
      <w:r w:rsidR="00421654" w:rsidRPr="00FE3A13">
        <w:t xml:space="preserve">e projet mis en consultation engendrerait pour ces dernières des charges supplémentaires nettes de l’ordre de </w:t>
      </w:r>
      <w:r w:rsidR="007455CF" w:rsidRPr="00973A49">
        <w:t>22</w:t>
      </w:r>
      <w:r w:rsidR="00421654" w:rsidRPr="00973A49">
        <w:t xml:space="preserve"> millions de francs en 2026, </w:t>
      </w:r>
      <w:r w:rsidR="007455CF" w:rsidRPr="00973A49">
        <w:t>13</w:t>
      </w:r>
      <w:r w:rsidR="00421654" w:rsidRPr="00973A49">
        <w:t xml:space="preserve"> millions de francs en 2027 et </w:t>
      </w:r>
      <w:r w:rsidR="007455CF" w:rsidRPr="00973A49">
        <w:t>16</w:t>
      </w:r>
      <w:r w:rsidR="00421654" w:rsidRPr="00973A49">
        <w:t xml:space="preserve"> millions de francs en 202</w:t>
      </w:r>
      <w:r w:rsidR="00BB049B" w:rsidRPr="00973A49">
        <w:t>8</w:t>
      </w:r>
      <w:r w:rsidR="00421654" w:rsidRPr="00973A49">
        <w:t>.</w:t>
      </w:r>
      <w:bookmarkEnd w:id="1"/>
    </w:p>
    <w:p w14:paraId="6299A199" w14:textId="4CDF3AB6" w:rsidR="00BB049B" w:rsidRPr="00FE3A13" w:rsidRDefault="00BB049B" w:rsidP="00183978">
      <w:r w:rsidRPr="00FE3A13">
        <w:t>Il est prévu que le PAFE soit revu et finalisé durant l’été en fonction des résultats de la consultation. Le Conseil d’Etat adoptera le projet final d’acte unique et le message qui l’accompagne lors d’une de ses premières séances après la pause estivale et le transmettra au Grand Conseil en vu</w:t>
      </w:r>
      <w:r w:rsidR="00C36E34" w:rsidRPr="00FE3A13">
        <w:t>e</w:t>
      </w:r>
      <w:r w:rsidRPr="00FE3A13">
        <w:t xml:space="preserve"> d’un traitement durant la session d’octobre 2025, dans toute la mesure du possible. Les mesures d’assainissement pourrai</w:t>
      </w:r>
      <w:r w:rsidR="00C36E34" w:rsidRPr="00FE3A13">
        <w:t>en</w:t>
      </w:r>
      <w:r w:rsidRPr="00FE3A13">
        <w:t>t ainsi entrer en vigueur dès le 1</w:t>
      </w:r>
      <w:r w:rsidRPr="00FE3A13">
        <w:rPr>
          <w:vertAlign w:val="superscript"/>
        </w:rPr>
        <w:t>er</w:t>
      </w:r>
      <w:r w:rsidRPr="00FE3A13">
        <w:t xml:space="preserve"> janvier 2026 pour la plupart et en 2027 pour une minorité d’entre-elles nécessitant d</w:t>
      </w:r>
      <w:r w:rsidR="007F1443" w:rsidRPr="00FE3A13">
        <w:t>es travaux de préparation particulièrement important et un délai de mise en œuvre plus éloigné.</w:t>
      </w:r>
    </w:p>
    <w:p w14:paraId="3D5C9CDC" w14:textId="5A840EBE" w:rsidR="00425C87" w:rsidRPr="00FE3A13" w:rsidRDefault="00425C87" w:rsidP="00425C87">
      <w:pPr>
        <w:pStyle w:val="Titre1"/>
      </w:pPr>
      <w:bookmarkStart w:id="2" w:name="_Toc195714665"/>
      <w:r w:rsidRPr="00FE3A13">
        <w:t>Raisons d</w:t>
      </w:r>
      <w:r w:rsidR="0001598C" w:rsidRPr="00FE3A13">
        <w:t>u</w:t>
      </w:r>
      <w:r w:rsidRPr="00FE3A13">
        <w:t xml:space="preserve"> PAFE</w:t>
      </w:r>
      <w:bookmarkEnd w:id="2"/>
    </w:p>
    <w:p w14:paraId="5D29F58A" w14:textId="77777777" w:rsidR="00425C87" w:rsidRPr="00FE3A13" w:rsidRDefault="00425C87" w:rsidP="00425C87">
      <w:pPr>
        <w:pStyle w:val="Tiret"/>
      </w:pPr>
      <w:r w:rsidRPr="00FE3A13">
        <w:softHyphen/>
      </w:r>
      <w:r w:rsidRPr="00FE3A13">
        <w:softHyphen/>
      </w:r>
      <w:r w:rsidRPr="00FE3A13">
        <w:softHyphen/>
      </w:r>
      <w:r w:rsidRPr="00FE3A13">
        <w:softHyphen/>
      </w:r>
      <w:r w:rsidRPr="00FE3A13">
        <w:softHyphen/>
      </w:r>
      <w:r w:rsidRPr="00FE3A13">
        <w:softHyphen/>
      </w:r>
      <w:r w:rsidRPr="00FE3A13">
        <w:softHyphen/>
        <w:t>—</w:t>
      </w:r>
    </w:p>
    <w:p w14:paraId="0E53D504" w14:textId="764D31D9" w:rsidR="008A65C3" w:rsidRPr="00FE3A13" w:rsidRDefault="003C3C33" w:rsidP="008A65C3">
      <w:pPr>
        <w:pStyle w:val="Corpsdetexte"/>
      </w:pPr>
      <w:r w:rsidRPr="00FE3A13">
        <w:t xml:space="preserve">Au printemps 2024, lors de la présentation des comptes 2023 notamment, le Conseil d’Etat avait fait part de ses préoccupations au sujet des perspectives financières de l’Etat. Il considérait alors que la situation augurait d’un changement de paradigme, qui impacterait les exercices futurs. Le 4 juillet 2024, il a indiqué par communiqué de presse que les difficultés rencontrées dans les travaux de préparation du budget 2025 et d’actualisation du plan financier pour la période 2026-2028 confirmaient les craintes exprimées et qu’il se voyait contraint d’élaborer un programme d’assainissement des finances de l’Etat. Malgré les importants efforts déjà entrepris dans l’intervalle pour </w:t>
      </w:r>
      <w:r w:rsidRPr="00FE3A13">
        <w:lastRenderedPageBreak/>
        <w:t>équilibrer le budget 2025 et réduire les déficits prévus pour les années 2026 à 20</w:t>
      </w:r>
      <w:r w:rsidR="00836320" w:rsidRPr="00FE3A13">
        <w:t>2</w:t>
      </w:r>
      <w:r w:rsidRPr="00FE3A13">
        <w:t>8, la mise en œuvre d’un PAFE reste inéluctable</w:t>
      </w:r>
      <w:r w:rsidR="002C4525" w:rsidRPr="00FE3A13">
        <w:t xml:space="preserve"> au vu des dispositions constitutionnelles et légales en vigueur.</w:t>
      </w:r>
    </w:p>
    <w:p w14:paraId="4208F0B9" w14:textId="48796D9E" w:rsidR="00425C87" w:rsidRPr="00FE3A13" w:rsidRDefault="00385C6D" w:rsidP="00425C87">
      <w:pPr>
        <w:pStyle w:val="Titre2"/>
      </w:pPr>
      <w:bookmarkStart w:id="3" w:name="_Toc195714666"/>
      <w:r w:rsidRPr="00FE3A13">
        <w:t>Règle d’équilibre budgétaire</w:t>
      </w:r>
      <w:bookmarkEnd w:id="3"/>
      <w:r w:rsidR="00425C87" w:rsidRPr="00FE3A13">
        <w:t xml:space="preserve"> </w:t>
      </w:r>
    </w:p>
    <w:p w14:paraId="5A1AC032" w14:textId="3FA01F9A" w:rsidR="00567397" w:rsidRPr="00FE3A13" w:rsidRDefault="00671573" w:rsidP="004230AF">
      <w:pPr>
        <w:pStyle w:val="Corpsdetexte"/>
      </w:pPr>
      <w:r w:rsidRPr="00FE3A13">
        <w:t>Selon l’article 83 de la constitution du canton de Fribourg du 16 mai 20</w:t>
      </w:r>
      <w:r w:rsidR="006D43B8" w:rsidRPr="00FE3A13">
        <w:t>0</w:t>
      </w:r>
      <w:r w:rsidRPr="00FE3A13">
        <w:t>4</w:t>
      </w:r>
      <w:r w:rsidR="00567397" w:rsidRPr="00FE3A13">
        <w:t xml:space="preserve"> (Cst.)</w:t>
      </w:r>
      <w:r w:rsidRPr="00FE3A13">
        <w:t>, l’Etat est tenu d’équilibrer son budget de fonctionnement, en tenant compte de la situation conjoncturelle et d’éventuels besoins financiers exce</w:t>
      </w:r>
      <w:r w:rsidR="00567397" w:rsidRPr="00FE3A13">
        <w:t xml:space="preserve">ptionnels. Les </w:t>
      </w:r>
      <w:r w:rsidR="009D1B99" w:rsidRPr="00FE3A13">
        <w:t xml:space="preserve">éventuels </w:t>
      </w:r>
      <w:r w:rsidR="00567397" w:rsidRPr="00FE3A13">
        <w:t>déficits engendrés par ces situations doivent être compensés dans les années suivantes.</w:t>
      </w:r>
    </w:p>
    <w:p w14:paraId="6A33009F" w14:textId="2B3AB3BA" w:rsidR="004230AF" w:rsidRPr="00FE3A13" w:rsidRDefault="00567397" w:rsidP="004230AF">
      <w:pPr>
        <w:pStyle w:val="Corpsdetexte"/>
      </w:pPr>
      <w:r w:rsidRPr="00FE3A13">
        <w:t>Ce</w:t>
      </w:r>
      <w:r w:rsidR="005873E4" w:rsidRPr="00FE3A13">
        <w:t>tte règle</w:t>
      </w:r>
      <w:r w:rsidRPr="00FE3A13">
        <w:t xml:space="preserve"> d’équilibre est repris</w:t>
      </w:r>
      <w:r w:rsidR="005873E4" w:rsidRPr="00FE3A13">
        <w:t>e</w:t>
      </w:r>
      <w:r w:rsidRPr="00FE3A13">
        <w:t xml:space="preserve"> aux articles 40a et suivants de la loi du 25 novembre 1994 sur les finances de l’Etat (LFE). </w:t>
      </w:r>
      <w:r w:rsidR="009D1B99" w:rsidRPr="00FE3A13">
        <w:t>D</w:t>
      </w:r>
      <w:r w:rsidRPr="00FE3A13">
        <w:t xml:space="preserve">es </w:t>
      </w:r>
      <w:r w:rsidR="005873E4" w:rsidRPr="00FE3A13">
        <w:t>dérogations</w:t>
      </w:r>
      <w:r w:rsidRPr="00FE3A13">
        <w:t xml:space="preserve"> so</w:t>
      </w:r>
      <w:r w:rsidR="009D1B99" w:rsidRPr="00FE3A13">
        <w:t>n</w:t>
      </w:r>
      <w:r w:rsidRPr="00FE3A13">
        <w:t xml:space="preserve">t admissibles en cas de situation conjoncturelle difficile ou de besoins financiers exceptionnel au sens des articles 40b et 40c LFE. Les </w:t>
      </w:r>
      <w:r w:rsidR="005873E4" w:rsidRPr="00FE3A13">
        <w:t>critères</w:t>
      </w:r>
      <w:r w:rsidRPr="00FE3A13">
        <w:t xml:space="preserve"> </w:t>
      </w:r>
      <w:r w:rsidR="009D1B99" w:rsidRPr="00FE3A13">
        <w:t>déterminant le caractère difficile d’une situation conjoncturelle ou exceptionnel d’un besoin financier</w:t>
      </w:r>
      <w:r w:rsidR="005873E4" w:rsidRPr="00FE3A13">
        <w:t xml:space="preserve"> sont précisés aux articles 22b et 22c du règlement du 12 mars 1996 d’exécution de la loi sur les finances (RFE).</w:t>
      </w:r>
    </w:p>
    <w:p w14:paraId="708A4A99" w14:textId="7CE93C05" w:rsidR="005873E4" w:rsidRPr="00FE3A13" w:rsidRDefault="005873E4" w:rsidP="004230AF">
      <w:pPr>
        <w:pStyle w:val="Corpsdetexte"/>
      </w:pPr>
      <w:r w:rsidRPr="00FE3A13">
        <w:t xml:space="preserve">Les conditions </w:t>
      </w:r>
      <w:r w:rsidR="00AC076B" w:rsidRPr="00FE3A13">
        <w:t>qui permettraient</w:t>
      </w:r>
      <w:r w:rsidRPr="00FE3A13">
        <w:t xml:space="preserve"> de déroger à la règle d’équilibre budgétaire n</w:t>
      </w:r>
      <w:r w:rsidR="00AC076B" w:rsidRPr="00FE3A13">
        <w:t>’ont pas été remplie</w:t>
      </w:r>
      <w:r w:rsidR="00836320" w:rsidRPr="00FE3A13">
        <w:t>s</w:t>
      </w:r>
      <w:r w:rsidR="00AC076B" w:rsidRPr="00FE3A13">
        <w:t xml:space="preserve"> pour le budget</w:t>
      </w:r>
      <w:r w:rsidRPr="00FE3A13">
        <w:t xml:space="preserve"> 2025 et, selon les</w:t>
      </w:r>
      <w:r w:rsidR="009D1B99" w:rsidRPr="00FE3A13">
        <w:t xml:space="preserve"> prévisions</w:t>
      </w:r>
      <w:r w:rsidRPr="00FE3A13">
        <w:t xml:space="preserve"> macroéconomiques </w:t>
      </w:r>
      <w:r w:rsidR="009D1B99" w:rsidRPr="00FE3A13">
        <w:t>et autres informations pertinentes disponibles</w:t>
      </w:r>
      <w:r w:rsidRPr="00FE3A13">
        <w:t xml:space="preserve"> à ce </w:t>
      </w:r>
      <w:r w:rsidR="00AC076B" w:rsidRPr="00FE3A13">
        <w:t>jour</w:t>
      </w:r>
      <w:r w:rsidRPr="00FE3A13">
        <w:t xml:space="preserve">, ne le seront pas non plus pour </w:t>
      </w:r>
      <w:r w:rsidR="00AC076B" w:rsidRPr="00FE3A13">
        <w:t>les budgets 2026 et suivant</w:t>
      </w:r>
      <w:r w:rsidR="009D1B99" w:rsidRPr="00FE3A13">
        <w:t>s</w:t>
      </w:r>
      <w:r w:rsidR="00AC076B" w:rsidRPr="00FE3A13">
        <w:t xml:space="preserve">. Le Conseil d’Etat est donc contraint de prendre des mesures pour respecter l’exigence </w:t>
      </w:r>
      <w:r w:rsidR="009D1B99" w:rsidRPr="00FE3A13">
        <w:t xml:space="preserve">constitutionnelle et légale </w:t>
      </w:r>
      <w:r w:rsidR="00AC076B" w:rsidRPr="00FE3A13">
        <w:t>d’équilibre</w:t>
      </w:r>
      <w:r w:rsidR="009D1B99" w:rsidRPr="00FE3A13">
        <w:t xml:space="preserve"> budgétaire</w:t>
      </w:r>
      <w:r w:rsidR="00AC076B" w:rsidRPr="00FE3A13">
        <w:t>.</w:t>
      </w:r>
    </w:p>
    <w:p w14:paraId="16B4EFA7" w14:textId="300C1CAF" w:rsidR="00425C87" w:rsidRPr="00FE3A13" w:rsidRDefault="00425C87" w:rsidP="00425C87">
      <w:pPr>
        <w:pStyle w:val="Titre2"/>
      </w:pPr>
      <w:bookmarkStart w:id="4" w:name="_Toc195714667"/>
      <w:r w:rsidRPr="00FE3A13">
        <w:t>Résultat du plan financier actualisé</w:t>
      </w:r>
      <w:bookmarkEnd w:id="4"/>
    </w:p>
    <w:p w14:paraId="7706A6E0" w14:textId="64196EC1" w:rsidR="004230AF" w:rsidRPr="00FE3A13" w:rsidRDefault="005B2815" w:rsidP="004230AF">
      <w:pPr>
        <w:pStyle w:val="Corpsdetexte"/>
      </w:pPr>
      <w:r w:rsidRPr="00FE3A13">
        <w:t>Le Conseil d’Etat a présenté les résultats de l’actualisation du plan financier pour les années 2026-2028 dans le cadre du rapport 2024-DFIN-52 du 16 décembre 2024, dont le Grand Conseil a discuté</w:t>
      </w:r>
      <w:r w:rsidR="00527A8C" w:rsidRPr="00FE3A13">
        <w:t xml:space="preserve"> et a pris acte</w:t>
      </w:r>
      <w:r w:rsidRPr="00FE3A13">
        <w:t xml:space="preserve"> lors de la session de mars 2025. Les principaux éléments à retenir sont résumés dans le tableau ci-dessous, en millions de francs. Ils ne comprennent pas les effets du programme d’allègement budgétaire fédéral</w:t>
      </w:r>
      <w:r w:rsidR="00527A8C" w:rsidRPr="00FE3A13">
        <w:t>,</w:t>
      </w:r>
      <w:r w:rsidRPr="00FE3A13">
        <w:t xml:space="preserve"> qui </w:t>
      </w:r>
      <w:r w:rsidR="00527A8C" w:rsidRPr="00FE3A13">
        <w:t>sont</w:t>
      </w:r>
      <w:r w:rsidRPr="00FE3A13">
        <w:t xml:space="preserve"> évoqué</w:t>
      </w:r>
      <w:r w:rsidR="00527A8C" w:rsidRPr="00FE3A13">
        <w:t>s</w:t>
      </w:r>
      <w:r w:rsidRPr="00FE3A13">
        <w:t xml:space="preserve"> dans le cadre de la section </w:t>
      </w:r>
      <w:r w:rsidR="009E2CAA">
        <w:t>2.4</w:t>
      </w:r>
      <w:r w:rsidRPr="00FE3A13">
        <w:t>.</w:t>
      </w:r>
    </w:p>
    <w:p w14:paraId="78CF61D4" w14:textId="060A75E6" w:rsidR="004230AF" w:rsidRPr="00FE3A13" w:rsidRDefault="004230AF" w:rsidP="004230AF">
      <w:pPr>
        <w:pStyle w:val="Corpsdetexte"/>
      </w:pPr>
    </w:p>
    <w:tbl>
      <w:tblPr>
        <w:tblStyle w:val="EtatFribourg"/>
        <w:tblW w:w="5000"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3485"/>
        <w:gridCol w:w="1285"/>
        <w:gridCol w:w="1288"/>
        <w:gridCol w:w="1288"/>
        <w:gridCol w:w="1288"/>
        <w:gridCol w:w="1286"/>
      </w:tblGrid>
      <w:tr w:rsidR="00826D85" w:rsidRPr="00FE3A13" w14:paraId="14A5316D" w14:textId="77777777" w:rsidTr="00DA2DB7">
        <w:trPr>
          <w:trHeight w:val="156"/>
        </w:trPr>
        <w:tc>
          <w:tcPr>
            <w:tcW w:w="1757" w:type="pct"/>
            <w:tcBorders>
              <w:top w:val="single" w:sz="12" w:space="0" w:color="auto"/>
              <w:bottom w:val="single" w:sz="2" w:space="0" w:color="auto"/>
            </w:tcBorders>
          </w:tcPr>
          <w:p w14:paraId="61D81B81" w14:textId="77777777" w:rsidR="00826D85" w:rsidRPr="00FE3A13" w:rsidRDefault="00826D85" w:rsidP="00DA2DB7">
            <w:pPr>
              <w:pStyle w:val="FRNIVTableauSoustitre"/>
              <w:rPr>
                <w:b/>
                <w:bCs w:val="0"/>
                <w:color w:val="auto"/>
                <w:sz w:val="18"/>
                <w:szCs w:val="18"/>
              </w:rPr>
            </w:pPr>
            <w:r w:rsidRPr="00FE3A13">
              <w:rPr>
                <w:b/>
                <w:bCs w:val="0"/>
                <w:color w:val="auto"/>
                <w:sz w:val="18"/>
                <w:szCs w:val="18"/>
              </w:rPr>
              <w:t xml:space="preserve">Plan financier pour la période </w:t>
            </w:r>
          </w:p>
          <w:p w14:paraId="3AA40E7D" w14:textId="77777777" w:rsidR="00826D85" w:rsidRPr="00FE3A13" w:rsidRDefault="00826D85" w:rsidP="00DA2DB7">
            <w:pPr>
              <w:pStyle w:val="FRNIVTableauSoustitre"/>
              <w:rPr>
                <w:sz w:val="18"/>
                <w:szCs w:val="18"/>
              </w:rPr>
            </w:pPr>
            <w:r w:rsidRPr="00FE3A13">
              <w:rPr>
                <w:b/>
                <w:bCs w:val="0"/>
                <w:color w:val="auto"/>
                <w:sz w:val="18"/>
                <w:szCs w:val="18"/>
              </w:rPr>
              <w:t>2025-2028</w:t>
            </w:r>
          </w:p>
        </w:tc>
        <w:tc>
          <w:tcPr>
            <w:tcW w:w="648" w:type="pct"/>
            <w:tcBorders>
              <w:top w:val="single" w:sz="12" w:space="0" w:color="auto"/>
              <w:bottom w:val="single" w:sz="2" w:space="0" w:color="auto"/>
            </w:tcBorders>
          </w:tcPr>
          <w:p w14:paraId="42CC9718" w14:textId="77777777" w:rsidR="00826D85" w:rsidRPr="00FE3A13" w:rsidRDefault="00826D85" w:rsidP="00DA2DB7">
            <w:pPr>
              <w:pStyle w:val="FRNIVTableauSoustitre"/>
              <w:ind w:right="85"/>
              <w:rPr>
                <w:sz w:val="18"/>
                <w:szCs w:val="18"/>
              </w:rPr>
            </w:pPr>
          </w:p>
        </w:tc>
        <w:tc>
          <w:tcPr>
            <w:tcW w:w="649" w:type="pct"/>
            <w:tcBorders>
              <w:top w:val="single" w:sz="12" w:space="0" w:color="auto"/>
              <w:bottom w:val="single" w:sz="2" w:space="0" w:color="auto"/>
            </w:tcBorders>
          </w:tcPr>
          <w:p w14:paraId="3DCD4AB6" w14:textId="77777777" w:rsidR="00826D85" w:rsidRPr="00FE3A13" w:rsidRDefault="00826D85" w:rsidP="00DA2DB7">
            <w:pPr>
              <w:pStyle w:val="FRNIVTableauSoustitre"/>
              <w:ind w:right="171"/>
              <w:rPr>
                <w:sz w:val="18"/>
                <w:szCs w:val="18"/>
              </w:rPr>
            </w:pPr>
          </w:p>
        </w:tc>
        <w:tc>
          <w:tcPr>
            <w:tcW w:w="649" w:type="pct"/>
            <w:tcBorders>
              <w:top w:val="single" w:sz="12" w:space="0" w:color="auto"/>
              <w:bottom w:val="single" w:sz="2" w:space="0" w:color="auto"/>
            </w:tcBorders>
          </w:tcPr>
          <w:p w14:paraId="07B7FD8A" w14:textId="77777777" w:rsidR="00826D85" w:rsidRPr="00FE3A13" w:rsidRDefault="00826D85" w:rsidP="00DA2DB7">
            <w:pPr>
              <w:pStyle w:val="FRNIVTableauSoustitre"/>
              <w:ind w:right="171"/>
              <w:rPr>
                <w:sz w:val="18"/>
                <w:szCs w:val="18"/>
              </w:rPr>
            </w:pPr>
          </w:p>
        </w:tc>
        <w:tc>
          <w:tcPr>
            <w:tcW w:w="649" w:type="pct"/>
            <w:tcBorders>
              <w:top w:val="single" w:sz="12" w:space="0" w:color="auto"/>
              <w:bottom w:val="single" w:sz="2" w:space="0" w:color="auto"/>
            </w:tcBorders>
          </w:tcPr>
          <w:p w14:paraId="38864D4F" w14:textId="77777777" w:rsidR="00826D85" w:rsidRPr="00FE3A13" w:rsidRDefault="00826D85" w:rsidP="00DA2DB7">
            <w:pPr>
              <w:pStyle w:val="FRNIVTableauSoustitre"/>
              <w:ind w:right="171"/>
              <w:rPr>
                <w:sz w:val="18"/>
                <w:szCs w:val="18"/>
              </w:rPr>
            </w:pPr>
          </w:p>
        </w:tc>
        <w:tc>
          <w:tcPr>
            <w:tcW w:w="649" w:type="pct"/>
            <w:tcBorders>
              <w:top w:val="single" w:sz="12" w:space="0" w:color="auto"/>
              <w:bottom w:val="single" w:sz="2" w:space="0" w:color="auto"/>
            </w:tcBorders>
          </w:tcPr>
          <w:p w14:paraId="13508FB1" w14:textId="77777777" w:rsidR="00826D85" w:rsidRPr="00FE3A13" w:rsidRDefault="00826D85" w:rsidP="00DA2DB7">
            <w:pPr>
              <w:pStyle w:val="FRNIVTableauSoustitre"/>
              <w:ind w:right="171"/>
              <w:rPr>
                <w:sz w:val="18"/>
                <w:szCs w:val="18"/>
              </w:rPr>
            </w:pPr>
          </w:p>
        </w:tc>
      </w:tr>
      <w:tr w:rsidR="00826D85" w:rsidRPr="00FE3A13" w14:paraId="109449D5" w14:textId="77777777" w:rsidTr="00DA2DB7">
        <w:trPr>
          <w:trHeight w:val="156"/>
        </w:trPr>
        <w:tc>
          <w:tcPr>
            <w:tcW w:w="1757" w:type="pct"/>
            <w:tcBorders>
              <w:top w:val="single" w:sz="2" w:space="0" w:color="auto"/>
              <w:bottom w:val="single" w:sz="2" w:space="0" w:color="auto"/>
            </w:tcBorders>
          </w:tcPr>
          <w:p w14:paraId="2065D7F3" w14:textId="77777777" w:rsidR="00826D85" w:rsidRPr="00FE3A13" w:rsidRDefault="00826D85" w:rsidP="00DA2DB7">
            <w:pPr>
              <w:pStyle w:val="NIVtableau"/>
              <w:ind w:right="141"/>
              <w:rPr>
                <w:color w:val="auto"/>
                <w:szCs w:val="18"/>
              </w:rPr>
            </w:pPr>
          </w:p>
        </w:tc>
        <w:tc>
          <w:tcPr>
            <w:tcW w:w="648" w:type="pct"/>
            <w:tcBorders>
              <w:top w:val="single" w:sz="2" w:space="0" w:color="auto"/>
              <w:bottom w:val="single" w:sz="2" w:space="0" w:color="auto"/>
            </w:tcBorders>
          </w:tcPr>
          <w:p w14:paraId="7E1A4556" w14:textId="77777777" w:rsidR="00826D85" w:rsidRPr="00FE3A13" w:rsidRDefault="00826D85" w:rsidP="00DA2DB7">
            <w:pPr>
              <w:pStyle w:val="NIVtableauSoustitrealigndroite"/>
              <w:ind w:left="118" w:right="85"/>
              <w:rPr>
                <w:b/>
                <w:bCs w:val="0"/>
                <w:color w:val="auto"/>
                <w:sz w:val="18"/>
                <w:szCs w:val="18"/>
              </w:rPr>
            </w:pPr>
            <w:r w:rsidRPr="00FE3A13">
              <w:rPr>
                <w:b/>
                <w:bCs w:val="0"/>
                <w:color w:val="auto"/>
                <w:sz w:val="18"/>
                <w:szCs w:val="18"/>
              </w:rPr>
              <w:t>Budget</w:t>
            </w:r>
          </w:p>
          <w:p w14:paraId="50E3000F" w14:textId="77777777" w:rsidR="00826D85" w:rsidRPr="00FE3A13" w:rsidRDefault="00826D85" w:rsidP="00DA2DB7">
            <w:pPr>
              <w:pStyle w:val="NIVtableauSoustitrealigndroite"/>
              <w:ind w:right="85"/>
              <w:rPr>
                <w:b/>
                <w:bCs w:val="0"/>
                <w:color w:val="auto"/>
                <w:sz w:val="18"/>
                <w:szCs w:val="18"/>
              </w:rPr>
            </w:pPr>
            <w:r w:rsidRPr="00FE3A13">
              <w:rPr>
                <w:b/>
                <w:bCs w:val="0"/>
                <w:color w:val="auto"/>
                <w:sz w:val="18"/>
                <w:szCs w:val="18"/>
              </w:rPr>
              <w:t>2025</w:t>
            </w:r>
          </w:p>
        </w:tc>
        <w:tc>
          <w:tcPr>
            <w:tcW w:w="649" w:type="pct"/>
            <w:tcBorders>
              <w:top w:val="single" w:sz="2" w:space="0" w:color="auto"/>
              <w:bottom w:val="single" w:sz="2" w:space="0" w:color="auto"/>
            </w:tcBorders>
          </w:tcPr>
          <w:p w14:paraId="2F861731"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Plan financier</w:t>
            </w:r>
          </w:p>
          <w:p w14:paraId="4634812D"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2026</w:t>
            </w:r>
          </w:p>
        </w:tc>
        <w:tc>
          <w:tcPr>
            <w:tcW w:w="649" w:type="pct"/>
            <w:tcBorders>
              <w:top w:val="single" w:sz="2" w:space="0" w:color="auto"/>
              <w:bottom w:val="single" w:sz="2" w:space="0" w:color="auto"/>
            </w:tcBorders>
          </w:tcPr>
          <w:p w14:paraId="674C7509"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Plan financier</w:t>
            </w:r>
          </w:p>
          <w:p w14:paraId="7B32C45D"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2027</w:t>
            </w:r>
          </w:p>
        </w:tc>
        <w:tc>
          <w:tcPr>
            <w:tcW w:w="649" w:type="pct"/>
            <w:tcBorders>
              <w:top w:val="single" w:sz="2" w:space="0" w:color="auto"/>
              <w:bottom w:val="single" w:sz="2" w:space="0" w:color="auto"/>
            </w:tcBorders>
          </w:tcPr>
          <w:p w14:paraId="65A42BC7"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 xml:space="preserve">Plan financier </w:t>
            </w:r>
          </w:p>
          <w:p w14:paraId="66306534"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2028</w:t>
            </w:r>
          </w:p>
        </w:tc>
        <w:tc>
          <w:tcPr>
            <w:tcW w:w="649" w:type="pct"/>
            <w:tcBorders>
              <w:top w:val="single" w:sz="2" w:space="0" w:color="auto"/>
              <w:bottom w:val="single" w:sz="2" w:space="0" w:color="auto"/>
            </w:tcBorders>
          </w:tcPr>
          <w:p w14:paraId="69A77C04"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Période</w:t>
            </w:r>
          </w:p>
          <w:p w14:paraId="594D9685" w14:textId="77777777" w:rsidR="00826D85" w:rsidRPr="00FE3A13" w:rsidRDefault="00826D85" w:rsidP="00DA2DB7">
            <w:pPr>
              <w:pStyle w:val="NIVtableauSoustitrealigndroite"/>
              <w:ind w:right="171"/>
              <w:rPr>
                <w:b/>
                <w:bCs w:val="0"/>
                <w:color w:val="auto"/>
                <w:sz w:val="18"/>
                <w:szCs w:val="18"/>
              </w:rPr>
            </w:pPr>
            <w:r w:rsidRPr="00FE3A13">
              <w:rPr>
                <w:b/>
                <w:bCs w:val="0"/>
                <w:color w:val="auto"/>
                <w:sz w:val="18"/>
                <w:szCs w:val="18"/>
              </w:rPr>
              <w:t>2025-2028</w:t>
            </w:r>
          </w:p>
        </w:tc>
      </w:tr>
      <w:tr w:rsidR="00826D85" w:rsidRPr="00FE3A13" w14:paraId="51C05FEB" w14:textId="77777777" w:rsidTr="00DA2DB7">
        <w:trPr>
          <w:trHeight w:val="203"/>
        </w:trPr>
        <w:tc>
          <w:tcPr>
            <w:tcW w:w="1757" w:type="pct"/>
            <w:tcBorders>
              <w:top w:val="single" w:sz="2" w:space="0" w:color="auto"/>
              <w:bottom w:val="single" w:sz="2" w:space="0" w:color="auto"/>
            </w:tcBorders>
          </w:tcPr>
          <w:p w14:paraId="23E117DE" w14:textId="77777777" w:rsidR="00826D85" w:rsidRPr="00FE3A13" w:rsidRDefault="00826D85" w:rsidP="00DA2DB7">
            <w:pPr>
              <w:pStyle w:val="NIVtableauunits"/>
              <w:rPr>
                <w:color w:val="auto"/>
                <w:szCs w:val="18"/>
              </w:rPr>
            </w:pPr>
          </w:p>
        </w:tc>
        <w:tc>
          <w:tcPr>
            <w:tcW w:w="648" w:type="pct"/>
            <w:tcBorders>
              <w:top w:val="single" w:sz="2" w:space="0" w:color="auto"/>
              <w:bottom w:val="single" w:sz="2" w:space="0" w:color="auto"/>
            </w:tcBorders>
          </w:tcPr>
          <w:p w14:paraId="0D5D6EED" w14:textId="77777777" w:rsidR="00826D85" w:rsidRPr="00FE3A13" w:rsidRDefault="00826D85" w:rsidP="00DA2DB7">
            <w:pPr>
              <w:pStyle w:val="NIVtableauunits"/>
              <w:ind w:right="85"/>
              <w:rPr>
                <w:color w:val="auto"/>
                <w:szCs w:val="18"/>
              </w:rPr>
            </w:pPr>
            <w:r w:rsidRPr="00FE3A13">
              <w:rPr>
                <w:color w:val="auto"/>
                <w:szCs w:val="18"/>
              </w:rPr>
              <w:t>mios</w:t>
            </w:r>
          </w:p>
        </w:tc>
        <w:tc>
          <w:tcPr>
            <w:tcW w:w="649" w:type="pct"/>
            <w:tcBorders>
              <w:top w:val="single" w:sz="2" w:space="0" w:color="auto"/>
              <w:bottom w:val="single" w:sz="2" w:space="0" w:color="auto"/>
            </w:tcBorders>
          </w:tcPr>
          <w:p w14:paraId="54753451" w14:textId="77777777" w:rsidR="00826D85" w:rsidRPr="00FE3A13" w:rsidRDefault="00826D85" w:rsidP="00DA2DB7">
            <w:pPr>
              <w:pStyle w:val="NIVtableauunits"/>
              <w:ind w:right="171"/>
              <w:rPr>
                <w:color w:val="auto"/>
                <w:szCs w:val="18"/>
              </w:rPr>
            </w:pPr>
            <w:r w:rsidRPr="00FE3A13">
              <w:rPr>
                <w:color w:val="auto"/>
                <w:szCs w:val="18"/>
              </w:rPr>
              <w:t>mios</w:t>
            </w:r>
          </w:p>
        </w:tc>
        <w:tc>
          <w:tcPr>
            <w:tcW w:w="649" w:type="pct"/>
            <w:tcBorders>
              <w:top w:val="single" w:sz="2" w:space="0" w:color="auto"/>
              <w:bottom w:val="single" w:sz="2" w:space="0" w:color="auto"/>
            </w:tcBorders>
          </w:tcPr>
          <w:p w14:paraId="2F64E670" w14:textId="77777777" w:rsidR="00826D85" w:rsidRPr="00FE3A13" w:rsidRDefault="00826D85" w:rsidP="00DA2DB7">
            <w:pPr>
              <w:pStyle w:val="NIVtableauunits"/>
              <w:ind w:right="171"/>
              <w:rPr>
                <w:color w:val="auto"/>
                <w:szCs w:val="18"/>
              </w:rPr>
            </w:pPr>
            <w:r w:rsidRPr="00FE3A13">
              <w:rPr>
                <w:color w:val="auto"/>
                <w:szCs w:val="18"/>
              </w:rPr>
              <w:t>mios</w:t>
            </w:r>
          </w:p>
        </w:tc>
        <w:tc>
          <w:tcPr>
            <w:tcW w:w="649" w:type="pct"/>
            <w:tcBorders>
              <w:top w:val="single" w:sz="2" w:space="0" w:color="auto"/>
              <w:bottom w:val="single" w:sz="2" w:space="0" w:color="auto"/>
            </w:tcBorders>
          </w:tcPr>
          <w:p w14:paraId="4CE91673" w14:textId="77777777" w:rsidR="00826D85" w:rsidRPr="00FE3A13" w:rsidRDefault="00826D85" w:rsidP="00DA2DB7">
            <w:pPr>
              <w:pStyle w:val="NIVtableauunits"/>
              <w:ind w:right="171"/>
              <w:rPr>
                <w:color w:val="auto"/>
                <w:szCs w:val="18"/>
              </w:rPr>
            </w:pPr>
            <w:r w:rsidRPr="00FE3A13">
              <w:rPr>
                <w:color w:val="auto"/>
                <w:szCs w:val="18"/>
              </w:rPr>
              <w:t>mios</w:t>
            </w:r>
          </w:p>
        </w:tc>
        <w:tc>
          <w:tcPr>
            <w:tcW w:w="649" w:type="pct"/>
            <w:tcBorders>
              <w:top w:val="single" w:sz="2" w:space="0" w:color="auto"/>
              <w:bottom w:val="single" w:sz="2" w:space="0" w:color="auto"/>
            </w:tcBorders>
          </w:tcPr>
          <w:p w14:paraId="250F29B9" w14:textId="77777777" w:rsidR="00826D85" w:rsidRPr="00FE3A13" w:rsidRDefault="00826D85" w:rsidP="00DA2DB7">
            <w:pPr>
              <w:pStyle w:val="NIVtableauunits"/>
              <w:ind w:right="171"/>
              <w:rPr>
                <w:color w:val="auto"/>
                <w:szCs w:val="18"/>
              </w:rPr>
            </w:pPr>
            <w:r w:rsidRPr="00FE3A13">
              <w:rPr>
                <w:color w:val="auto"/>
                <w:szCs w:val="18"/>
              </w:rPr>
              <w:t>mios</w:t>
            </w:r>
          </w:p>
        </w:tc>
      </w:tr>
      <w:tr w:rsidR="00826D85" w:rsidRPr="00FE3A13" w14:paraId="7C0E3939" w14:textId="77777777" w:rsidTr="00DA2DB7">
        <w:tc>
          <w:tcPr>
            <w:tcW w:w="1757" w:type="pct"/>
            <w:tcBorders>
              <w:top w:val="single" w:sz="2" w:space="0" w:color="auto"/>
              <w:bottom w:val="single" w:sz="2" w:space="0" w:color="auto"/>
            </w:tcBorders>
          </w:tcPr>
          <w:p w14:paraId="5C2C9FAC" w14:textId="77777777" w:rsidR="00826D85" w:rsidRPr="00FE3A13" w:rsidRDefault="00826D85" w:rsidP="00DA2DB7">
            <w:pPr>
              <w:pStyle w:val="NIVtableau"/>
              <w:rPr>
                <w:b/>
                <w:color w:val="auto"/>
                <w:szCs w:val="18"/>
              </w:rPr>
            </w:pPr>
            <w:r w:rsidRPr="00FE3A13">
              <w:rPr>
                <w:color w:val="auto"/>
                <w:szCs w:val="18"/>
              </w:rPr>
              <w:t>Boni (+) / Déficit (</w:t>
            </w:r>
            <w:r w:rsidRPr="00FE3A13">
              <w:rPr>
                <w:color w:val="auto"/>
                <w:szCs w:val="18"/>
              </w:rPr>
              <w:noBreakHyphen/>
              <w:t>) du compte de résultats</w:t>
            </w:r>
          </w:p>
        </w:tc>
        <w:tc>
          <w:tcPr>
            <w:tcW w:w="648" w:type="pct"/>
            <w:tcBorders>
              <w:top w:val="single" w:sz="2" w:space="0" w:color="auto"/>
              <w:bottom w:val="single" w:sz="2" w:space="0" w:color="auto"/>
            </w:tcBorders>
            <w:vAlign w:val="center"/>
          </w:tcPr>
          <w:p w14:paraId="36F67981" w14:textId="77777777" w:rsidR="00826D85" w:rsidRPr="00FE3A13" w:rsidRDefault="00826D85" w:rsidP="00DA2DB7">
            <w:pPr>
              <w:pStyle w:val="NIVtableauchiffres"/>
              <w:ind w:right="85"/>
              <w:rPr>
                <w:color w:val="auto"/>
                <w:szCs w:val="18"/>
              </w:rPr>
            </w:pPr>
            <w:r w:rsidRPr="00FE3A13">
              <w:rPr>
                <w:color w:val="auto"/>
                <w:szCs w:val="18"/>
              </w:rPr>
              <w:t>+ 0,7</w:t>
            </w:r>
          </w:p>
        </w:tc>
        <w:tc>
          <w:tcPr>
            <w:tcW w:w="649" w:type="pct"/>
            <w:tcBorders>
              <w:top w:val="single" w:sz="2" w:space="0" w:color="auto"/>
              <w:bottom w:val="single" w:sz="2" w:space="0" w:color="auto"/>
            </w:tcBorders>
            <w:vAlign w:val="center"/>
          </w:tcPr>
          <w:p w14:paraId="28A0128C" w14:textId="77777777" w:rsidR="00826D85" w:rsidRPr="00FE3A13" w:rsidRDefault="00826D85" w:rsidP="00DA2DB7">
            <w:pPr>
              <w:pStyle w:val="NIVtableauchiffres"/>
              <w:ind w:right="171"/>
              <w:rPr>
                <w:color w:val="auto"/>
                <w:szCs w:val="18"/>
              </w:rPr>
            </w:pPr>
            <w:r w:rsidRPr="00FE3A13">
              <w:rPr>
                <w:color w:val="auto"/>
                <w:szCs w:val="18"/>
              </w:rPr>
              <w:t>– 147,1</w:t>
            </w:r>
          </w:p>
        </w:tc>
        <w:tc>
          <w:tcPr>
            <w:tcW w:w="649" w:type="pct"/>
            <w:tcBorders>
              <w:top w:val="single" w:sz="2" w:space="0" w:color="auto"/>
              <w:bottom w:val="single" w:sz="2" w:space="0" w:color="auto"/>
            </w:tcBorders>
            <w:vAlign w:val="center"/>
          </w:tcPr>
          <w:p w14:paraId="1FF43FAE" w14:textId="77777777" w:rsidR="00826D85" w:rsidRPr="00FE3A13" w:rsidRDefault="00826D85" w:rsidP="00DA2DB7">
            <w:pPr>
              <w:pStyle w:val="NIVtableauchiffres"/>
              <w:ind w:right="171"/>
              <w:rPr>
                <w:color w:val="auto"/>
                <w:szCs w:val="18"/>
              </w:rPr>
            </w:pPr>
            <w:r w:rsidRPr="00FE3A13">
              <w:rPr>
                <w:color w:val="auto"/>
                <w:szCs w:val="18"/>
              </w:rPr>
              <w:t>– 150,5</w:t>
            </w:r>
          </w:p>
        </w:tc>
        <w:tc>
          <w:tcPr>
            <w:tcW w:w="649" w:type="pct"/>
            <w:tcBorders>
              <w:top w:val="single" w:sz="2" w:space="0" w:color="auto"/>
              <w:bottom w:val="single" w:sz="2" w:space="0" w:color="auto"/>
            </w:tcBorders>
            <w:vAlign w:val="center"/>
          </w:tcPr>
          <w:p w14:paraId="783BC03D" w14:textId="77777777" w:rsidR="00826D85" w:rsidRPr="00FE3A13" w:rsidRDefault="00826D85" w:rsidP="00DA2DB7">
            <w:pPr>
              <w:pStyle w:val="NIVtableauchiffres"/>
              <w:ind w:right="171"/>
              <w:rPr>
                <w:color w:val="auto"/>
                <w:szCs w:val="18"/>
              </w:rPr>
            </w:pPr>
            <w:r w:rsidRPr="00FE3A13">
              <w:rPr>
                <w:color w:val="auto"/>
                <w:szCs w:val="18"/>
              </w:rPr>
              <w:t>– 139,0</w:t>
            </w:r>
          </w:p>
        </w:tc>
        <w:tc>
          <w:tcPr>
            <w:tcW w:w="649" w:type="pct"/>
            <w:tcBorders>
              <w:top w:val="single" w:sz="2" w:space="0" w:color="auto"/>
              <w:bottom w:val="single" w:sz="2" w:space="0" w:color="auto"/>
            </w:tcBorders>
            <w:vAlign w:val="center"/>
          </w:tcPr>
          <w:p w14:paraId="274ACFAF" w14:textId="77777777" w:rsidR="00826D85" w:rsidRPr="00FE3A13" w:rsidRDefault="00826D85" w:rsidP="00DA2DB7">
            <w:pPr>
              <w:pStyle w:val="NIVtableauchiffres"/>
              <w:ind w:right="171"/>
              <w:rPr>
                <w:color w:val="auto"/>
                <w:szCs w:val="18"/>
              </w:rPr>
            </w:pPr>
            <w:r w:rsidRPr="00FE3A13">
              <w:rPr>
                <w:color w:val="auto"/>
                <w:szCs w:val="18"/>
              </w:rPr>
              <w:t>– 435,9</w:t>
            </w:r>
          </w:p>
        </w:tc>
      </w:tr>
      <w:tr w:rsidR="00826D85" w:rsidRPr="00FE3A13" w14:paraId="13DC4D73" w14:textId="77777777" w:rsidTr="00DA2DB7">
        <w:tc>
          <w:tcPr>
            <w:tcW w:w="1757" w:type="pct"/>
            <w:tcBorders>
              <w:top w:val="single" w:sz="2" w:space="0" w:color="auto"/>
              <w:bottom w:val="single" w:sz="2" w:space="0" w:color="auto"/>
            </w:tcBorders>
          </w:tcPr>
          <w:p w14:paraId="48B638F1" w14:textId="77777777" w:rsidR="00826D85" w:rsidRPr="00FE3A13" w:rsidRDefault="00826D85" w:rsidP="00DA2DB7">
            <w:pPr>
              <w:pStyle w:val="NIVtableau"/>
              <w:rPr>
                <w:color w:val="auto"/>
                <w:szCs w:val="18"/>
              </w:rPr>
            </w:pPr>
            <w:r w:rsidRPr="00FE3A13">
              <w:rPr>
                <w:color w:val="auto"/>
                <w:szCs w:val="18"/>
              </w:rPr>
              <w:t>Excédent de dépenses (</w:t>
            </w:r>
            <w:r w:rsidRPr="00FE3A13">
              <w:rPr>
                <w:color w:val="auto"/>
                <w:szCs w:val="18"/>
              </w:rPr>
              <w:noBreakHyphen/>
              <w:t>) du compte des investissements</w:t>
            </w:r>
          </w:p>
        </w:tc>
        <w:tc>
          <w:tcPr>
            <w:tcW w:w="648" w:type="pct"/>
            <w:tcBorders>
              <w:top w:val="single" w:sz="2" w:space="0" w:color="auto"/>
              <w:bottom w:val="single" w:sz="2" w:space="0" w:color="auto"/>
            </w:tcBorders>
            <w:vAlign w:val="center"/>
          </w:tcPr>
          <w:p w14:paraId="11B34B7F" w14:textId="77777777" w:rsidR="00826D85" w:rsidRPr="00FE3A13" w:rsidRDefault="00826D85" w:rsidP="00DA2DB7">
            <w:pPr>
              <w:pStyle w:val="NIVtableauchiffres"/>
              <w:ind w:right="85"/>
              <w:rPr>
                <w:color w:val="auto"/>
                <w:szCs w:val="18"/>
              </w:rPr>
            </w:pPr>
            <w:r w:rsidRPr="00FE3A13">
              <w:rPr>
                <w:color w:val="auto"/>
                <w:szCs w:val="18"/>
              </w:rPr>
              <w:t>– 209,2</w:t>
            </w:r>
          </w:p>
        </w:tc>
        <w:tc>
          <w:tcPr>
            <w:tcW w:w="649" w:type="pct"/>
            <w:tcBorders>
              <w:top w:val="single" w:sz="2" w:space="0" w:color="auto"/>
              <w:bottom w:val="single" w:sz="2" w:space="0" w:color="auto"/>
            </w:tcBorders>
            <w:vAlign w:val="center"/>
          </w:tcPr>
          <w:p w14:paraId="266407BA" w14:textId="77777777" w:rsidR="00826D85" w:rsidRPr="00FE3A13" w:rsidRDefault="00826D85" w:rsidP="00DA2DB7">
            <w:pPr>
              <w:pStyle w:val="NIVtableauchiffres"/>
              <w:ind w:right="171"/>
              <w:rPr>
                <w:color w:val="auto"/>
                <w:szCs w:val="18"/>
              </w:rPr>
            </w:pPr>
            <w:r w:rsidRPr="00FE3A13">
              <w:rPr>
                <w:color w:val="auto"/>
                <w:szCs w:val="18"/>
              </w:rPr>
              <w:t>– 275,6</w:t>
            </w:r>
          </w:p>
        </w:tc>
        <w:tc>
          <w:tcPr>
            <w:tcW w:w="649" w:type="pct"/>
            <w:tcBorders>
              <w:top w:val="single" w:sz="2" w:space="0" w:color="auto"/>
              <w:bottom w:val="single" w:sz="2" w:space="0" w:color="auto"/>
            </w:tcBorders>
            <w:vAlign w:val="center"/>
          </w:tcPr>
          <w:p w14:paraId="66893413" w14:textId="77777777" w:rsidR="00826D85" w:rsidRPr="00FE3A13" w:rsidRDefault="00826D85" w:rsidP="00DA2DB7">
            <w:pPr>
              <w:pStyle w:val="NIVtableauchiffres"/>
              <w:ind w:right="171"/>
              <w:rPr>
                <w:color w:val="auto"/>
                <w:szCs w:val="18"/>
              </w:rPr>
            </w:pPr>
            <w:r w:rsidRPr="00FE3A13">
              <w:rPr>
                <w:color w:val="auto"/>
                <w:szCs w:val="18"/>
              </w:rPr>
              <w:t>– 248,0</w:t>
            </w:r>
          </w:p>
        </w:tc>
        <w:tc>
          <w:tcPr>
            <w:tcW w:w="649" w:type="pct"/>
            <w:tcBorders>
              <w:top w:val="single" w:sz="2" w:space="0" w:color="auto"/>
              <w:bottom w:val="single" w:sz="2" w:space="0" w:color="auto"/>
            </w:tcBorders>
            <w:vAlign w:val="center"/>
          </w:tcPr>
          <w:p w14:paraId="389F9E03" w14:textId="77777777" w:rsidR="00826D85" w:rsidRPr="00FE3A13" w:rsidRDefault="00826D85" w:rsidP="00DA2DB7">
            <w:pPr>
              <w:pStyle w:val="NIVtableauchiffres"/>
              <w:ind w:right="171"/>
              <w:rPr>
                <w:color w:val="auto"/>
                <w:szCs w:val="18"/>
              </w:rPr>
            </w:pPr>
            <w:r w:rsidRPr="00FE3A13">
              <w:rPr>
                <w:color w:val="auto"/>
                <w:szCs w:val="18"/>
              </w:rPr>
              <w:t>– 249,5</w:t>
            </w:r>
          </w:p>
        </w:tc>
        <w:tc>
          <w:tcPr>
            <w:tcW w:w="649" w:type="pct"/>
            <w:tcBorders>
              <w:top w:val="single" w:sz="2" w:space="0" w:color="auto"/>
              <w:bottom w:val="single" w:sz="2" w:space="0" w:color="auto"/>
            </w:tcBorders>
            <w:vAlign w:val="center"/>
          </w:tcPr>
          <w:p w14:paraId="5E7D9C26" w14:textId="77777777" w:rsidR="00826D85" w:rsidRPr="00FE3A13" w:rsidRDefault="00826D85" w:rsidP="00DA2DB7">
            <w:pPr>
              <w:pStyle w:val="NIVtableauchiffres"/>
              <w:ind w:right="171"/>
              <w:rPr>
                <w:color w:val="auto"/>
                <w:szCs w:val="18"/>
              </w:rPr>
            </w:pPr>
            <w:r w:rsidRPr="00FE3A13">
              <w:rPr>
                <w:color w:val="auto"/>
                <w:szCs w:val="18"/>
              </w:rPr>
              <w:t>– 982,3</w:t>
            </w:r>
          </w:p>
        </w:tc>
      </w:tr>
      <w:tr w:rsidR="00826D85" w:rsidRPr="00FE3A13" w14:paraId="027E3991" w14:textId="77777777" w:rsidTr="00DA2DB7">
        <w:tc>
          <w:tcPr>
            <w:tcW w:w="1757" w:type="pct"/>
            <w:tcBorders>
              <w:top w:val="single" w:sz="2" w:space="0" w:color="auto"/>
              <w:bottom w:val="single" w:sz="2" w:space="0" w:color="auto"/>
            </w:tcBorders>
          </w:tcPr>
          <w:p w14:paraId="059400FC" w14:textId="77777777" w:rsidR="00826D85" w:rsidRPr="00FE3A13" w:rsidRDefault="00826D85" w:rsidP="00DA2DB7">
            <w:pPr>
              <w:pStyle w:val="NIVtableau"/>
              <w:rPr>
                <w:color w:val="auto"/>
                <w:szCs w:val="18"/>
              </w:rPr>
            </w:pPr>
            <w:r w:rsidRPr="00FE3A13">
              <w:rPr>
                <w:color w:val="auto"/>
                <w:szCs w:val="18"/>
              </w:rPr>
              <w:t>Autofinancement</w:t>
            </w:r>
          </w:p>
        </w:tc>
        <w:tc>
          <w:tcPr>
            <w:tcW w:w="648" w:type="pct"/>
            <w:tcBorders>
              <w:top w:val="single" w:sz="2" w:space="0" w:color="auto"/>
              <w:bottom w:val="single" w:sz="2" w:space="0" w:color="auto"/>
            </w:tcBorders>
            <w:vAlign w:val="center"/>
          </w:tcPr>
          <w:p w14:paraId="19F66C9C" w14:textId="77777777" w:rsidR="00826D85" w:rsidRPr="00FE3A13" w:rsidRDefault="00826D85" w:rsidP="00DA2DB7">
            <w:pPr>
              <w:pStyle w:val="NIVtableauchiffres"/>
              <w:ind w:right="85"/>
              <w:rPr>
                <w:color w:val="auto"/>
                <w:szCs w:val="18"/>
              </w:rPr>
            </w:pPr>
            <w:r w:rsidRPr="00FE3A13">
              <w:rPr>
                <w:color w:val="auto"/>
                <w:szCs w:val="18"/>
              </w:rPr>
              <w:t>108,6</w:t>
            </w:r>
          </w:p>
        </w:tc>
        <w:tc>
          <w:tcPr>
            <w:tcW w:w="649" w:type="pct"/>
            <w:tcBorders>
              <w:top w:val="single" w:sz="2" w:space="0" w:color="auto"/>
              <w:bottom w:val="single" w:sz="2" w:space="0" w:color="auto"/>
            </w:tcBorders>
            <w:vAlign w:val="center"/>
          </w:tcPr>
          <w:p w14:paraId="1DB164D5" w14:textId="77777777" w:rsidR="00826D85" w:rsidRPr="00FE3A13" w:rsidRDefault="00826D85" w:rsidP="00DA2DB7">
            <w:pPr>
              <w:pStyle w:val="NIVtableauchiffres"/>
              <w:ind w:right="171"/>
              <w:rPr>
                <w:color w:val="auto"/>
                <w:szCs w:val="18"/>
              </w:rPr>
            </w:pPr>
            <w:r w:rsidRPr="00FE3A13">
              <w:rPr>
                <w:color w:val="auto"/>
                <w:szCs w:val="18"/>
              </w:rPr>
              <w:t>– 32,3</w:t>
            </w:r>
          </w:p>
        </w:tc>
        <w:tc>
          <w:tcPr>
            <w:tcW w:w="649" w:type="pct"/>
            <w:tcBorders>
              <w:top w:val="single" w:sz="2" w:space="0" w:color="auto"/>
              <w:bottom w:val="single" w:sz="2" w:space="0" w:color="auto"/>
            </w:tcBorders>
            <w:vAlign w:val="center"/>
          </w:tcPr>
          <w:p w14:paraId="3975EFC9" w14:textId="77777777" w:rsidR="00826D85" w:rsidRPr="00FE3A13" w:rsidRDefault="00826D85" w:rsidP="00DA2DB7">
            <w:pPr>
              <w:pStyle w:val="NIVtableauchiffres"/>
              <w:ind w:right="171"/>
              <w:rPr>
                <w:color w:val="auto"/>
                <w:szCs w:val="18"/>
              </w:rPr>
            </w:pPr>
            <w:r w:rsidRPr="00FE3A13">
              <w:rPr>
                <w:color w:val="auto"/>
                <w:szCs w:val="18"/>
              </w:rPr>
              <w:t>– 15,6</w:t>
            </w:r>
          </w:p>
        </w:tc>
        <w:tc>
          <w:tcPr>
            <w:tcW w:w="649" w:type="pct"/>
            <w:tcBorders>
              <w:top w:val="single" w:sz="2" w:space="0" w:color="auto"/>
              <w:bottom w:val="single" w:sz="2" w:space="0" w:color="auto"/>
            </w:tcBorders>
            <w:vAlign w:val="center"/>
          </w:tcPr>
          <w:p w14:paraId="7C7CB288" w14:textId="77777777" w:rsidR="00826D85" w:rsidRPr="00FE3A13" w:rsidRDefault="00826D85" w:rsidP="00DA2DB7">
            <w:pPr>
              <w:pStyle w:val="NIVtableauchiffres"/>
              <w:ind w:right="171"/>
              <w:rPr>
                <w:color w:val="auto"/>
                <w:szCs w:val="18"/>
              </w:rPr>
            </w:pPr>
            <w:r w:rsidRPr="00FE3A13">
              <w:rPr>
                <w:color w:val="auto"/>
                <w:szCs w:val="18"/>
              </w:rPr>
              <w:t>– 4,1</w:t>
            </w:r>
          </w:p>
        </w:tc>
        <w:tc>
          <w:tcPr>
            <w:tcW w:w="649" w:type="pct"/>
            <w:tcBorders>
              <w:top w:val="single" w:sz="2" w:space="0" w:color="auto"/>
              <w:bottom w:val="single" w:sz="2" w:space="0" w:color="auto"/>
            </w:tcBorders>
            <w:vAlign w:val="center"/>
          </w:tcPr>
          <w:p w14:paraId="56D9F44E" w14:textId="77777777" w:rsidR="00826D85" w:rsidRPr="00FE3A13" w:rsidRDefault="00826D85" w:rsidP="00DA2DB7">
            <w:pPr>
              <w:pStyle w:val="NIVtableauchiffres"/>
              <w:ind w:right="171"/>
              <w:rPr>
                <w:color w:val="auto"/>
                <w:szCs w:val="18"/>
              </w:rPr>
            </w:pPr>
            <w:r w:rsidRPr="00FE3A13">
              <w:rPr>
                <w:color w:val="auto"/>
                <w:szCs w:val="18"/>
              </w:rPr>
              <w:t>56,6</w:t>
            </w:r>
          </w:p>
        </w:tc>
      </w:tr>
      <w:tr w:rsidR="00826D85" w:rsidRPr="00FE3A13" w14:paraId="4E3DAC90" w14:textId="77777777" w:rsidTr="00DA2DB7">
        <w:tc>
          <w:tcPr>
            <w:tcW w:w="1757" w:type="pct"/>
            <w:tcBorders>
              <w:top w:val="single" w:sz="2" w:space="0" w:color="auto"/>
              <w:bottom w:val="single" w:sz="12" w:space="0" w:color="auto"/>
            </w:tcBorders>
          </w:tcPr>
          <w:p w14:paraId="3F73325D" w14:textId="77777777" w:rsidR="00826D85" w:rsidRPr="00FE3A13" w:rsidRDefault="00826D85" w:rsidP="00DA2DB7">
            <w:pPr>
              <w:pStyle w:val="NIVtableau"/>
              <w:rPr>
                <w:color w:val="auto"/>
                <w:szCs w:val="18"/>
              </w:rPr>
            </w:pPr>
            <w:r w:rsidRPr="00FE3A13">
              <w:rPr>
                <w:color w:val="auto"/>
                <w:szCs w:val="18"/>
              </w:rPr>
              <w:t>Insuffisance de financement</w:t>
            </w:r>
          </w:p>
        </w:tc>
        <w:tc>
          <w:tcPr>
            <w:tcW w:w="648" w:type="pct"/>
            <w:tcBorders>
              <w:top w:val="single" w:sz="2" w:space="0" w:color="auto"/>
              <w:bottom w:val="single" w:sz="12" w:space="0" w:color="auto"/>
            </w:tcBorders>
            <w:vAlign w:val="center"/>
          </w:tcPr>
          <w:p w14:paraId="415FE697" w14:textId="77777777" w:rsidR="00826D85" w:rsidRPr="00FE3A13" w:rsidRDefault="00826D85" w:rsidP="00DA2DB7">
            <w:pPr>
              <w:pStyle w:val="NIVtableauchiffres"/>
              <w:ind w:right="85"/>
              <w:rPr>
                <w:color w:val="auto"/>
                <w:szCs w:val="18"/>
              </w:rPr>
            </w:pPr>
            <w:r w:rsidRPr="00FE3A13">
              <w:rPr>
                <w:color w:val="auto"/>
                <w:szCs w:val="18"/>
              </w:rPr>
              <w:t>– 100,6</w:t>
            </w:r>
          </w:p>
        </w:tc>
        <w:tc>
          <w:tcPr>
            <w:tcW w:w="649" w:type="pct"/>
            <w:tcBorders>
              <w:top w:val="single" w:sz="2" w:space="0" w:color="auto"/>
              <w:bottom w:val="single" w:sz="12" w:space="0" w:color="auto"/>
            </w:tcBorders>
            <w:vAlign w:val="center"/>
          </w:tcPr>
          <w:p w14:paraId="171E004E" w14:textId="77777777" w:rsidR="00826D85" w:rsidRPr="00FE3A13" w:rsidRDefault="00826D85" w:rsidP="00DA2DB7">
            <w:pPr>
              <w:pStyle w:val="NIVtableauchiffres"/>
              <w:ind w:right="171"/>
              <w:rPr>
                <w:color w:val="auto"/>
                <w:szCs w:val="18"/>
              </w:rPr>
            </w:pPr>
            <w:r w:rsidRPr="00FE3A13">
              <w:rPr>
                <w:color w:val="auto"/>
                <w:szCs w:val="18"/>
              </w:rPr>
              <w:t>– 307,9</w:t>
            </w:r>
          </w:p>
        </w:tc>
        <w:tc>
          <w:tcPr>
            <w:tcW w:w="649" w:type="pct"/>
            <w:tcBorders>
              <w:top w:val="single" w:sz="2" w:space="0" w:color="auto"/>
              <w:bottom w:val="single" w:sz="12" w:space="0" w:color="auto"/>
            </w:tcBorders>
            <w:vAlign w:val="center"/>
          </w:tcPr>
          <w:p w14:paraId="74FE74D1" w14:textId="77777777" w:rsidR="00826D85" w:rsidRPr="00FE3A13" w:rsidRDefault="00826D85" w:rsidP="00DA2DB7">
            <w:pPr>
              <w:pStyle w:val="NIVtableauchiffres"/>
              <w:ind w:right="171"/>
              <w:rPr>
                <w:color w:val="auto"/>
                <w:szCs w:val="18"/>
              </w:rPr>
            </w:pPr>
            <w:r w:rsidRPr="00FE3A13">
              <w:rPr>
                <w:color w:val="auto"/>
                <w:szCs w:val="18"/>
              </w:rPr>
              <w:t>– 263,6</w:t>
            </w:r>
          </w:p>
        </w:tc>
        <w:tc>
          <w:tcPr>
            <w:tcW w:w="649" w:type="pct"/>
            <w:tcBorders>
              <w:top w:val="single" w:sz="2" w:space="0" w:color="auto"/>
              <w:bottom w:val="single" w:sz="12" w:space="0" w:color="auto"/>
            </w:tcBorders>
            <w:vAlign w:val="center"/>
          </w:tcPr>
          <w:p w14:paraId="60D476E0" w14:textId="77777777" w:rsidR="00826D85" w:rsidRPr="00FE3A13" w:rsidRDefault="00826D85" w:rsidP="00DA2DB7">
            <w:pPr>
              <w:pStyle w:val="NIVtableauchiffres"/>
              <w:ind w:right="171"/>
              <w:rPr>
                <w:color w:val="auto"/>
                <w:szCs w:val="18"/>
              </w:rPr>
            </w:pPr>
            <w:r w:rsidRPr="00FE3A13">
              <w:rPr>
                <w:color w:val="auto"/>
                <w:szCs w:val="18"/>
              </w:rPr>
              <w:t>– 253,6</w:t>
            </w:r>
          </w:p>
        </w:tc>
        <w:tc>
          <w:tcPr>
            <w:tcW w:w="649" w:type="pct"/>
            <w:tcBorders>
              <w:top w:val="single" w:sz="2" w:space="0" w:color="auto"/>
              <w:bottom w:val="single" w:sz="12" w:space="0" w:color="auto"/>
            </w:tcBorders>
            <w:vAlign w:val="center"/>
          </w:tcPr>
          <w:p w14:paraId="51E16071" w14:textId="77777777" w:rsidR="00826D85" w:rsidRPr="00FE3A13" w:rsidRDefault="00826D85" w:rsidP="00DA2DB7">
            <w:pPr>
              <w:pStyle w:val="NIVtableauchiffres"/>
              <w:ind w:right="171"/>
              <w:rPr>
                <w:color w:val="auto"/>
                <w:szCs w:val="18"/>
              </w:rPr>
            </w:pPr>
            <w:r w:rsidRPr="00FE3A13">
              <w:rPr>
                <w:color w:val="auto"/>
                <w:szCs w:val="18"/>
              </w:rPr>
              <w:t>– 925,7</w:t>
            </w:r>
          </w:p>
        </w:tc>
      </w:tr>
    </w:tbl>
    <w:p w14:paraId="015DCFAF" w14:textId="3E49F7C5" w:rsidR="005B2815" w:rsidRPr="00FE3A13" w:rsidRDefault="005B5BCF" w:rsidP="004230AF">
      <w:pPr>
        <w:pStyle w:val="Corpsdetexte"/>
      </w:pPr>
      <w:r w:rsidRPr="00FE3A13">
        <w:t xml:space="preserve">Malgré les nombreuses et importantes adaptations apportées par le Conseil d’Etat tout au long de son élaboration, le plan financier actualisé fait apparaître une détérioration marquée des finances cantonales à partir de 2026. La cause essentielle de cette détérioration réside dans le fait que </w:t>
      </w:r>
      <w:r w:rsidR="00836320" w:rsidRPr="00FE3A13">
        <w:t xml:space="preserve">le </w:t>
      </w:r>
      <w:r w:rsidRPr="00FE3A13">
        <w:t>rythme de croissance des charges s’avère sensiblement plus élevé que celui des revenus, comme le démontre le tableau et le graphique suivants</w:t>
      </w:r>
      <w:r w:rsidR="00527A8C" w:rsidRPr="00FE3A13">
        <w:t xml:space="preserve">. </w:t>
      </w:r>
    </w:p>
    <w:p w14:paraId="049C273F" w14:textId="77777777" w:rsidR="005B2815" w:rsidRDefault="005B2815" w:rsidP="004230AF">
      <w:pPr>
        <w:pStyle w:val="Corpsdetexte"/>
      </w:pPr>
    </w:p>
    <w:p w14:paraId="43F8D278" w14:textId="77777777" w:rsidR="00FA761D" w:rsidRDefault="00FA761D" w:rsidP="004230AF">
      <w:pPr>
        <w:pStyle w:val="Corpsdetexte"/>
      </w:pPr>
    </w:p>
    <w:p w14:paraId="4656260A" w14:textId="77777777" w:rsidR="00FA761D" w:rsidRDefault="00FA761D" w:rsidP="004230AF">
      <w:pPr>
        <w:pStyle w:val="Corpsdetexte"/>
      </w:pPr>
    </w:p>
    <w:p w14:paraId="186BCB8B" w14:textId="77777777" w:rsidR="00FA761D" w:rsidRDefault="00FA761D" w:rsidP="004230AF">
      <w:pPr>
        <w:pStyle w:val="Corpsdetexte"/>
      </w:pPr>
    </w:p>
    <w:p w14:paraId="23339B47" w14:textId="77777777" w:rsidR="00FA761D" w:rsidRPr="00FE3A13" w:rsidRDefault="00FA761D" w:rsidP="004230AF">
      <w:pPr>
        <w:pStyle w:val="Corpsdetexte"/>
      </w:pPr>
    </w:p>
    <w:tbl>
      <w:tblPr>
        <w:tblStyle w:val="EtatFribourg"/>
        <w:tblW w:w="5000"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3485"/>
        <w:gridCol w:w="1285"/>
        <w:gridCol w:w="1288"/>
        <w:gridCol w:w="1288"/>
        <w:gridCol w:w="1288"/>
        <w:gridCol w:w="1286"/>
      </w:tblGrid>
      <w:tr w:rsidR="00826D85" w:rsidRPr="00FE3A13" w14:paraId="5B8D8028" w14:textId="77777777" w:rsidTr="00DA2DB7">
        <w:trPr>
          <w:trHeight w:val="156"/>
        </w:trPr>
        <w:tc>
          <w:tcPr>
            <w:tcW w:w="1757" w:type="pct"/>
          </w:tcPr>
          <w:p w14:paraId="1E89C5EE" w14:textId="77777777" w:rsidR="00826D85" w:rsidRPr="00FE3A13" w:rsidRDefault="00826D85" w:rsidP="00826D85">
            <w:pPr>
              <w:ind w:right="141"/>
              <w:rPr>
                <w:rFonts w:cs="Arial"/>
                <w:bCs/>
                <w:szCs w:val="18"/>
              </w:rPr>
            </w:pPr>
          </w:p>
        </w:tc>
        <w:tc>
          <w:tcPr>
            <w:tcW w:w="648" w:type="pct"/>
          </w:tcPr>
          <w:p w14:paraId="267AED84" w14:textId="77777777" w:rsidR="00826D85" w:rsidRPr="00FE3A13" w:rsidRDefault="00826D85" w:rsidP="00826D85">
            <w:pPr>
              <w:ind w:left="118" w:right="85"/>
              <w:jc w:val="right"/>
              <w:rPr>
                <w:rFonts w:cs="Arial"/>
                <w:b/>
                <w:szCs w:val="18"/>
              </w:rPr>
            </w:pPr>
            <w:r w:rsidRPr="00FE3A13">
              <w:rPr>
                <w:rFonts w:cs="Arial"/>
                <w:b/>
                <w:szCs w:val="18"/>
              </w:rPr>
              <w:t>Budget</w:t>
            </w:r>
          </w:p>
          <w:p w14:paraId="54F6A151" w14:textId="77777777" w:rsidR="00826D85" w:rsidRPr="00FE3A13" w:rsidRDefault="00826D85" w:rsidP="00826D85">
            <w:pPr>
              <w:ind w:right="85"/>
              <w:jc w:val="right"/>
              <w:rPr>
                <w:rFonts w:cs="Arial"/>
                <w:b/>
                <w:szCs w:val="18"/>
              </w:rPr>
            </w:pPr>
            <w:r w:rsidRPr="00FE3A13">
              <w:rPr>
                <w:rFonts w:cs="Arial"/>
                <w:b/>
                <w:szCs w:val="18"/>
              </w:rPr>
              <w:t>2025</w:t>
            </w:r>
          </w:p>
        </w:tc>
        <w:tc>
          <w:tcPr>
            <w:tcW w:w="649" w:type="pct"/>
          </w:tcPr>
          <w:p w14:paraId="14977B64" w14:textId="77777777" w:rsidR="00826D85" w:rsidRPr="00FE3A13" w:rsidRDefault="00826D85" w:rsidP="00826D85">
            <w:pPr>
              <w:ind w:right="171"/>
              <w:jc w:val="right"/>
              <w:rPr>
                <w:rFonts w:cs="Arial"/>
                <w:b/>
                <w:szCs w:val="18"/>
              </w:rPr>
            </w:pPr>
            <w:r w:rsidRPr="00FE3A13">
              <w:rPr>
                <w:rFonts w:cs="Arial"/>
                <w:b/>
                <w:szCs w:val="18"/>
              </w:rPr>
              <w:t>Plan financier</w:t>
            </w:r>
          </w:p>
          <w:p w14:paraId="12657270" w14:textId="77777777" w:rsidR="00826D85" w:rsidRPr="00FE3A13" w:rsidRDefault="00826D85" w:rsidP="00826D85">
            <w:pPr>
              <w:ind w:right="171"/>
              <w:jc w:val="right"/>
              <w:rPr>
                <w:rFonts w:cs="Arial"/>
                <w:b/>
                <w:szCs w:val="18"/>
              </w:rPr>
            </w:pPr>
            <w:r w:rsidRPr="00FE3A13">
              <w:rPr>
                <w:rFonts w:cs="Arial"/>
                <w:b/>
                <w:szCs w:val="18"/>
              </w:rPr>
              <w:t>2026</w:t>
            </w:r>
          </w:p>
        </w:tc>
        <w:tc>
          <w:tcPr>
            <w:tcW w:w="649" w:type="pct"/>
          </w:tcPr>
          <w:p w14:paraId="58E3F4A0" w14:textId="77777777" w:rsidR="00826D85" w:rsidRPr="00FE3A13" w:rsidRDefault="00826D85" w:rsidP="00826D85">
            <w:pPr>
              <w:ind w:right="171"/>
              <w:jc w:val="right"/>
              <w:rPr>
                <w:rFonts w:cs="Arial"/>
                <w:b/>
                <w:szCs w:val="18"/>
              </w:rPr>
            </w:pPr>
            <w:r w:rsidRPr="00FE3A13">
              <w:rPr>
                <w:rFonts w:cs="Arial"/>
                <w:b/>
                <w:szCs w:val="18"/>
              </w:rPr>
              <w:t>Plan financier</w:t>
            </w:r>
          </w:p>
          <w:p w14:paraId="3C2C71F8" w14:textId="77777777" w:rsidR="00826D85" w:rsidRPr="00FE3A13" w:rsidRDefault="00826D85" w:rsidP="00826D85">
            <w:pPr>
              <w:ind w:right="171"/>
              <w:jc w:val="right"/>
              <w:rPr>
                <w:rFonts w:cs="Arial"/>
                <w:b/>
                <w:szCs w:val="18"/>
              </w:rPr>
            </w:pPr>
            <w:r w:rsidRPr="00FE3A13">
              <w:rPr>
                <w:rFonts w:cs="Arial"/>
                <w:b/>
                <w:szCs w:val="18"/>
              </w:rPr>
              <w:t>2027</w:t>
            </w:r>
          </w:p>
        </w:tc>
        <w:tc>
          <w:tcPr>
            <w:tcW w:w="649" w:type="pct"/>
          </w:tcPr>
          <w:p w14:paraId="101D1AC0" w14:textId="77777777" w:rsidR="00826D85" w:rsidRPr="00FE3A13" w:rsidRDefault="00826D85" w:rsidP="00826D85">
            <w:pPr>
              <w:ind w:right="171"/>
              <w:jc w:val="right"/>
              <w:rPr>
                <w:rFonts w:cs="Arial"/>
                <w:b/>
                <w:szCs w:val="18"/>
              </w:rPr>
            </w:pPr>
            <w:r w:rsidRPr="00FE3A13">
              <w:rPr>
                <w:rFonts w:cs="Arial"/>
                <w:b/>
                <w:szCs w:val="18"/>
              </w:rPr>
              <w:t xml:space="preserve">Plan financier </w:t>
            </w:r>
          </w:p>
          <w:p w14:paraId="4798018E" w14:textId="77777777" w:rsidR="00826D85" w:rsidRPr="00FE3A13" w:rsidRDefault="00826D85" w:rsidP="00826D85">
            <w:pPr>
              <w:ind w:right="171"/>
              <w:jc w:val="right"/>
              <w:rPr>
                <w:rFonts w:cs="Arial"/>
                <w:b/>
                <w:szCs w:val="18"/>
              </w:rPr>
            </w:pPr>
            <w:r w:rsidRPr="00FE3A13">
              <w:rPr>
                <w:rFonts w:cs="Arial"/>
                <w:b/>
                <w:szCs w:val="18"/>
              </w:rPr>
              <w:t>2028</w:t>
            </w:r>
          </w:p>
        </w:tc>
        <w:tc>
          <w:tcPr>
            <w:tcW w:w="648" w:type="pct"/>
          </w:tcPr>
          <w:p w14:paraId="2D807B34" w14:textId="77777777" w:rsidR="00826D85" w:rsidRPr="00FE3A13" w:rsidRDefault="00826D85" w:rsidP="00826D85">
            <w:pPr>
              <w:ind w:right="171"/>
              <w:jc w:val="right"/>
              <w:rPr>
                <w:rFonts w:cs="Arial"/>
                <w:b/>
                <w:szCs w:val="18"/>
              </w:rPr>
            </w:pPr>
            <w:r w:rsidRPr="00FE3A13">
              <w:rPr>
                <w:rFonts w:cs="Arial"/>
                <w:b/>
                <w:szCs w:val="18"/>
              </w:rPr>
              <w:t>Variation</w:t>
            </w:r>
          </w:p>
          <w:p w14:paraId="350352D5" w14:textId="77777777" w:rsidR="00826D85" w:rsidRPr="00FE3A13" w:rsidRDefault="00826D85" w:rsidP="00826D85">
            <w:pPr>
              <w:ind w:right="171"/>
              <w:jc w:val="right"/>
              <w:rPr>
                <w:rFonts w:cs="Arial"/>
                <w:b/>
                <w:szCs w:val="18"/>
              </w:rPr>
            </w:pPr>
            <w:r w:rsidRPr="00FE3A13">
              <w:rPr>
                <w:rFonts w:cs="Arial"/>
                <w:b/>
                <w:szCs w:val="18"/>
              </w:rPr>
              <w:t>2025-2028</w:t>
            </w:r>
          </w:p>
        </w:tc>
      </w:tr>
      <w:tr w:rsidR="00826D85" w:rsidRPr="00FE3A13" w14:paraId="30706F75" w14:textId="77777777" w:rsidTr="00DA2DB7">
        <w:trPr>
          <w:trHeight w:val="203"/>
        </w:trPr>
        <w:tc>
          <w:tcPr>
            <w:tcW w:w="1757" w:type="pct"/>
            <w:tcBorders>
              <w:bottom w:val="single" w:sz="2" w:space="0" w:color="auto"/>
            </w:tcBorders>
          </w:tcPr>
          <w:p w14:paraId="5E7A6302" w14:textId="77777777" w:rsidR="00826D85" w:rsidRPr="00FE3A13" w:rsidRDefault="00826D85" w:rsidP="00826D85">
            <w:pPr>
              <w:ind w:right="57"/>
              <w:jc w:val="right"/>
              <w:rPr>
                <w:rFonts w:cs="Arial"/>
                <w:bCs/>
                <w:szCs w:val="18"/>
              </w:rPr>
            </w:pPr>
          </w:p>
        </w:tc>
        <w:tc>
          <w:tcPr>
            <w:tcW w:w="648" w:type="pct"/>
            <w:tcBorders>
              <w:bottom w:val="single" w:sz="2" w:space="0" w:color="auto"/>
            </w:tcBorders>
          </w:tcPr>
          <w:p w14:paraId="183533D2" w14:textId="77777777" w:rsidR="00826D85" w:rsidRPr="00FE3A13" w:rsidRDefault="00826D85" w:rsidP="00826D85">
            <w:pPr>
              <w:ind w:right="85"/>
              <w:jc w:val="right"/>
              <w:rPr>
                <w:rFonts w:cs="Arial"/>
                <w:bCs/>
                <w:szCs w:val="18"/>
              </w:rPr>
            </w:pPr>
            <w:r w:rsidRPr="00FE3A13">
              <w:rPr>
                <w:rFonts w:cs="Arial"/>
                <w:bCs/>
                <w:szCs w:val="18"/>
              </w:rPr>
              <w:t>mios</w:t>
            </w:r>
          </w:p>
        </w:tc>
        <w:tc>
          <w:tcPr>
            <w:tcW w:w="649" w:type="pct"/>
            <w:tcBorders>
              <w:bottom w:val="single" w:sz="2" w:space="0" w:color="auto"/>
            </w:tcBorders>
          </w:tcPr>
          <w:p w14:paraId="4C11CEF0" w14:textId="77777777" w:rsidR="00826D85" w:rsidRPr="00FE3A13" w:rsidRDefault="00826D85" w:rsidP="00826D85">
            <w:pPr>
              <w:ind w:right="171"/>
              <w:jc w:val="right"/>
              <w:rPr>
                <w:rFonts w:cs="Arial"/>
                <w:bCs/>
                <w:szCs w:val="18"/>
              </w:rPr>
            </w:pPr>
            <w:r w:rsidRPr="00FE3A13">
              <w:rPr>
                <w:rFonts w:cs="Arial"/>
                <w:bCs/>
                <w:szCs w:val="18"/>
              </w:rPr>
              <w:t>mios</w:t>
            </w:r>
          </w:p>
        </w:tc>
        <w:tc>
          <w:tcPr>
            <w:tcW w:w="649" w:type="pct"/>
            <w:tcBorders>
              <w:bottom w:val="single" w:sz="2" w:space="0" w:color="auto"/>
            </w:tcBorders>
          </w:tcPr>
          <w:p w14:paraId="623CAA3F" w14:textId="77777777" w:rsidR="00826D85" w:rsidRPr="00FE3A13" w:rsidRDefault="00826D85" w:rsidP="00826D85">
            <w:pPr>
              <w:ind w:right="171"/>
              <w:jc w:val="right"/>
              <w:rPr>
                <w:rFonts w:cs="Arial"/>
                <w:bCs/>
                <w:szCs w:val="18"/>
              </w:rPr>
            </w:pPr>
            <w:r w:rsidRPr="00FE3A13">
              <w:rPr>
                <w:rFonts w:cs="Arial"/>
                <w:bCs/>
                <w:szCs w:val="18"/>
              </w:rPr>
              <w:t>mios</w:t>
            </w:r>
          </w:p>
        </w:tc>
        <w:tc>
          <w:tcPr>
            <w:tcW w:w="649" w:type="pct"/>
            <w:tcBorders>
              <w:bottom w:val="single" w:sz="2" w:space="0" w:color="auto"/>
            </w:tcBorders>
          </w:tcPr>
          <w:p w14:paraId="4C5C23A7" w14:textId="77777777" w:rsidR="00826D85" w:rsidRPr="00FE3A13" w:rsidRDefault="00826D85" w:rsidP="00826D85">
            <w:pPr>
              <w:ind w:right="171"/>
              <w:jc w:val="right"/>
              <w:rPr>
                <w:rFonts w:cs="Arial"/>
                <w:bCs/>
                <w:szCs w:val="18"/>
              </w:rPr>
            </w:pPr>
            <w:r w:rsidRPr="00FE3A13">
              <w:rPr>
                <w:rFonts w:cs="Arial"/>
                <w:bCs/>
                <w:szCs w:val="18"/>
              </w:rPr>
              <w:t>mios</w:t>
            </w:r>
          </w:p>
        </w:tc>
        <w:tc>
          <w:tcPr>
            <w:tcW w:w="648" w:type="pct"/>
            <w:tcBorders>
              <w:bottom w:val="single" w:sz="2" w:space="0" w:color="auto"/>
            </w:tcBorders>
          </w:tcPr>
          <w:p w14:paraId="05D0A5AC" w14:textId="77777777" w:rsidR="00826D85" w:rsidRPr="00FE3A13" w:rsidRDefault="00826D85" w:rsidP="00826D85">
            <w:pPr>
              <w:ind w:right="171"/>
              <w:jc w:val="right"/>
              <w:rPr>
                <w:rFonts w:cs="Arial"/>
                <w:bCs/>
                <w:szCs w:val="18"/>
              </w:rPr>
            </w:pPr>
            <w:r w:rsidRPr="00FE3A13">
              <w:rPr>
                <w:rFonts w:cs="Arial"/>
                <w:bCs/>
                <w:szCs w:val="18"/>
              </w:rPr>
              <w:t>en %</w:t>
            </w:r>
          </w:p>
        </w:tc>
      </w:tr>
      <w:tr w:rsidR="00826D85" w:rsidRPr="00FE3A13" w14:paraId="7CD764F8" w14:textId="77777777" w:rsidTr="00DA2DB7">
        <w:tc>
          <w:tcPr>
            <w:tcW w:w="1757" w:type="pct"/>
            <w:tcBorders>
              <w:top w:val="single" w:sz="2" w:space="0" w:color="auto"/>
              <w:bottom w:val="single" w:sz="2" w:space="0" w:color="auto"/>
            </w:tcBorders>
          </w:tcPr>
          <w:p w14:paraId="6470A947" w14:textId="77777777" w:rsidR="00826D85" w:rsidRPr="00FE3A13" w:rsidRDefault="00826D85" w:rsidP="00826D85">
            <w:pPr>
              <w:rPr>
                <w:rFonts w:cs="Arial"/>
                <w:b/>
                <w:bCs/>
                <w:szCs w:val="18"/>
              </w:rPr>
            </w:pPr>
            <w:r w:rsidRPr="00FE3A13">
              <w:rPr>
                <w:rFonts w:cs="Arial"/>
                <w:bCs/>
                <w:szCs w:val="18"/>
              </w:rPr>
              <w:t>Charges de personnel</w:t>
            </w:r>
          </w:p>
        </w:tc>
        <w:tc>
          <w:tcPr>
            <w:tcW w:w="648" w:type="pct"/>
            <w:tcBorders>
              <w:top w:val="single" w:sz="2" w:space="0" w:color="auto"/>
              <w:bottom w:val="single" w:sz="2" w:space="0" w:color="auto"/>
            </w:tcBorders>
            <w:vAlign w:val="center"/>
          </w:tcPr>
          <w:p w14:paraId="511AF776" w14:textId="77777777" w:rsidR="00826D85" w:rsidRPr="00FE3A13" w:rsidRDefault="00826D85" w:rsidP="00826D85">
            <w:pPr>
              <w:ind w:right="85"/>
              <w:jc w:val="right"/>
              <w:rPr>
                <w:rFonts w:cs="Arial"/>
                <w:bCs/>
                <w:szCs w:val="18"/>
              </w:rPr>
            </w:pPr>
            <w:r w:rsidRPr="00FE3A13">
              <w:rPr>
                <w:rFonts w:cs="Arial"/>
                <w:bCs/>
                <w:szCs w:val="18"/>
              </w:rPr>
              <w:t>1 537,0</w:t>
            </w:r>
          </w:p>
        </w:tc>
        <w:tc>
          <w:tcPr>
            <w:tcW w:w="649" w:type="pct"/>
            <w:tcBorders>
              <w:top w:val="single" w:sz="2" w:space="0" w:color="auto"/>
              <w:bottom w:val="single" w:sz="2" w:space="0" w:color="auto"/>
            </w:tcBorders>
            <w:vAlign w:val="center"/>
          </w:tcPr>
          <w:p w14:paraId="12944E93" w14:textId="77777777" w:rsidR="00826D85" w:rsidRPr="00FE3A13" w:rsidRDefault="00826D85" w:rsidP="00826D85">
            <w:pPr>
              <w:ind w:right="171"/>
              <w:jc w:val="right"/>
              <w:rPr>
                <w:rFonts w:cs="Arial"/>
                <w:bCs/>
                <w:szCs w:val="18"/>
              </w:rPr>
            </w:pPr>
            <w:r w:rsidRPr="00FE3A13">
              <w:rPr>
                <w:rFonts w:cs="Arial"/>
                <w:bCs/>
                <w:szCs w:val="18"/>
              </w:rPr>
              <w:t>1 599,5</w:t>
            </w:r>
          </w:p>
        </w:tc>
        <w:tc>
          <w:tcPr>
            <w:tcW w:w="649" w:type="pct"/>
            <w:tcBorders>
              <w:top w:val="single" w:sz="2" w:space="0" w:color="auto"/>
              <w:bottom w:val="single" w:sz="2" w:space="0" w:color="auto"/>
            </w:tcBorders>
            <w:vAlign w:val="center"/>
          </w:tcPr>
          <w:p w14:paraId="5E9715AC" w14:textId="77777777" w:rsidR="00826D85" w:rsidRPr="00FE3A13" w:rsidRDefault="00826D85" w:rsidP="00826D85">
            <w:pPr>
              <w:ind w:right="171"/>
              <w:jc w:val="right"/>
              <w:rPr>
                <w:rFonts w:cs="Arial"/>
                <w:bCs/>
                <w:szCs w:val="18"/>
              </w:rPr>
            </w:pPr>
            <w:r w:rsidRPr="00FE3A13">
              <w:rPr>
                <w:rFonts w:cs="Arial"/>
                <w:bCs/>
                <w:szCs w:val="18"/>
              </w:rPr>
              <w:t>1 647,7</w:t>
            </w:r>
          </w:p>
        </w:tc>
        <w:tc>
          <w:tcPr>
            <w:tcW w:w="649" w:type="pct"/>
            <w:tcBorders>
              <w:top w:val="single" w:sz="2" w:space="0" w:color="auto"/>
              <w:bottom w:val="single" w:sz="2" w:space="0" w:color="auto"/>
            </w:tcBorders>
            <w:vAlign w:val="center"/>
          </w:tcPr>
          <w:p w14:paraId="65275122" w14:textId="77777777" w:rsidR="00826D85" w:rsidRPr="00FE3A13" w:rsidRDefault="00826D85" w:rsidP="00826D85">
            <w:pPr>
              <w:ind w:right="171"/>
              <w:jc w:val="right"/>
              <w:rPr>
                <w:rFonts w:cs="Arial"/>
                <w:bCs/>
                <w:szCs w:val="18"/>
              </w:rPr>
            </w:pPr>
            <w:r w:rsidRPr="00FE3A13">
              <w:rPr>
                <w:rFonts w:cs="Arial"/>
                <w:bCs/>
                <w:szCs w:val="18"/>
              </w:rPr>
              <w:t>1 695,6</w:t>
            </w:r>
          </w:p>
        </w:tc>
        <w:tc>
          <w:tcPr>
            <w:tcW w:w="648" w:type="pct"/>
            <w:tcBorders>
              <w:top w:val="single" w:sz="2" w:space="0" w:color="auto"/>
              <w:bottom w:val="single" w:sz="2" w:space="0" w:color="auto"/>
            </w:tcBorders>
            <w:vAlign w:val="center"/>
          </w:tcPr>
          <w:p w14:paraId="3060638A" w14:textId="77777777" w:rsidR="00826D85" w:rsidRPr="00FE3A13" w:rsidRDefault="00826D85" w:rsidP="00826D85">
            <w:pPr>
              <w:ind w:right="171"/>
              <w:jc w:val="right"/>
              <w:rPr>
                <w:rFonts w:cs="Arial"/>
                <w:bCs/>
                <w:szCs w:val="18"/>
              </w:rPr>
            </w:pPr>
            <w:r w:rsidRPr="00FE3A13">
              <w:rPr>
                <w:rFonts w:cs="Arial"/>
                <w:bCs/>
                <w:szCs w:val="18"/>
              </w:rPr>
              <w:t>+ 10,3</w:t>
            </w:r>
          </w:p>
        </w:tc>
      </w:tr>
      <w:tr w:rsidR="00826D85" w:rsidRPr="00FE3A13" w14:paraId="62A0F892" w14:textId="77777777" w:rsidTr="00DA2DB7">
        <w:tc>
          <w:tcPr>
            <w:tcW w:w="1757" w:type="pct"/>
            <w:tcBorders>
              <w:top w:val="single" w:sz="2" w:space="0" w:color="auto"/>
              <w:bottom w:val="single" w:sz="2" w:space="0" w:color="auto"/>
            </w:tcBorders>
          </w:tcPr>
          <w:p w14:paraId="6E497501" w14:textId="77777777" w:rsidR="00826D85" w:rsidRPr="00FE3A13" w:rsidRDefault="00826D85" w:rsidP="00826D85">
            <w:pPr>
              <w:rPr>
                <w:rFonts w:cs="Arial"/>
                <w:bCs/>
                <w:szCs w:val="18"/>
              </w:rPr>
            </w:pPr>
            <w:r w:rsidRPr="00FE3A13">
              <w:rPr>
                <w:rFonts w:cs="Arial"/>
                <w:bCs/>
                <w:szCs w:val="18"/>
              </w:rPr>
              <w:t>Charges de consommation</w:t>
            </w:r>
          </w:p>
        </w:tc>
        <w:tc>
          <w:tcPr>
            <w:tcW w:w="648" w:type="pct"/>
            <w:tcBorders>
              <w:top w:val="single" w:sz="2" w:space="0" w:color="auto"/>
              <w:bottom w:val="single" w:sz="2" w:space="0" w:color="auto"/>
            </w:tcBorders>
            <w:vAlign w:val="center"/>
          </w:tcPr>
          <w:p w14:paraId="131A8B65" w14:textId="77777777" w:rsidR="00826D85" w:rsidRPr="00FE3A13" w:rsidRDefault="00826D85" w:rsidP="00826D85">
            <w:pPr>
              <w:ind w:right="85"/>
              <w:jc w:val="right"/>
              <w:rPr>
                <w:rFonts w:cs="Arial"/>
                <w:bCs/>
                <w:szCs w:val="18"/>
              </w:rPr>
            </w:pPr>
            <w:r w:rsidRPr="00FE3A13">
              <w:rPr>
                <w:rFonts w:cs="Arial"/>
                <w:bCs/>
                <w:szCs w:val="18"/>
              </w:rPr>
              <w:t>450,9</w:t>
            </w:r>
          </w:p>
        </w:tc>
        <w:tc>
          <w:tcPr>
            <w:tcW w:w="649" w:type="pct"/>
            <w:tcBorders>
              <w:top w:val="single" w:sz="2" w:space="0" w:color="auto"/>
              <w:bottom w:val="single" w:sz="2" w:space="0" w:color="auto"/>
            </w:tcBorders>
            <w:vAlign w:val="center"/>
          </w:tcPr>
          <w:p w14:paraId="7C62680C" w14:textId="77777777" w:rsidR="00826D85" w:rsidRPr="00FE3A13" w:rsidRDefault="00826D85" w:rsidP="00826D85">
            <w:pPr>
              <w:ind w:right="171"/>
              <w:jc w:val="right"/>
              <w:rPr>
                <w:rFonts w:cs="Arial"/>
                <w:bCs/>
                <w:szCs w:val="18"/>
              </w:rPr>
            </w:pPr>
            <w:r w:rsidRPr="00FE3A13">
              <w:rPr>
                <w:rFonts w:cs="Arial"/>
                <w:bCs/>
                <w:szCs w:val="18"/>
              </w:rPr>
              <w:t>476,7</w:t>
            </w:r>
          </w:p>
        </w:tc>
        <w:tc>
          <w:tcPr>
            <w:tcW w:w="649" w:type="pct"/>
            <w:tcBorders>
              <w:top w:val="single" w:sz="2" w:space="0" w:color="auto"/>
              <w:bottom w:val="single" w:sz="2" w:space="0" w:color="auto"/>
            </w:tcBorders>
            <w:vAlign w:val="center"/>
          </w:tcPr>
          <w:p w14:paraId="663E83B3" w14:textId="77777777" w:rsidR="00826D85" w:rsidRPr="00FE3A13" w:rsidRDefault="00826D85" w:rsidP="00826D85">
            <w:pPr>
              <w:ind w:right="171"/>
              <w:jc w:val="right"/>
              <w:rPr>
                <w:rFonts w:cs="Arial"/>
                <w:bCs/>
                <w:szCs w:val="18"/>
              </w:rPr>
            </w:pPr>
            <w:r w:rsidRPr="00FE3A13">
              <w:rPr>
                <w:rFonts w:cs="Arial"/>
                <w:bCs/>
                <w:szCs w:val="18"/>
              </w:rPr>
              <w:t>491,7</w:t>
            </w:r>
          </w:p>
        </w:tc>
        <w:tc>
          <w:tcPr>
            <w:tcW w:w="649" w:type="pct"/>
            <w:tcBorders>
              <w:top w:val="single" w:sz="2" w:space="0" w:color="auto"/>
              <w:bottom w:val="single" w:sz="2" w:space="0" w:color="auto"/>
            </w:tcBorders>
            <w:vAlign w:val="center"/>
          </w:tcPr>
          <w:p w14:paraId="074F673C" w14:textId="77777777" w:rsidR="00826D85" w:rsidRPr="00FE3A13" w:rsidRDefault="00826D85" w:rsidP="00826D85">
            <w:pPr>
              <w:ind w:right="171"/>
              <w:jc w:val="right"/>
              <w:rPr>
                <w:rFonts w:cs="Arial"/>
                <w:bCs/>
                <w:szCs w:val="18"/>
              </w:rPr>
            </w:pPr>
            <w:r w:rsidRPr="00FE3A13">
              <w:rPr>
                <w:rFonts w:cs="Arial"/>
                <w:bCs/>
                <w:szCs w:val="18"/>
              </w:rPr>
              <w:t>524,5</w:t>
            </w:r>
          </w:p>
        </w:tc>
        <w:tc>
          <w:tcPr>
            <w:tcW w:w="648" w:type="pct"/>
            <w:tcBorders>
              <w:top w:val="single" w:sz="2" w:space="0" w:color="auto"/>
              <w:bottom w:val="single" w:sz="2" w:space="0" w:color="auto"/>
            </w:tcBorders>
            <w:vAlign w:val="center"/>
          </w:tcPr>
          <w:p w14:paraId="0C383048" w14:textId="77777777" w:rsidR="00826D85" w:rsidRPr="00FE3A13" w:rsidRDefault="00826D85" w:rsidP="00826D85">
            <w:pPr>
              <w:ind w:right="171"/>
              <w:jc w:val="right"/>
              <w:rPr>
                <w:rFonts w:cs="Arial"/>
                <w:bCs/>
                <w:szCs w:val="18"/>
              </w:rPr>
            </w:pPr>
            <w:r w:rsidRPr="00FE3A13">
              <w:rPr>
                <w:rFonts w:cs="Arial"/>
                <w:bCs/>
                <w:szCs w:val="18"/>
              </w:rPr>
              <w:t>+ 16,3</w:t>
            </w:r>
          </w:p>
        </w:tc>
      </w:tr>
      <w:tr w:rsidR="00826D85" w:rsidRPr="00FE3A13" w14:paraId="3301E8E0" w14:textId="77777777" w:rsidTr="00DA2DB7">
        <w:tc>
          <w:tcPr>
            <w:tcW w:w="1757" w:type="pct"/>
            <w:tcBorders>
              <w:top w:val="single" w:sz="2" w:space="0" w:color="auto"/>
              <w:bottom w:val="single" w:sz="2" w:space="0" w:color="auto"/>
            </w:tcBorders>
          </w:tcPr>
          <w:p w14:paraId="546CDEA4" w14:textId="77777777" w:rsidR="00826D85" w:rsidRPr="00FE3A13" w:rsidRDefault="00826D85" w:rsidP="00826D85">
            <w:pPr>
              <w:rPr>
                <w:rFonts w:cs="Arial"/>
                <w:bCs/>
                <w:szCs w:val="18"/>
              </w:rPr>
            </w:pPr>
            <w:r w:rsidRPr="00FE3A13">
              <w:rPr>
                <w:rFonts w:cs="Arial"/>
                <w:bCs/>
                <w:szCs w:val="18"/>
              </w:rPr>
              <w:t>Charges d’amortissements</w:t>
            </w:r>
          </w:p>
        </w:tc>
        <w:tc>
          <w:tcPr>
            <w:tcW w:w="648" w:type="pct"/>
            <w:tcBorders>
              <w:top w:val="single" w:sz="2" w:space="0" w:color="auto"/>
              <w:bottom w:val="single" w:sz="2" w:space="0" w:color="auto"/>
            </w:tcBorders>
            <w:vAlign w:val="center"/>
          </w:tcPr>
          <w:p w14:paraId="6FA61F1A" w14:textId="77777777" w:rsidR="00826D85" w:rsidRPr="00FE3A13" w:rsidRDefault="00826D85" w:rsidP="00826D85">
            <w:pPr>
              <w:ind w:right="85"/>
              <w:jc w:val="right"/>
              <w:rPr>
                <w:rFonts w:cs="Arial"/>
                <w:bCs/>
                <w:szCs w:val="18"/>
              </w:rPr>
            </w:pPr>
            <w:r w:rsidRPr="00FE3A13">
              <w:rPr>
                <w:rFonts w:cs="Arial"/>
                <w:bCs/>
                <w:szCs w:val="18"/>
              </w:rPr>
              <w:t>131,8</w:t>
            </w:r>
          </w:p>
        </w:tc>
        <w:tc>
          <w:tcPr>
            <w:tcW w:w="649" w:type="pct"/>
            <w:tcBorders>
              <w:top w:val="single" w:sz="2" w:space="0" w:color="auto"/>
              <w:bottom w:val="single" w:sz="2" w:space="0" w:color="auto"/>
            </w:tcBorders>
            <w:vAlign w:val="center"/>
          </w:tcPr>
          <w:p w14:paraId="53042D5E" w14:textId="77777777" w:rsidR="00826D85" w:rsidRPr="00FE3A13" w:rsidRDefault="00826D85" w:rsidP="00826D85">
            <w:pPr>
              <w:ind w:right="171"/>
              <w:jc w:val="right"/>
              <w:rPr>
                <w:rFonts w:cs="Arial"/>
                <w:bCs/>
                <w:szCs w:val="18"/>
              </w:rPr>
            </w:pPr>
            <w:r w:rsidRPr="00FE3A13">
              <w:rPr>
                <w:rFonts w:cs="Arial"/>
                <w:bCs/>
                <w:szCs w:val="18"/>
              </w:rPr>
              <w:t>153,0</w:t>
            </w:r>
          </w:p>
        </w:tc>
        <w:tc>
          <w:tcPr>
            <w:tcW w:w="649" w:type="pct"/>
            <w:tcBorders>
              <w:top w:val="single" w:sz="2" w:space="0" w:color="auto"/>
              <w:bottom w:val="single" w:sz="2" w:space="0" w:color="auto"/>
            </w:tcBorders>
            <w:vAlign w:val="center"/>
          </w:tcPr>
          <w:p w14:paraId="624D51FA" w14:textId="77777777" w:rsidR="00826D85" w:rsidRPr="00FE3A13" w:rsidRDefault="00826D85" w:rsidP="00826D85">
            <w:pPr>
              <w:ind w:right="171"/>
              <w:jc w:val="right"/>
              <w:rPr>
                <w:rFonts w:cs="Arial"/>
                <w:bCs/>
                <w:szCs w:val="18"/>
              </w:rPr>
            </w:pPr>
            <w:r w:rsidRPr="00FE3A13">
              <w:rPr>
                <w:rFonts w:cs="Arial"/>
                <w:bCs/>
                <w:szCs w:val="18"/>
              </w:rPr>
              <w:t>169,7</w:t>
            </w:r>
          </w:p>
        </w:tc>
        <w:tc>
          <w:tcPr>
            <w:tcW w:w="649" w:type="pct"/>
            <w:tcBorders>
              <w:top w:val="single" w:sz="2" w:space="0" w:color="auto"/>
              <w:bottom w:val="single" w:sz="2" w:space="0" w:color="auto"/>
            </w:tcBorders>
            <w:vAlign w:val="center"/>
          </w:tcPr>
          <w:p w14:paraId="4B4ED410" w14:textId="77777777" w:rsidR="00826D85" w:rsidRPr="00FE3A13" w:rsidRDefault="00826D85" w:rsidP="00826D85">
            <w:pPr>
              <w:ind w:right="171"/>
              <w:jc w:val="right"/>
              <w:rPr>
                <w:rFonts w:cs="Arial"/>
                <w:bCs/>
                <w:szCs w:val="18"/>
              </w:rPr>
            </w:pPr>
            <w:r w:rsidRPr="00FE3A13">
              <w:rPr>
                <w:rFonts w:cs="Arial"/>
                <w:bCs/>
                <w:szCs w:val="18"/>
              </w:rPr>
              <w:t>171,2</w:t>
            </w:r>
          </w:p>
        </w:tc>
        <w:tc>
          <w:tcPr>
            <w:tcW w:w="648" w:type="pct"/>
            <w:tcBorders>
              <w:top w:val="single" w:sz="2" w:space="0" w:color="auto"/>
              <w:bottom w:val="single" w:sz="2" w:space="0" w:color="auto"/>
            </w:tcBorders>
            <w:vAlign w:val="center"/>
          </w:tcPr>
          <w:p w14:paraId="2A2A4766" w14:textId="77777777" w:rsidR="00826D85" w:rsidRPr="00FE3A13" w:rsidRDefault="00826D85" w:rsidP="00826D85">
            <w:pPr>
              <w:ind w:right="171"/>
              <w:jc w:val="right"/>
              <w:rPr>
                <w:rFonts w:cs="Arial"/>
                <w:bCs/>
                <w:szCs w:val="18"/>
              </w:rPr>
            </w:pPr>
            <w:r w:rsidRPr="00FE3A13">
              <w:rPr>
                <w:rFonts w:cs="Arial"/>
                <w:bCs/>
                <w:szCs w:val="18"/>
              </w:rPr>
              <w:t>+ 29,9</w:t>
            </w:r>
          </w:p>
        </w:tc>
      </w:tr>
      <w:tr w:rsidR="00826D85" w:rsidRPr="00FE3A13" w14:paraId="292CA8F4" w14:textId="77777777" w:rsidTr="00DA2DB7">
        <w:tc>
          <w:tcPr>
            <w:tcW w:w="1757" w:type="pct"/>
            <w:tcBorders>
              <w:top w:val="single" w:sz="2" w:space="0" w:color="auto"/>
              <w:bottom w:val="single" w:sz="2" w:space="0" w:color="auto"/>
            </w:tcBorders>
          </w:tcPr>
          <w:p w14:paraId="6B4FA487" w14:textId="77777777" w:rsidR="00826D85" w:rsidRPr="00FE3A13" w:rsidRDefault="00826D85" w:rsidP="00826D85">
            <w:pPr>
              <w:rPr>
                <w:rFonts w:cs="Arial"/>
                <w:bCs/>
                <w:szCs w:val="18"/>
              </w:rPr>
            </w:pPr>
            <w:r w:rsidRPr="00FE3A13">
              <w:rPr>
                <w:rFonts w:cs="Arial"/>
                <w:bCs/>
                <w:szCs w:val="18"/>
              </w:rPr>
              <w:t>Charges de transferts</w:t>
            </w:r>
          </w:p>
        </w:tc>
        <w:tc>
          <w:tcPr>
            <w:tcW w:w="648" w:type="pct"/>
            <w:tcBorders>
              <w:top w:val="single" w:sz="2" w:space="0" w:color="auto"/>
              <w:bottom w:val="single" w:sz="2" w:space="0" w:color="auto"/>
            </w:tcBorders>
            <w:vAlign w:val="center"/>
          </w:tcPr>
          <w:p w14:paraId="6967AFFF" w14:textId="77777777" w:rsidR="00826D85" w:rsidRPr="00FE3A13" w:rsidRDefault="00826D85" w:rsidP="00826D85">
            <w:pPr>
              <w:ind w:right="85"/>
              <w:jc w:val="right"/>
              <w:rPr>
                <w:rFonts w:cs="Arial"/>
                <w:bCs/>
                <w:szCs w:val="18"/>
              </w:rPr>
            </w:pPr>
            <w:r w:rsidRPr="00FE3A13">
              <w:rPr>
                <w:rFonts w:cs="Arial"/>
                <w:bCs/>
                <w:szCs w:val="18"/>
              </w:rPr>
              <w:t>2 076,1</w:t>
            </w:r>
          </w:p>
        </w:tc>
        <w:tc>
          <w:tcPr>
            <w:tcW w:w="649" w:type="pct"/>
            <w:tcBorders>
              <w:top w:val="single" w:sz="2" w:space="0" w:color="auto"/>
              <w:bottom w:val="single" w:sz="2" w:space="0" w:color="auto"/>
            </w:tcBorders>
            <w:vAlign w:val="center"/>
          </w:tcPr>
          <w:p w14:paraId="49D7CBA3" w14:textId="77777777" w:rsidR="00826D85" w:rsidRPr="00FE3A13" w:rsidRDefault="00826D85" w:rsidP="00826D85">
            <w:pPr>
              <w:ind w:right="171"/>
              <w:jc w:val="right"/>
              <w:rPr>
                <w:rFonts w:cs="Arial"/>
                <w:bCs/>
                <w:szCs w:val="18"/>
              </w:rPr>
            </w:pPr>
            <w:r w:rsidRPr="00FE3A13">
              <w:rPr>
                <w:rFonts w:cs="Arial"/>
                <w:bCs/>
                <w:szCs w:val="18"/>
              </w:rPr>
              <w:t>2 176,1</w:t>
            </w:r>
          </w:p>
        </w:tc>
        <w:tc>
          <w:tcPr>
            <w:tcW w:w="649" w:type="pct"/>
            <w:tcBorders>
              <w:top w:val="single" w:sz="2" w:space="0" w:color="auto"/>
              <w:bottom w:val="single" w:sz="2" w:space="0" w:color="auto"/>
            </w:tcBorders>
            <w:vAlign w:val="center"/>
          </w:tcPr>
          <w:p w14:paraId="76AC0BAC" w14:textId="77777777" w:rsidR="00826D85" w:rsidRPr="00FE3A13" w:rsidRDefault="00826D85" w:rsidP="00826D85">
            <w:pPr>
              <w:ind w:right="171"/>
              <w:jc w:val="right"/>
              <w:rPr>
                <w:rFonts w:cs="Arial"/>
                <w:bCs/>
                <w:szCs w:val="18"/>
              </w:rPr>
            </w:pPr>
            <w:r w:rsidRPr="00FE3A13">
              <w:rPr>
                <w:rFonts w:cs="Arial"/>
                <w:bCs/>
                <w:szCs w:val="18"/>
              </w:rPr>
              <w:t>2 201,7</w:t>
            </w:r>
          </w:p>
        </w:tc>
        <w:tc>
          <w:tcPr>
            <w:tcW w:w="649" w:type="pct"/>
            <w:tcBorders>
              <w:top w:val="single" w:sz="2" w:space="0" w:color="auto"/>
              <w:bottom w:val="single" w:sz="2" w:space="0" w:color="auto"/>
            </w:tcBorders>
            <w:vAlign w:val="center"/>
          </w:tcPr>
          <w:p w14:paraId="4148AF0F" w14:textId="77777777" w:rsidR="00826D85" w:rsidRPr="00FE3A13" w:rsidRDefault="00826D85" w:rsidP="00826D85">
            <w:pPr>
              <w:ind w:right="171"/>
              <w:jc w:val="right"/>
              <w:rPr>
                <w:rFonts w:cs="Arial"/>
                <w:bCs/>
                <w:szCs w:val="18"/>
              </w:rPr>
            </w:pPr>
            <w:r w:rsidRPr="00FE3A13">
              <w:rPr>
                <w:rFonts w:cs="Arial"/>
                <w:bCs/>
                <w:szCs w:val="18"/>
              </w:rPr>
              <w:t>2 246,7</w:t>
            </w:r>
          </w:p>
        </w:tc>
        <w:tc>
          <w:tcPr>
            <w:tcW w:w="648" w:type="pct"/>
            <w:tcBorders>
              <w:top w:val="single" w:sz="2" w:space="0" w:color="auto"/>
              <w:bottom w:val="single" w:sz="2" w:space="0" w:color="auto"/>
            </w:tcBorders>
            <w:vAlign w:val="center"/>
          </w:tcPr>
          <w:p w14:paraId="1C70A9BE" w14:textId="77777777" w:rsidR="00826D85" w:rsidRPr="00FE3A13" w:rsidRDefault="00826D85" w:rsidP="00826D85">
            <w:pPr>
              <w:ind w:right="171"/>
              <w:jc w:val="right"/>
              <w:rPr>
                <w:rFonts w:cs="Arial"/>
                <w:bCs/>
                <w:szCs w:val="18"/>
              </w:rPr>
            </w:pPr>
            <w:r w:rsidRPr="00FE3A13">
              <w:rPr>
                <w:rFonts w:cs="Arial"/>
                <w:bCs/>
                <w:szCs w:val="18"/>
              </w:rPr>
              <w:t>+ 8,2</w:t>
            </w:r>
          </w:p>
        </w:tc>
      </w:tr>
      <w:tr w:rsidR="00826D85" w:rsidRPr="00FE3A13" w14:paraId="04F55A0B" w14:textId="77777777" w:rsidTr="00DA2DB7">
        <w:tc>
          <w:tcPr>
            <w:tcW w:w="1757" w:type="pct"/>
            <w:tcBorders>
              <w:top w:val="single" w:sz="2" w:space="0" w:color="auto"/>
            </w:tcBorders>
          </w:tcPr>
          <w:p w14:paraId="315A64B2" w14:textId="77777777" w:rsidR="00826D85" w:rsidRPr="00FE3A13" w:rsidRDefault="00826D85" w:rsidP="00826D85">
            <w:pPr>
              <w:rPr>
                <w:rFonts w:cs="Arial"/>
                <w:bCs/>
                <w:szCs w:val="18"/>
              </w:rPr>
            </w:pPr>
            <w:r w:rsidRPr="00FE3A13">
              <w:rPr>
                <w:rFonts w:cs="Arial"/>
                <w:bCs/>
                <w:szCs w:val="18"/>
              </w:rPr>
              <w:t>Charges financières, comptables et extraordinaires</w:t>
            </w:r>
          </w:p>
        </w:tc>
        <w:tc>
          <w:tcPr>
            <w:tcW w:w="648" w:type="pct"/>
            <w:tcBorders>
              <w:top w:val="single" w:sz="2" w:space="0" w:color="auto"/>
            </w:tcBorders>
            <w:vAlign w:val="center"/>
          </w:tcPr>
          <w:p w14:paraId="73D5C226" w14:textId="77777777" w:rsidR="00826D85" w:rsidRPr="00FE3A13" w:rsidRDefault="00826D85" w:rsidP="00826D85">
            <w:pPr>
              <w:ind w:right="85"/>
              <w:jc w:val="right"/>
              <w:rPr>
                <w:rFonts w:cs="Arial"/>
                <w:bCs/>
                <w:szCs w:val="18"/>
              </w:rPr>
            </w:pPr>
            <w:r w:rsidRPr="00FE3A13">
              <w:rPr>
                <w:rFonts w:cs="Arial"/>
                <w:bCs/>
                <w:szCs w:val="18"/>
              </w:rPr>
              <w:t>130,3</w:t>
            </w:r>
          </w:p>
        </w:tc>
        <w:tc>
          <w:tcPr>
            <w:tcW w:w="649" w:type="pct"/>
            <w:tcBorders>
              <w:top w:val="single" w:sz="2" w:space="0" w:color="auto"/>
            </w:tcBorders>
            <w:vAlign w:val="center"/>
          </w:tcPr>
          <w:p w14:paraId="6A862290" w14:textId="77777777" w:rsidR="00826D85" w:rsidRPr="00FE3A13" w:rsidRDefault="00826D85" w:rsidP="00826D85">
            <w:pPr>
              <w:ind w:right="171"/>
              <w:jc w:val="right"/>
              <w:rPr>
                <w:rFonts w:cs="Arial"/>
                <w:bCs/>
                <w:szCs w:val="18"/>
              </w:rPr>
            </w:pPr>
            <w:r w:rsidRPr="00FE3A13">
              <w:rPr>
                <w:rFonts w:cs="Arial"/>
                <w:bCs/>
                <w:szCs w:val="18"/>
              </w:rPr>
              <w:t>151,2</w:t>
            </w:r>
          </w:p>
        </w:tc>
        <w:tc>
          <w:tcPr>
            <w:tcW w:w="649" w:type="pct"/>
            <w:tcBorders>
              <w:top w:val="single" w:sz="2" w:space="0" w:color="auto"/>
            </w:tcBorders>
            <w:vAlign w:val="center"/>
          </w:tcPr>
          <w:p w14:paraId="36E8EAC5" w14:textId="77777777" w:rsidR="00826D85" w:rsidRPr="00FE3A13" w:rsidRDefault="00826D85" w:rsidP="00826D85">
            <w:pPr>
              <w:ind w:right="171"/>
              <w:jc w:val="right"/>
              <w:rPr>
                <w:rFonts w:cs="Arial"/>
                <w:bCs/>
                <w:szCs w:val="18"/>
              </w:rPr>
            </w:pPr>
            <w:r w:rsidRPr="00FE3A13">
              <w:rPr>
                <w:rFonts w:cs="Arial"/>
                <w:bCs/>
                <w:szCs w:val="18"/>
              </w:rPr>
              <w:t>230,1</w:t>
            </w:r>
          </w:p>
        </w:tc>
        <w:tc>
          <w:tcPr>
            <w:tcW w:w="649" w:type="pct"/>
            <w:tcBorders>
              <w:top w:val="single" w:sz="2" w:space="0" w:color="auto"/>
            </w:tcBorders>
            <w:vAlign w:val="center"/>
          </w:tcPr>
          <w:p w14:paraId="20835618" w14:textId="77777777" w:rsidR="00826D85" w:rsidRPr="00FE3A13" w:rsidRDefault="00826D85" w:rsidP="00826D85">
            <w:pPr>
              <w:ind w:right="171"/>
              <w:jc w:val="right"/>
              <w:rPr>
                <w:rFonts w:cs="Arial"/>
                <w:bCs/>
                <w:szCs w:val="18"/>
              </w:rPr>
            </w:pPr>
            <w:r w:rsidRPr="00FE3A13">
              <w:rPr>
                <w:rFonts w:cs="Arial"/>
                <w:bCs/>
                <w:szCs w:val="18"/>
              </w:rPr>
              <w:t>152,4</w:t>
            </w:r>
          </w:p>
        </w:tc>
        <w:tc>
          <w:tcPr>
            <w:tcW w:w="648" w:type="pct"/>
            <w:tcBorders>
              <w:top w:val="single" w:sz="2" w:space="0" w:color="auto"/>
            </w:tcBorders>
            <w:vAlign w:val="center"/>
          </w:tcPr>
          <w:p w14:paraId="698A97FB" w14:textId="77777777" w:rsidR="00826D85" w:rsidRPr="00FE3A13" w:rsidRDefault="00826D85" w:rsidP="00826D85">
            <w:pPr>
              <w:ind w:right="171"/>
              <w:jc w:val="right"/>
              <w:rPr>
                <w:rFonts w:cs="Arial"/>
                <w:bCs/>
                <w:szCs w:val="18"/>
              </w:rPr>
            </w:pPr>
            <w:r w:rsidRPr="00FE3A13">
              <w:rPr>
                <w:rFonts w:cs="Arial"/>
                <w:bCs/>
                <w:szCs w:val="18"/>
              </w:rPr>
              <w:t>+ 17,0</w:t>
            </w:r>
          </w:p>
        </w:tc>
      </w:tr>
      <w:tr w:rsidR="00826D85" w:rsidRPr="00FE3A13" w14:paraId="4EEFE88A" w14:textId="77777777" w:rsidTr="00DA2DB7">
        <w:tc>
          <w:tcPr>
            <w:tcW w:w="1757" w:type="pct"/>
            <w:tcBorders>
              <w:bottom w:val="single" w:sz="2" w:space="0" w:color="auto"/>
            </w:tcBorders>
          </w:tcPr>
          <w:p w14:paraId="538C1403" w14:textId="77777777" w:rsidR="00826D85" w:rsidRPr="00FE3A13" w:rsidRDefault="00826D85" w:rsidP="00826D85">
            <w:pPr>
              <w:rPr>
                <w:rFonts w:cs="Arial"/>
                <w:b/>
                <w:szCs w:val="18"/>
              </w:rPr>
            </w:pPr>
            <w:r w:rsidRPr="00FE3A13">
              <w:rPr>
                <w:rFonts w:cs="Arial"/>
                <w:b/>
                <w:szCs w:val="18"/>
              </w:rPr>
              <w:t>Total des charges</w:t>
            </w:r>
          </w:p>
        </w:tc>
        <w:tc>
          <w:tcPr>
            <w:tcW w:w="648" w:type="pct"/>
            <w:tcBorders>
              <w:bottom w:val="single" w:sz="2" w:space="0" w:color="auto"/>
            </w:tcBorders>
            <w:vAlign w:val="center"/>
          </w:tcPr>
          <w:p w14:paraId="3FE8A3E3" w14:textId="77777777" w:rsidR="00826D85" w:rsidRPr="00FE3A13" w:rsidRDefault="00826D85" w:rsidP="00826D85">
            <w:pPr>
              <w:ind w:right="85"/>
              <w:jc w:val="right"/>
              <w:rPr>
                <w:rFonts w:cs="Arial"/>
                <w:b/>
                <w:szCs w:val="18"/>
              </w:rPr>
            </w:pPr>
            <w:r w:rsidRPr="00FE3A13">
              <w:rPr>
                <w:rFonts w:cs="Arial"/>
                <w:b/>
                <w:szCs w:val="18"/>
              </w:rPr>
              <w:t>4 326,1</w:t>
            </w:r>
          </w:p>
        </w:tc>
        <w:tc>
          <w:tcPr>
            <w:tcW w:w="649" w:type="pct"/>
            <w:tcBorders>
              <w:bottom w:val="single" w:sz="2" w:space="0" w:color="auto"/>
            </w:tcBorders>
            <w:vAlign w:val="center"/>
          </w:tcPr>
          <w:p w14:paraId="5AE40B69" w14:textId="77777777" w:rsidR="00826D85" w:rsidRPr="00FE3A13" w:rsidRDefault="00826D85" w:rsidP="00826D85">
            <w:pPr>
              <w:ind w:right="171"/>
              <w:jc w:val="right"/>
              <w:rPr>
                <w:rFonts w:cs="Arial"/>
                <w:b/>
                <w:szCs w:val="18"/>
              </w:rPr>
            </w:pPr>
            <w:r w:rsidRPr="00FE3A13">
              <w:rPr>
                <w:rFonts w:cs="Arial"/>
                <w:b/>
                <w:szCs w:val="18"/>
              </w:rPr>
              <w:t>4 556,5</w:t>
            </w:r>
          </w:p>
        </w:tc>
        <w:tc>
          <w:tcPr>
            <w:tcW w:w="649" w:type="pct"/>
            <w:tcBorders>
              <w:bottom w:val="single" w:sz="2" w:space="0" w:color="auto"/>
            </w:tcBorders>
            <w:vAlign w:val="center"/>
          </w:tcPr>
          <w:p w14:paraId="7996B413" w14:textId="77777777" w:rsidR="00826D85" w:rsidRPr="00FE3A13" w:rsidRDefault="00826D85" w:rsidP="00826D85">
            <w:pPr>
              <w:ind w:right="171"/>
              <w:jc w:val="right"/>
              <w:rPr>
                <w:rFonts w:cs="Arial"/>
                <w:b/>
                <w:szCs w:val="18"/>
              </w:rPr>
            </w:pPr>
            <w:r w:rsidRPr="00FE3A13">
              <w:rPr>
                <w:rFonts w:cs="Arial"/>
                <w:b/>
                <w:szCs w:val="18"/>
              </w:rPr>
              <w:t>4 740,9</w:t>
            </w:r>
          </w:p>
        </w:tc>
        <w:tc>
          <w:tcPr>
            <w:tcW w:w="649" w:type="pct"/>
            <w:tcBorders>
              <w:bottom w:val="single" w:sz="2" w:space="0" w:color="auto"/>
            </w:tcBorders>
            <w:vAlign w:val="center"/>
          </w:tcPr>
          <w:p w14:paraId="2587438D" w14:textId="77777777" w:rsidR="00826D85" w:rsidRPr="00FE3A13" w:rsidRDefault="00826D85" w:rsidP="00826D85">
            <w:pPr>
              <w:ind w:right="171"/>
              <w:jc w:val="right"/>
              <w:rPr>
                <w:rFonts w:cs="Arial"/>
                <w:b/>
                <w:szCs w:val="18"/>
              </w:rPr>
            </w:pPr>
            <w:r w:rsidRPr="00FE3A13">
              <w:rPr>
                <w:rFonts w:cs="Arial"/>
                <w:b/>
                <w:szCs w:val="18"/>
              </w:rPr>
              <w:t>4 790,4</w:t>
            </w:r>
          </w:p>
        </w:tc>
        <w:tc>
          <w:tcPr>
            <w:tcW w:w="648" w:type="pct"/>
            <w:tcBorders>
              <w:bottom w:val="single" w:sz="2" w:space="0" w:color="auto"/>
            </w:tcBorders>
            <w:vAlign w:val="center"/>
          </w:tcPr>
          <w:p w14:paraId="51373B6F" w14:textId="77777777" w:rsidR="00826D85" w:rsidRPr="00FE3A13" w:rsidRDefault="00826D85" w:rsidP="00826D85">
            <w:pPr>
              <w:ind w:right="171"/>
              <w:jc w:val="right"/>
              <w:rPr>
                <w:rFonts w:cs="Arial"/>
                <w:b/>
                <w:szCs w:val="18"/>
              </w:rPr>
            </w:pPr>
            <w:r w:rsidRPr="00FE3A13">
              <w:rPr>
                <w:rFonts w:cs="Arial"/>
                <w:b/>
                <w:szCs w:val="18"/>
              </w:rPr>
              <w:t>+ 10,7</w:t>
            </w:r>
          </w:p>
        </w:tc>
      </w:tr>
      <w:tr w:rsidR="00826D85" w:rsidRPr="00FE3A13" w14:paraId="690BC98A" w14:textId="77777777" w:rsidTr="00DA2DB7">
        <w:tc>
          <w:tcPr>
            <w:tcW w:w="1757" w:type="pct"/>
            <w:tcBorders>
              <w:top w:val="single" w:sz="2" w:space="0" w:color="auto"/>
              <w:bottom w:val="single" w:sz="2" w:space="0" w:color="auto"/>
            </w:tcBorders>
          </w:tcPr>
          <w:p w14:paraId="64B8E074" w14:textId="77777777" w:rsidR="00826D85" w:rsidRPr="00FE3A13" w:rsidRDefault="00826D85" w:rsidP="00826D85">
            <w:pPr>
              <w:rPr>
                <w:rFonts w:cs="Arial"/>
                <w:bCs/>
                <w:szCs w:val="18"/>
              </w:rPr>
            </w:pPr>
            <w:r w:rsidRPr="00FE3A13">
              <w:rPr>
                <w:rFonts w:cs="Arial"/>
                <w:bCs/>
                <w:szCs w:val="18"/>
              </w:rPr>
              <w:t>Revenus fiscaux</w:t>
            </w:r>
          </w:p>
        </w:tc>
        <w:tc>
          <w:tcPr>
            <w:tcW w:w="648" w:type="pct"/>
            <w:tcBorders>
              <w:top w:val="single" w:sz="2" w:space="0" w:color="auto"/>
              <w:bottom w:val="single" w:sz="2" w:space="0" w:color="auto"/>
            </w:tcBorders>
            <w:vAlign w:val="center"/>
          </w:tcPr>
          <w:p w14:paraId="2387B8AE" w14:textId="77777777" w:rsidR="00826D85" w:rsidRPr="00FE3A13" w:rsidRDefault="00826D85" w:rsidP="00826D85">
            <w:pPr>
              <w:ind w:right="85"/>
              <w:jc w:val="right"/>
              <w:rPr>
                <w:rFonts w:cs="Arial"/>
                <w:bCs/>
                <w:szCs w:val="18"/>
              </w:rPr>
            </w:pPr>
            <w:r w:rsidRPr="00FE3A13">
              <w:rPr>
                <w:rFonts w:cs="Arial"/>
                <w:bCs/>
                <w:szCs w:val="18"/>
              </w:rPr>
              <w:t>1 580,3</w:t>
            </w:r>
          </w:p>
        </w:tc>
        <w:tc>
          <w:tcPr>
            <w:tcW w:w="649" w:type="pct"/>
            <w:tcBorders>
              <w:top w:val="single" w:sz="2" w:space="0" w:color="auto"/>
              <w:bottom w:val="single" w:sz="2" w:space="0" w:color="auto"/>
            </w:tcBorders>
            <w:vAlign w:val="center"/>
          </w:tcPr>
          <w:p w14:paraId="28C4AC53" w14:textId="77777777" w:rsidR="00826D85" w:rsidRPr="00FE3A13" w:rsidRDefault="00826D85" w:rsidP="00826D85">
            <w:pPr>
              <w:ind w:right="171"/>
              <w:jc w:val="right"/>
              <w:rPr>
                <w:rFonts w:cs="Arial"/>
                <w:bCs/>
                <w:szCs w:val="18"/>
              </w:rPr>
            </w:pPr>
            <w:r w:rsidRPr="00FE3A13">
              <w:rPr>
                <w:rFonts w:cs="Arial"/>
                <w:bCs/>
                <w:szCs w:val="18"/>
              </w:rPr>
              <w:t>1 606,3</w:t>
            </w:r>
          </w:p>
        </w:tc>
        <w:tc>
          <w:tcPr>
            <w:tcW w:w="649" w:type="pct"/>
            <w:tcBorders>
              <w:top w:val="single" w:sz="2" w:space="0" w:color="auto"/>
              <w:bottom w:val="single" w:sz="2" w:space="0" w:color="auto"/>
            </w:tcBorders>
            <w:vAlign w:val="center"/>
          </w:tcPr>
          <w:p w14:paraId="1C13C013" w14:textId="77777777" w:rsidR="00826D85" w:rsidRPr="00FE3A13" w:rsidRDefault="00826D85" w:rsidP="00826D85">
            <w:pPr>
              <w:ind w:right="171"/>
              <w:jc w:val="right"/>
              <w:rPr>
                <w:rFonts w:cs="Arial"/>
                <w:bCs/>
                <w:szCs w:val="18"/>
              </w:rPr>
            </w:pPr>
            <w:r w:rsidRPr="00FE3A13">
              <w:rPr>
                <w:rFonts w:cs="Arial"/>
                <w:bCs/>
                <w:szCs w:val="18"/>
              </w:rPr>
              <w:t>1 657,9</w:t>
            </w:r>
          </w:p>
        </w:tc>
        <w:tc>
          <w:tcPr>
            <w:tcW w:w="649" w:type="pct"/>
            <w:tcBorders>
              <w:top w:val="single" w:sz="2" w:space="0" w:color="auto"/>
              <w:bottom w:val="single" w:sz="2" w:space="0" w:color="auto"/>
            </w:tcBorders>
            <w:vAlign w:val="center"/>
          </w:tcPr>
          <w:p w14:paraId="3CBC5D2A" w14:textId="77777777" w:rsidR="00826D85" w:rsidRPr="00FE3A13" w:rsidRDefault="00826D85" w:rsidP="00826D85">
            <w:pPr>
              <w:ind w:right="171"/>
              <w:jc w:val="right"/>
              <w:rPr>
                <w:rFonts w:cs="Arial"/>
                <w:bCs/>
                <w:szCs w:val="18"/>
              </w:rPr>
            </w:pPr>
            <w:r w:rsidRPr="00FE3A13">
              <w:rPr>
                <w:rFonts w:cs="Arial"/>
                <w:bCs/>
                <w:szCs w:val="18"/>
              </w:rPr>
              <w:t>1 699,4</w:t>
            </w:r>
          </w:p>
        </w:tc>
        <w:tc>
          <w:tcPr>
            <w:tcW w:w="648" w:type="pct"/>
            <w:tcBorders>
              <w:top w:val="single" w:sz="2" w:space="0" w:color="auto"/>
              <w:bottom w:val="single" w:sz="2" w:space="0" w:color="auto"/>
            </w:tcBorders>
            <w:vAlign w:val="center"/>
          </w:tcPr>
          <w:p w14:paraId="214ED9F1" w14:textId="77777777" w:rsidR="00826D85" w:rsidRPr="00FE3A13" w:rsidRDefault="00826D85" w:rsidP="00826D85">
            <w:pPr>
              <w:ind w:right="171"/>
              <w:jc w:val="right"/>
              <w:rPr>
                <w:rFonts w:cs="Arial"/>
                <w:bCs/>
                <w:szCs w:val="18"/>
              </w:rPr>
            </w:pPr>
            <w:r w:rsidRPr="00FE3A13">
              <w:rPr>
                <w:rFonts w:cs="Arial"/>
                <w:bCs/>
                <w:szCs w:val="18"/>
              </w:rPr>
              <w:t>+ 7,5</w:t>
            </w:r>
          </w:p>
        </w:tc>
      </w:tr>
      <w:tr w:rsidR="00826D85" w:rsidRPr="00FE3A13" w14:paraId="2DA72288" w14:textId="77777777" w:rsidTr="00DA2DB7">
        <w:tc>
          <w:tcPr>
            <w:tcW w:w="1757" w:type="pct"/>
            <w:tcBorders>
              <w:top w:val="single" w:sz="2" w:space="0" w:color="auto"/>
              <w:bottom w:val="single" w:sz="2" w:space="0" w:color="auto"/>
            </w:tcBorders>
          </w:tcPr>
          <w:p w14:paraId="043FAEEB" w14:textId="77777777" w:rsidR="00826D85" w:rsidRPr="00FE3A13" w:rsidRDefault="00826D85" w:rsidP="00826D85">
            <w:pPr>
              <w:rPr>
                <w:rFonts w:cs="Arial"/>
                <w:bCs/>
                <w:szCs w:val="18"/>
              </w:rPr>
            </w:pPr>
            <w:r w:rsidRPr="00FE3A13">
              <w:rPr>
                <w:rFonts w:cs="Arial"/>
                <w:bCs/>
                <w:szCs w:val="18"/>
              </w:rPr>
              <w:t>Revenus des biens d’exploitation</w:t>
            </w:r>
          </w:p>
        </w:tc>
        <w:tc>
          <w:tcPr>
            <w:tcW w:w="648" w:type="pct"/>
            <w:tcBorders>
              <w:top w:val="single" w:sz="2" w:space="0" w:color="auto"/>
              <w:bottom w:val="single" w:sz="2" w:space="0" w:color="auto"/>
            </w:tcBorders>
            <w:vAlign w:val="center"/>
          </w:tcPr>
          <w:p w14:paraId="1A26238C" w14:textId="77777777" w:rsidR="00826D85" w:rsidRPr="00FE3A13" w:rsidRDefault="00826D85" w:rsidP="00826D85">
            <w:pPr>
              <w:ind w:right="85"/>
              <w:jc w:val="right"/>
              <w:rPr>
                <w:rFonts w:cs="Arial"/>
                <w:bCs/>
                <w:szCs w:val="18"/>
              </w:rPr>
            </w:pPr>
            <w:r w:rsidRPr="00FE3A13">
              <w:rPr>
                <w:rFonts w:cs="Arial"/>
                <w:bCs/>
                <w:szCs w:val="18"/>
              </w:rPr>
              <w:t>408,7</w:t>
            </w:r>
          </w:p>
        </w:tc>
        <w:tc>
          <w:tcPr>
            <w:tcW w:w="649" w:type="pct"/>
            <w:tcBorders>
              <w:top w:val="single" w:sz="2" w:space="0" w:color="auto"/>
              <w:bottom w:val="single" w:sz="2" w:space="0" w:color="auto"/>
            </w:tcBorders>
            <w:vAlign w:val="center"/>
          </w:tcPr>
          <w:p w14:paraId="442E71D9" w14:textId="77777777" w:rsidR="00826D85" w:rsidRPr="00FE3A13" w:rsidRDefault="00826D85" w:rsidP="00826D85">
            <w:pPr>
              <w:ind w:right="171"/>
              <w:jc w:val="right"/>
              <w:rPr>
                <w:rFonts w:cs="Arial"/>
                <w:bCs/>
                <w:szCs w:val="18"/>
              </w:rPr>
            </w:pPr>
            <w:r w:rsidRPr="00FE3A13">
              <w:rPr>
                <w:rFonts w:cs="Arial"/>
                <w:bCs/>
                <w:szCs w:val="18"/>
              </w:rPr>
              <w:t>441,3</w:t>
            </w:r>
          </w:p>
        </w:tc>
        <w:tc>
          <w:tcPr>
            <w:tcW w:w="649" w:type="pct"/>
            <w:tcBorders>
              <w:top w:val="single" w:sz="2" w:space="0" w:color="auto"/>
              <w:bottom w:val="single" w:sz="2" w:space="0" w:color="auto"/>
            </w:tcBorders>
            <w:vAlign w:val="center"/>
          </w:tcPr>
          <w:p w14:paraId="44D27051" w14:textId="77777777" w:rsidR="00826D85" w:rsidRPr="00FE3A13" w:rsidRDefault="00826D85" w:rsidP="00826D85">
            <w:pPr>
              <w:ind w:right="171"/>
              <w:jc w:val="right"/>
              <w:rPr>
                <w:rFonts w:cs="Arial"/>
                <w:bCs/>
                <w:szCs w:val="18"/>
              </w:rPr>
            </w:pPr>
            <w:r w:rsidRPr="00FE3A13">
              <w:rPr>
                <w:rFonts w:cs="Arial"/>
                <w:bCs/>
                <w:szCs w:val="18"/>
              </w:rPr>
              <w:t>471,0</w:t>
            </w:r>
          </w:p>
        </w:tc>
        <w:tc>
          <w:tcPr>
            <w:tcW w:w="649" w:type="pct"/>
            <w:tcBorders>
              <w:top w:val="single" w:sz="2" w:space="0" w:color="auto"/>
              <w:bottom w:val="single" w:sz="2" w:space="0" w:color="auto"/>
            </w:tcBorders>
            <w:vAlign w:val="center"/>
          </w:tcPr>
          <w:p w14:paraId="582BAF23" w14:textId="77777777" w:rsidR="00826D85" w:rsidRPr="00FE3A13" w:rsidRDefault="00826D85" w:rsidP="00826D85">
            <w:pPr>
              <w:ind w:right="171"/>
              <w:jc w:val="right"/>
              <w:rPr>
                <w:rFonts w:cs="Arial"/>
                <w:bCs/>
                <w:szCs w:val="18"/>
              </w:rPr>
            </w:pPr>
            <w:r w:rsidRPr="00FE3A13">
              <w:rPr>
                <w:rFonts w:cs="Arial"/>
                <w:bCs/>
                <w:szCs w:val="18"/>
              </w:rPr>
              <w:t>484,4</w:t>
            </w:r>
          </w:p>
        </w:tc>
        <w:tc>
          <w:tcPr>
            <w:tcW w:w="648" w:type="pct"/>
            <w:tcBorders>
              <w:top w:val="single" w:sz="2" w:space="0" w:color="auto"/>
              <w:bottom w:val="single" w:sz="2" w:space="0" w:color="auto"/>
            </w:tcBorders>
            <w:vAlign w:val="center"/>
          </w:tcPr>
          <w:p w14:paraId="1EEAB825" w14:textId="77777777" w:rsidR="00826D85" w:rsidRPr="00FE3A13" w:rsidRDefault="00826D85" w:rsidP="00826D85">
            <w:pPr>
              <w:ind w:right="171"/>
              <w:jc w:val="right"/>
              <w:rPr>
                <w:rFonts w:cs="Arial"/>
                <w:bCs/>
                <w:szCs w:val="18"/>
              </w:rPr>
            </w:pPr>
            <w:r w:rsidRPr="00FE3A13">
              <w:rPr>
                <w:rFonts w:cs="Arial"/>
                <w:bCs/>
                <w:szCs w:val="18"/>
              </w:rPr>
              <w:t>+ 18,5</w:t>
            </w:r>
          </w:p>
        </w:tc>
      </w:tr>
      <w:tr w:rsidR="00826D85" w:rsidRPr="00FE3A13" w14:paraId="370756B6" w14:textId="77777777" w:rsidTr="00DA2DB7">
        <w:tc>
          <w:tcPr>
            <w:tcW w:w="1757" w:type="pct"/>
            <w:tcBorders>
              <w:top w:val="single" w:sz="2" w:space="0" w:color="auto"/>
              <w:bottom w:val="single" w:sz="2" w:space="0" w:color="auto"/>
            </w:tcBorders>
          </w:tcPr>
          <w:p w14:paraId="7FE492FE" w14:textId="77777777" w:rsidR="00826D85" w:rsidRPr="00FE3A13" w:rsidRDefault="00826D85" w:rsidP="00826D85">
            <w:pPr>
              <w:rPr>
                <w:rFonts w:cs="Arial"/>
                <w:bCs/>
                <w:szCs w:val="18"/>
              </w:rPr>
            </w:pPr>
            <w:r w:rsidRPr="00FE3A13">
              <w:rPr>
                <w:rFonts w:cs="Arial"/>
                <w:bCs/>
                <w:szCs w:val="18"/>
              </w:rPr>
              <w:t>Revenus de transferts</w:t>
            </w:r>
          </w:p>
        </w:tc>
        <w:tc>
          <w:tcPr>
            <w:tcW w:w="648" w:type="pct"/>
            <w:tcBorders>
              <w:top w:val="single" w:sz="2" w:space="0" w:color="auto"/>
              <w:bottom w:val="single" w:sz="2" w:space="0" w:color="auto"/>
            </w:tcBorders>
            <w:vAlign w:val="center"/>
          </w:tcPr>
          <w:p w14:paraId="7EE8276F" w14:textId="77777777" w:rsidR="00826D85" w:rsidRPr="00FE3A13" w:rsidRDefault="00826D85" w:rsidP="00826D85">
            <w:pPr>
              <w:ind w:right="85"/>
              <w:jc w:val="right"/>
              <w:rPr>
                <w:rFonts w:cs="Arial"/>
                <w:bCs/>
                <w:szCs w:val="18"/>
              </w:rPr>
            </w:pPr>
            <w:r w:rsidRPr="00FE3A13">
              <w:rPr>
                <w:rFonts w:cs="Arial"/>
                <w:bCs/>
                <w:szCs w:val="18"/>
              </w:rPr>
              <w:t>1 537,7</w:t>
            </w:r>
          </w:p>
        </w:tc>
        <w:tc>
          <w:tcPr>
            <w:tcW w:w="649" w:type="pct"/>
            <w:tcBorders>
              <w:top w:val="single" w:sz="2" w:space="0" w:color="auto"/>
              <w:bottom w:val="single" w:sz="2" w:space="0" w:color="auto"/>
            </w:tcBorders>
            <w:vAlign w:val="center"/>
          </w:tcPr>
          <w:p w14:paraId="2B3DD59F" w14:textId="77777777" w:rsidR="00826D85" w:rsidRPr="00FE3A13" w:rsidRDefault="00826D85" w:rsidP="00826D85">
            <w:pPr>
              <w:ind w:right="171"/>
              <w:jc w:val="right"/>
              <w:rPr>
                <w:rFonts w:cs="Arial"/>
                <w:bCs/>
                <w:szCs w:val="18"/>
              </w:rPr>
            </w:pPr>
            <w:r w:rsidRPr="00FE3A13">
              <w:rPr>
                <w:rFonts w:cs="Arial"/>
                <w:bCs/>
                <w:szCs w:val="18"/>
              </w:rPr>
              <w:t>1 589,0</w:t>
            </w:r>
          </w:p>
        </w:tc>
        <w:tc>
          <w:tcPr>
            <w:tcW w:w="649" w:type="pct"/>
            <w:tcBorders>
              <w:top w:val="single" w:sz="2" w:space="0" w:color="auto"/>
              <w:bottom w:val="single" w:sz="2" w:space="0" w:color="auto"/>
            </w:tcBorders>
            <w:vAlign w:val="center"/>
          </w:tcPr>
          <w:p w14:paraId="7E38F7D2" w14:textId="77777777" w:rsidR="00826D85" w:rsidRPr="00FE3A13" w:rsidRDefault="00826D85" w:rsidP="00826D85">
            <w:pPr>
              <w:ind w:right="171"/>
              <w:jc w:val="right"/>
              <w:rPr>
                <w:rFonts w:cs="Arial"/>
                <w:bCs/>
                <w:szCs w:val="18"/>
              </w:rPr>
            </w:pPr>
            <w:r w:rsidRPr="00FE3A13">
              <w:rPr>
                <w:rFonts w:cs="Arial"/>
                <w:bCs/>
                <w:szCs w:val="18"/>
              </w:rPr>
              <w:t>1 622,2</w:t>
            </w:r>
          </w:p>
        </w:tc>
        <w:tc>
          <w:tcPr>
            <w:tcW w:w="649" w:type="pct"/>
            <w:tcBorders>
              <w:top w:val="single" w:sz="2" w:space="0" w:color="auto"/>
              <w:bottom w:val="single" w:sz="2" w:space="0" w:color="auto"/>
            </w:tcBorders>
            <w:vAlign w:val="center"/>
          </w:tcPr>
          <w:p w14:paraId="6A8822EE" w14:textId="77777777" w:rsidR="00826D85" w:rsidRPr="00FE3A13" w:rsidRDefault="00826D85" w:rsidP="00826D85">
            <w:pPr>
              <w:ind w:right="171"/>
              <w:jc w:val="right"/>
              <w:rPr>
                <w:rFonts w:cs="Arial"/>
                <w:bCs/>
                <w:szCs w:val="18"/>
              </w:rPr>
            </w:pPr>
            <w:r w:rsidRPr="00FE3A13">
              <w:rPr>
                <w:rFonts w:cs="Arial"/>
                <w:bCs/>
                <w:szCs w:val="18"/>
              </w:rPr>
              <w:t>1 665,3</w:t>
            </w:r>
          </w:p>
        </w:tc>
        <w:tc>
          <w:tcPr>
            <w:tcW w:w="648" w:type="pct"/>
            <w:tcBorders>
              <w:top w:val="single" w:sz="2" w:space="0" w:color="auto"/>
              <w:bottom w:val="single" w:sz="2" w:space="0" w:color="auto"/>
            </w:tcBorders>
            <w:vAlign w:val="center"/>
          </w:tcPr>
          <w:p w14:paraId="03B0F72E" w14:textId="77777777" w:rsidR="00826D85" w:rsidRPr="00FE3A13" w:rsidRDefault="00826D85" w:rsidP="00826D85">
            <w:pPr>
              <w:ind w:right="171"/>
              <w:jc w:val="right"/>
              <w:rPr>
                <w:rFonts w:cs="Arial"/>
                <w:bCs/>
                <w:szCs w:val="18"/>
              </w:rPr>
            </w:pPr>
            <w:r w:rsidRPr="00FE3A13">
              <w:rPr>
                <w:rFonts w:cs="Arial"/>
                <w:bCs/>
                <w:szCs w:val="18"/>
              </w:rPr>
              <w:t>+ 8,3</w:t>
            </w:r>
          </w:p>
        </w:tc>
      </w:tr>
      <w:tr w:rsidR="00826D85" w:rsidRPr="00FE3A13" w14:paraId="30168FBB" w14:textId="77777777" w:rsidTr="00DA2DB7">
        <w:tc>
          <w:tcPr>
            <w:tcW w:w="1757" w:type="pct"/>
            <w:tcBorders>
              <w:top w:val="single" w:sz="2" w:space="0" w:color="auto"/>
              <w:bottom w:val="single" w:sz="2" w:space="0" w:color="auto"/>
            </w:tcBorders>
          </w:tcPr>
          <w:p w14:paraId="2F964408" w14:textId="77777777" w:rsidR="00826D85" w:rsidRPr="00FE3A13" w:rsidRDefault="00826D85" w:rsidP="00826D85">
            <w:pPr>
              <w:rPr>
                <w:rFonts w:cs="Arial"/>
                <w:bCs/>
                <w:szCs w:val="18"/>
              </w:rPr>
            </w:pPr>
            <w:r w:rsidRPr="00FE3A13">
              <w:rPr>
                <w:rFonts w:cs="Arial"/>
                <w:bCs/>
                <w:szCs w:val="18"/>
              </w:rPr>
              <w:t>Péréquation financière fédérale</w:t>
            </w:r>
          </w:p>
        </w:tc>
        <w:tc>
          <w:tcPr>
            <w:tcW w:w="648" w:type="pct"/>
            <w:tcBorders>
              <w:top w:val="single" w:sz="2" w:space="0" w:color="auto"/>
              <w:bottom w:val="single" w:sz="2" w:space="0" w:color="auto"/>
            </w:tcBorders>
            <w:vAlign w:val="center"/>
          </w:tcPr>
          <w:p w14:paraId="32BCBE6C" w14:textId="77777777" w:rsidR="00826D85" w:rsidRPr="00FE3A13" w:rsidRDefault="00826D85" w:rsidP="00826D85">
            <w:pPr>
              <w:ind w:right="85"/>
              <w:jc w:val="right"/>
              <w:rPr>
                <w:rFonts w:cs="Arial"/>
                <w:bCs/>
                <w:szCs w:val="18"/>
              </w:rPr>
            </w:pPr>
            <w:r w:rsidRPr="00FE3A13">
              <w:rPr>
                <w:rFonts w:cs="Arial"/>
                <w:bCs/>
                <w:szCs w:val="18"/>
              </w:rPr>
              <w:t>606,4</w:t>
            </w:r>
          </w:p>
        </w:tc>
        <w:tc>
          <w:tcPr>
            <w:tcW w:w="649" w:type="pct"/>
            <w:tcBorders>
              <w:top w:val="single" w:sz="2" w:space="0" w:color="auto"/>
              <w:bottom w:val="single" w:sz="2" w:space="0" w:color="auto"/>
            </w:tcBorders>
            <w:vAlign w:val="center"/>
          </w:tcPr>
          <w:p w14:paraId="0DE21512" w14:textId="77777777" w:rsidR="00826D85" w:rsidRPr="00FE3A13" w:rsidRDefault="00826D85" w:rsidP="00826D85">
            <w:pPr>
              <w:ind w:right="171"/>
              <w:jc w:val="right"/>
              <w:rPr>
                <w:rFonts w:cs="Arial"/>
                <w:bCs/>
                <w:szCs w:val="18"/>
              </w:rPr>
            </w:pPr>
            <w:r w:rsidRPr="00FE3A13">
              <w:rPr>
                <w:rFonts w:cs="Arial"/>
                <w:bCs/>
                <w:szCs w:val="18"/>
              </w:rPr>
              <w:t>585,3</w:t>
            </w:r>
          </w:p>
        </w:tc>
        <w:tc>
          <w:tcPr>
            <w:tcW w:w="649" w:type="pct"/>
            <w:tcBorders>
              <w:top w:val="single" w:sz="2" w:space="0" w:color="auto"/>
              <w:bottom w:val="single" w:sz="2" w:space="0" w:color="auto"/>
            </w:tcBorders>
            <w:vAlign w:val="center"/>
          </w:tcPr>
          <w:p w14:paraId="354F133B" w14:textId="77777777" w:rsidR="00826D85" w:rsidRPr="00FE3A13" w:rsidRDefault="00826D85" w:rsidP="00826D85">
            <w:pPr>
              <w:ind w:right="171"/>
              <w:jc w:val="right"/>
              <w:rPr>
                <w:rFonts w:cs="Arial"/>
                <w:bCs/>
                <w:szCs w:val="18"/>
              </w:rPr>
            </w:pPr>
            <w:r w:rsidRPr="00FE3A13">
              <w:rPr>
                <w:rFonts w:cs="Arial"/>
                <w:bCs/>
                <w:szCs w:val="18"/>
              </w:rPr>
              <w:t>620,5</w:t>
            </w:r>
          </w:p>
        </w:tc>
        <w:tc>
          <w:tcPr>
            <w:tcW w:w="649" w:type="pct"/>
            <w:tcBorders>
              <w:top w:val="single" w:sz="2" w:space="0" w:color="auto"/>
              <w:bottom w:val="single" w:sz="2" w:space="0" w:color="auto"/>
            </w:tcBorders>
            <w:vAlign w:val="center"/>
          </w:tcPr>
          <w:p w14:paraId="35A1810C" w14:textId="77777777" w:rsidR="00826D85" w:rsidRPr="00FE3A13" w:rsidRDefault="00826D85" w:rsidP="00826D85">
            <w:pPr>
              <w:ind w:right="171"/>
              <w:jc w:val="right"/>
              <w:rPr>
                <w:rFonts w:cs="Arial"/>
                <w:bCs/>
                <w:szCs w:val="18"/>
              </w:rPr>
            </w:pPr>
            <w:r w:rsidRPr="00FE3A13">
              <w:rPr>
                <w:rFonts w:cs="Arial"/>
                <w:bCs/>
                <w:szCs w:val="18"/>
              </w:rPr>
              <w:t>643,6</w:t>
            </w:r>
          </w:p>
        </w:tc>
        <w:tc>
          <w:tcPr>
            <w:tcW w:w="648" w:type="pct"/>
            <w:tcBorders>
              <w:top w:val="single" w:sz="2" w:space="0" w:color="auto"/>
              <w:bottom w:val="single" w:sz="2" w:space="0" w:color="auto"/>
            </w:tcBorders>
            <w:vAlign w:val="center"/>
          </w:tcPr>
          <w:p w14:paraId="0FE06F32" w14:textId="77777777" w:rsidR="00826D85" w:rsidRPr="00FE3A13" w:rsidRDefault="00826D85" w:rsidP="00826D85">
            <w:pPr>
              <w:ind w:right="171"/>
              <w:jc w:val="right"/>
              <w:rPr>
                <w:rFonts w:cs="Arial"/>
                <w:bCs/>
                <w:szCs w:val="18"/>
              </w:rPr>
            </w:pPr>
            <w:r w:rsidRPr="00FE3A13">
              <w:rPr>
                <w:rFonts w:cs="Arial"/>
                <w:bCs/>
                <w:szCs w:val="18"/>
              </w:rPr>
              <w:t>+ 6,1</w:t>
            </w:r>
          </w:p>
        </w:tc>
      </w:tr>
      <w:tr w:rsidR="00826D85" w:rsidRPr="00FE3A13" w14:paraId="40687AD9" w14:textId="77777777" w:rsidTr="00DA2DB7">
        <w:tc>
          <w:tcPr>
            <w:tcW w:w="1757" w:type="pct"/>
            <w:tcBorders>
              <w:top w:val="single" w:sz="2" w:space="0" w:color="auto"/>
              <w:bottom w:val="single" w:sz="8" w:space="0" w:color="auto"/>
            </w:tcBorders>
          </w:tcPr>
          <w:p w14:paraId="6C94C61B" w14:textId="77777777" w:rsidR="00826D85" w:rsidRPr="00FE3A13" w:rsidRDefault="00826D85" w:rsidP="00826D85">
            <w:pPr>
              <w:rPr>
                <w:rFonts w:cs="Arial"/>
                <w:b/>
                <w:szCs w:val="18"/>
              </w:rPr>
            </w:pPr>
            <w:r w:rsidRPr="00FE3A13">
              <w:rPr>
                <w:rFonts w:cs="Arial"/>
                <w:bCs/>
                <w:szCs w:val="18"/>
              </w:rPr>
              <w:t>Financements spéciaux et revenus comptables</w:t>
            </w:r>
          </w:p>
        </w:tc>
        <w:tc>
          <w:tcPr>
            <w:tcW w:w="648" w:type="pct"/>
            <w:tcBorders>
              <w:top w:val="single" w:sz="2" w:space="0" w:color="auto"/>
              <w:bottom w:val="single" w:sz="8" w:space="0" w:color="auto"/>
            </w:tcBorders>
            <w:vAlign w:val="center"/>
          </w:tcPr>
          <w:p w14:paraId="2280FD76" w14:textId="77777777" w:rsidR="00826D85" w:rsidRPr="00FE3A13" w:rsidRDefault="00826D85" w:rsidP="00826D85">
            <w:pPr>
              <w:ind w:right="85"/>
              <w:jc w:val="right"/>
              <w:rPr>
                <w:rFonts w:cs="Arial"/>
                <w:bCs/>
                <w:szCs w:val="18"/>
              </w:rPr>
            </w:pPr>
            <w:r w:rsidRPr="00FE3A13">
              <w:rPr>
                <w:rFonts w:cs="Arial"/>
                <w:bCs/>
                <w:szCs w:val="18"/>
              </w:rPr>
              <w:t>193,7</w:t>
            </w:r>
          </w:p>
        </w:tc>
        <w:tc>
          <w:tcPr>
            <w:tcW w:w="649" w:type="pct"/>
            <w:tcBorders>
              <w:top w:val="single" w:sz="2" w:space="0" w:color="auto"/>
              <w:bottom w:val="single" w:sz="8" w:space="0" w:color="auto"/>
            </w:tcBorders>
            <w:vAlign w:val="center"/>
          </w:tcPr>
          <w:p w14:paraId="498850E3" w14:textId="77777777" w:rsidR="00826D85" w:rsidRPr="00FE3A13" w:rsidRDefault="00826D85" w:rsidP="00826D85">
            <w:pPr>
              <w:ind w:right="171"/>
              <w:jc w:val="right"/>
              <w:rPr>
                <w:rFonts w:cs="Arial"/>
                <w:bCs/>
                <w:szCs w:val="18"/>
              </w:rPr>
            </w:pPr>
            <w:r w:rsidRPr="00FE3A13">
              <w:rPr>
                <w:rFonts w:cs="Arial"/>
                <w:bCs/>
                <w:szCs w:val="18"/>
              </w:rPr>
              <w:t>187,5</w:t>
            </w:r>
          </w:p>
        </w:tc>
        <w:tc>
          <w:tcPr>
            <w:tcW w:w="649" w:type="pct"/>
            <w:tcBorders>
              <w:top w:val="single" w:sz="2" w:space="0" w:color="auto"/>
              <w:bottom w:val="single" w:sz="8" w:space="0" w:color="auto"/>
            </w:tcBorders>
            <w:vAlign w:val="center"/>
          </w:tcPr>
          <w:p w14:paraId="0D93F713" w14:textId="77777777" w:rsidR="00826D85" w:rsidRPr="00FE3A13" w:rsidRDefault="00826D85" w:rsidP="00826D85">
            <w:pPr>
              <w:ind w:right="171"/>
              <w:jc w:val="right"/>
              <w:rPr>
                <w:rFonts w:cs="Arial"/>
                <w:bCs/>
                <w:szCs w:val="18"/>
              </w:rPr>
            </w:pPr>
            <w:r w:rsidRPr="00FE3A13">
              <w:rPr>
                <w:rFonts w:cs="Arial"/>
                <w:bCs/>
                <w:szCs w:val="18"/>
              </w:rPr>
              <w:t>218,8</w:t>
            </w:r>
          </w:p>
        </w:tc>
        <w:tc>
          <w:tcPr>
            <w:tcW w:w="649" w:type="pct"/>
            <w:tcBorders>
              <w:top w:val="single" w:sz="2" w:space="0" w:color="auto"/>
              <w:bottom w:val="single" w:sz="8" w:space="0" w:color="auto"/>
            </w:tcBorders>
            <w:vAlign w:val="center"/>
          </w:tcPr>
          <w:p w14:paraId="007A48E1" w14:textId="77777777" w:rsidR="00826D85" w:rsidRPr="00FE3A13" w:rsidRDefault="00826D85" w:rsidP="00826D85">
            <w:pPr>
              <w:ind w:right="171"/>
              <w:jc w:val="right"/>
              <w:rPr>
                <w:rFonts w:cs="Arial"/>
                <w:bCs/>
                <w:szCs w:val="18"/>
              </w:rPr>
            </w:pPr>
            <w:r w:rsidRPr="00FE3A13">
              <w:rPr>
                <w:rFonts w:cs="Arial"/>
                <w:bCs/>
                <w:szCs w:val="18"/>
              </w:rPr>
              <w:t>158,7</w:t>
            </w:r>
          </w:p>
        </w:tc>
        <w:tc>
          <w:tcPr>
            <w:tcW w:w="648" w:type="pct"/>
            <w:tcBorders>
              <w:top w:val="single" w:sz="2" w:space="0" w:color="auto"/>
              <w:bottom w:val="single" w:sz="8" w:space="0" w:color="auto"/>
            </w:tcBorders>
            <w:vAlign w:val="center"/>
          </w:tcPr>
          <w:p w14:paraId="6E4AA352" w14:textId="77777777" w:rsidR="00826D85" w:rsidRPr="00FE3A13" w:rsidRDefault="00826D85" w:rsidP="00826D85">
            <w:pPr>
              <w:ind w:right="171"/>
              <w:jc w:val="right"/>
              <w:rPr>
                <w:rFonts w:cs="Arial"/>
                <w:bCs/>
                <w:szCs w:val="18"/>
              </w:rPr>
            </w:pPr>
            <w:r w:rsidRPr="00FE3A13">
              <w:rPr>
                <w:rFonts w:cs="Arial"/>
                <w:bCs/>
                <w:szCs w:val="18"/>
              </w:rPr>
              <w:t>–  18,1</w:t>
            </w:r>
          </w:p>
        </w:tc>
      </w:tr>
      <w:tr w:rsidR="00826D85" w:rsidRPr="00FE3A13" w14:paraId="7E6046BC" w14:textId="77777777" w:rsidTr="00DA2DB7">
        <w:tc>
          <w:tcPr>
            <w:tcW w:w="1757" w:type="pct"/>
            <w:tcBorders>
              <w:top w:val="single" w:sz="8" w:space="0" w:color="auto"/>
            </w:tcBorders>
          </w:tcPr>
          <w:p w14:paraId="033DB82B" w14:textId="77777777" w:rsidR="00826D85" w:rsidRPr="00FE3A13" w:rsidRDefault="00826D85" w:rsidP="00826D85">
            <w:pPr>
              <w:rPr>
                <w:rFonts w:cs="Arial"/>
                <w:b/>
                <w:szCs w:val="18"/>
              </w:rPr>
            </w:pPr>
            <w:r w:rsidRPr="00FE3A13">
              <w:rPr>
                <w:rFonts w:cs="Arial"/>
                <w:b/>
                <w:szCs w:val="18"/>
              </w:rPr>
              <w:t>Total des revenus</w:t>
            </w:r>
          </w:p>
        </w:tc>
        <w:tc>
          <w:tcPr>
            <w:tcW w:w="648" w:type="pct"/>
            <w:tcBorders>
              <w:top w:val="single" w:sz="8" w:space="0" w:color="auto"/>
            </w:tcBorders>
            <w:vAlign w:val="center"/>
          </w:tcPr>
          <w:p w14:paraId="71CEFB39" w14:textId="77777777" w:rsidR="00826D85" w:rsidRPr="00FE3A13" w:rsidRDefault="00826D85" w:rsidP="00826D85">
            <w:pPr>
              <w:ind w:right="85"/>
              <w:jc w:val="right"/>
              <w:rPr>
                <w:rFonts w:cs="Arial"/>
                <w:b/>
                <w:szCs w:val="18"/>
              </w:rPr>
            </w:pPr>
            <w:r w:rsidRPr="00FE3A13">
              <w:rPr>
                <w:rFonts w:cs="Arial"/>
                <w:b/>
                <w:szCs w:val="18"/>
              </w:rPr>
              <w:t>4 326,8</w:t>
            </w:r>
          </w:p>
        </w:tc>
        <w:tc>
          <w:tcPr>
            <w:tcW w:w="649" w:type="pct"/>
            <w:tcBorders>
              <w:top w:val="single" w:sz="8" w:space="0" w:color="auto"/>
            </w:tcBorders>
            <w:vAlign w:val="center"/>
          </w:tcPr>
          <w:p w14:paraId="2C889CFE" w14:textId="77777777" w:rsidR="00826D85" w:rsidRPr="00FE3A13" w:rsidRDefault="00826D85" w:rsidP="00826D85">
            <w:pPr>
              <w:ind w:right="171"/>
              <w:jc w:val="right"/>
              <w:rPr>
                <w:rFonts w:cs="Arial"/>
                <w:b/>
                <w:szCs w:val="18"/>
              </w:rPr>
            </w:pPr>
            <w:r w:rsidRPr="00FE3A13">
              <w:rPr>
                <w:rFonts w:cs="Arial"/>
                <w:b/>
                <w:szCs w:val="18"/>
              </w:rPr>
              <w:t>4 409,4</w:t>
            </w:r>
          </w:p>
        </w:tc>
        <w:tc>
          <w:tcPr>
            <w:tcW w:w="649" w:type="pct"/>
            <w:tcBorders>
              <w:top w:val="single" w:sz="8" w:space="0" w:color="auto"/>
            </w:tcBorders>
            <w:vAlign w:val="center"/>
          </w:tcPr>
          <w:p w14:paraId="0FFB7A3E" w14:textId="77777777" w:rsidR="00826D85" w:rsidRPr="00FE3A13" w:rsidRDefault="00826D85" w:rsidP="00826D85">
            <w:pPr>
              <w:ind w:right="171"/>
              <w:jc w:val="right"/>
              <w:rPr>
                <w:rFonts w:cs="Arial"/>
                <w:b/>
                <w:szCs w:val="18"/>
              </w:rPr>
            </w:pPr>
            <w:r w:rsidRPr="00FE3A13">
              <w:rPr>
                <w:rFonts w:cs="Arial"/>
                <w:b/>
                <w:szCs w:val="18"/>
              </w:rPr>
              <w:t>4 590,4</w:t>
            </w:r>
          </w:p>
        </w:tc>
        <w:tc>
          <w:tcPr>
            <w:tcW w:w="649" w:type="pct"/>
            <w:tcBorders>
              <w:top w:val="single" w:sz="8" w:space="0" w:color="auto"/>
            </w:tcBorders>
            <w:vAlign w:val="center"/>
          </w:tcPr>
          <w:p w14:paraId="3D8D5851" w14:textId="77777777" w:rsidR="00826D85" w:rsidRPr="00FE3A13" w:rsidRDefault="00826D85" w:rsidP="00826D85">
            <w:pPr>
              <w:ind w:right="171"/>
              <w:jc w:val="right"/>
              <w:rPr>
                <w:rFonts w:cs="Arial"/>
                <w:b/>
                <w:szCs w:val="18"/>
              </w:rPr>
            </w:pPr>
            <w:r w:rsidRPr="00FE3A13">
              <w:rPr>
                <w:rFonts w:cs="Arial"/>
                <w:b/>
                <w:szCs w:val="18"/>
              </w:rPr>
              <w:t>4 651,4</w:t>
            </w:r>
          </w:p>
        </w:tc>
        <w:tc>
          <w:tcPr>
            <w:tcW w:w="648" w:type="pct"/>
            <w:tcBorders>
              <w:top w:val="single" w:sz="8" w:space="0" w:color="auto"/>
            </w:tcBorders>
            <w:vAlign w:val="center"/>
          </w:tcPr>
          <w:p w14:paraId="7281F350" w14:textId="77777777" w:rsidR="00826D85" w:rsidRPr="00FE3A13" w:rsidRDefault="00826D85" w:rsidP="00826D85">
            <w:pPr>
              <w:ind w:right="171"/>
              <w:jc w:val="right"/>
              <w:rPr>
                <w:rFonts w:cs="Arial"/>
                <w:b/>
                <w:szCs w:val="18"/>
              </w:rPr>
            </w:pPr>
            <w:r w:rsidRPr="00FE3A13">
              <w:rPr>
                <w:rFonts w:cs="Arial"/>
                <w:b/>
                <w:szCs w:val="18"/>
              </w:rPr>
              <w:t>+ 7,5</w:t>
            </w:r>
          </w:p>
        </w:tc>
      </w:tr>
    </w:tbl>
    <w:p w14:paraId="3A923749" w14:textId="77777777" w:rsidR="00826D85" w:rsidRPr="00FE3A13" w:rsidRDefault="00826D85" w:rsidP="004230AF">
      <w:pPr>
        <w:pStyle w:val="Corpsdetexte"/>
      </w:pPr>
    </w:p>
    <w:p w14:paraId="4901969D" w14:textId="1AD4C8DA" w:rsidR="00826D85" w:rsidRPr="00FE3A13" w:rsidRDefault="00826D85" w:rsidP="004230AF">
      <w:pPr>
        <w:pStyle w:val="Corpsdetexte"/>
      </w:pPr>
      <w:r w:rsidRPr="00FE3A13">
        <w:rPr>
          <w:noProof/>
        </w:rPr>
        <w:drawing>
          <wp:inline distT="0" distB="0" distL="0" distR="0" wp14:anchorId="702A0339" wp14:editId="620EDA00">
            <wp:extent cx="6299200" cy="3779520"/>
            <wp:effectExtent l="0" t="0" r="6350" b="0"/>
            <wp:docPr id="1783915790" name="Graphique 1">
              <a:extLst xmlns:a="http://schemas.openxmlformats.org/drawingml/2006/main">
                <a:ext uri="{FF2B5EF4-FFF2-40B4-BE49-F238E27FC236}">
                  <a16:creationId xmlns:a16="http://schemas.microsoft.com/office/drawing/2014/main" id="{B181C4F2-BFDE-41C6-8B17-61766A787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D9640C" w14:textId="36B31F94" w:rsidR="00826D85" w:rsidRDefault="001803FD" w:rsidP="004230AF">
      <w:pPr>
        <w:pStyle w:val="Corpsdetexte"/>
      </w:pPr>
      <w:r w:rsidRPr="00FE3A13">
        <w:t xml:space="preserve">Ces perspectives négatives ont confirmé la nécessité de prendre des mesures fortes et courageuses, tant au niveau du Conseil d’Etat que du Grand Conseil, dans le but de conserver la maîtrise des finances cantonales et de redonner à l’Etat la capacité de faire face aux défis majeurs des années à venir. </w:t>
      </w:r>
    </w:p>
    <w:p w14:paraId="060D9DDD" w14:textId="67A80486" w:rsidR="00F362CD" w:rsidRDefault="00F362CD" w:rsidP="00F362CD">
      <w:pPr>
        <w:pStyle w:val="Titre2"/>
      </w:pPr>
      <w:bookmarkStart w:id="5" w:name="_Toc195714668"/>
      <w:r>
        <w:lastRenderedPageBreak/>
        <w:t>Incertitudes quant à l’évolution des revenus externes</w:t>
      </w:r>
      <w:bookmarkEnd w:id="5"/>
    </w:p>
    <w:p w14:paraId="119E45DD" w14:textId="7F89AC15" w:rsidR="00FA761D" w:rsidRDefault="00EF066C" w:rsidP="00FA761D">
      <w:pPr>
        <w:pStyle w:val="Corpsdetexte"/>
      </w:pPr>
      <w:r>
        <w:t>Au-delà de la période couverte par le plan financier, le Conseil d’Etat est préoccupé par le fait qu’u</w:t>
      </w:r>
      <w:r w:rsidR="00FA761D">
        <w:t xml:space="preserve">ne partie </w:t>
      </w:r>
      <w:r>
        <w:t xml:space="preserve">toujours plus </w:t>
      </w:r>
      <w:r w:rsidR="00FA761D">
        <w:t xml:space="preserve">significative des revenus de l’Etat de Fribourg provient de sources externes sur lesquelles </w:t>
      </w:r>
      <w:r>
        <w:t>il</w:t>
      </w:r>
      <w:r w:rsidR="00FA761D">
        <w:t xml:space="preserve"> n’a que très peu d’influence. C’est le cas notamment de la péréquation financière entre la Confédération et les cantons. En 2024, l’Etat a perçu environ 617 millions de francs à ce titre. La part que représente la péréquation financière dans les revenus totaux de l’Etat </w:t>
      </w:r>
      <w:r w:rsidR="00A13F55">
        <w:t>a eu tendance</w:t>
      </w:r>
      <w:r w:rsidR="00FA761D">
        <w:t xml:space="preserve"> à augmenter pendant la dernière décennie, de 12.3% en 2015 à 14.2% en 2024. Cet état de fait accroît d’autant plus le risque de difficultés pour l’Etat en cas de baisse des versements péréquatifs. </w:t>
      </w:r>
    </w:p>
    <w:p w14:paraId="3D22CAAF" w14:textId="49CC1F0A" w:rsidR="00FA761D" w:rsidRDefault="00FA761D" w:rsidP="00FA761D">
      <w:pPr>
        <w:pStyle w:val="Corpsdetexte"/>
      </w:pPr>
      <w:r>
        <w:t>La péréquation financière est composée de divers instruments, qui s</w:t>
      </w:r>
      <w:r w:rsidR="00680A78">
        <w:t>’articul</w:t>
      </w:r>
      <w:r w:rsidR="00EF066C">
        <w:t>aient</w:t>
      </w:r>
      <w:r>
        <w:t xml:space="preserve"> comme suit pour 2024 : </w:t>
      </w:r>
    </w:p>
    <w:tbl>
      <w:tblPr>
        <w:tblStyle w:val="EtatFribourg"/>
        <w:tblW w:w="4644"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4821"/>
        <w:gridCol w:w="4393"/>
      </w:tblGrid>
      <w:tr w:rsidR="008F7832" w:rsidRPr="00FE3A13" w14:paraId="5695DB8A" w14:textId="77777777" w:rsidTr="008F7832">
        <w:trPr>
          <w:trHeight w:val="156"/>
        </w:trPr>
        <w:tc>
          <w:tcPr>
            <w:tcW w:w="5000" w:type="pct"/>
            <w:gridSpan w:val="2"/>
            <w:tcBorders>
              <w:bottom w:val="single" w:sz="2" w:space="0" w:color="auto"/>
            </w:tcBorders>
          </w:tcPr>
          <w:p w14:paraId="0E8184A7" w14:textId="11278EF2" w:rsidR="008F7832" w:rsidRPr="00FE3A13" w:rsidRDefault="008F7832" w:rsidP="00B67E3F">
            <w:pPr>
              <w:ind w:right="85"/>
              <w:rPr>
                <w:rFonts w:cs="Arial"/>
                <w:bCs/>
                <w:color w:val="777777" w:themeColor="text2"/>
                <w:szCs w:val="18"/>
              </w:rPr>
            </w:pPr>
            <w:r>
              <w:rPr>
                <w:rFonts w:cs="Arial"/>
                <w:b/>
                <w:szCs w:val="18"/>
              </w:rPr>
              <w:t>Versements obtenus dans le cadre de la péréquation financière fédérale, 2024</w:t>
            </w:r>
          </w:p>
        </w:tc>
      </w:tr>
      <w:tr w:rsidR="008F7832" w:rsidRPr="00FE3A13" w14:paraId="35F91BBA" w14:textId="77777777" w:rsidTr="0047417F">
        <w:trPr>
          <w:trHeight w:val="156"/>
        </w:trPr>
        <w:tc>
          <w:tcPr>
            <w:tcW w:w="2616" w:type="pct"/>
            <w:tcBorders>
              <w:top w:val="single" w:sz="2" w:space="0" w:color="auto"/>
              <w:bottom w:val="single" w:sz="2" w:space="0" w:color="auto"/>
            </w:tcBorders>
          </w:tcPr>
          <w:p w14:paraId="4E142236" w14:textId="313EBA2D" w:rsidR="008F7832" w:rsidRPr="0047417F" w:rsidRDefault="008F7832" w:rsidP="00B67E3F">
            <w:pPr>
              <w:ind w:right="141"/>
              <w:rPr>
                <w:rFonts w:cs="Arial"/>
                <w:b/>
                <w:szCs w:val="18"/>
              </w:rPr>
            </w:pPr>
            <w:r w:rsidRPr="0047417F">
              <w:rPr>
                <w:rFonts w:cs="Arial"/>
                <w:b/>
                <w:szCs w:val="18"/>
              </w:rPr>
              <w:t>Instruments</w:t>
            </w:r>
            <w:r w:rsidR="00680A78">
              <w:rPr>
                <w:rFonts w:cs="Arial"/>
                <w:b/>
                <w:szCs w:val="18"/>
              </w:rPr>
              <w:t xml:space="preserve"> péréquatif</w:t>
            </w:r>
            <w:r w:rsidR="00275F77">
              <w:rPr>
                <w:rFonts w:cs="Arial"/>
                <w:b/>
                <w:szCs w:val="18"/>
              </w:rPr>
              <w:t>s</w:t>
            </w:r>
          </w:p>
        </w:tc>
        <w:tc>
          <w:tcPr>
            <w:tcW w:w="2384" w:type="pct"/>
            <w:tcBorders>
              <w:top w:val="single" w:sz="2" w:space="0" w:color="auto"/>
              <w:bottom w:val="single" w:sz="2" w:space="0" w:color="auto"/>
            </w:tcBorders>
          </w:tcPr>
          <w:p w14:paraId="169976FB" w14:textId="696349F8" w:rsidR="008F7832" w:rsidRPr="00FE3A13" w:rsidRDefault="008F7832" w:rsidP="00B67E3F">
            <w:pPr>
              <w:ind w:right="85"/>
              <w:jc w:val="right"/>
              <w:rPr>
                <w:rFonts w:cs="Arial"/>
                <w:b/>
                <w:szCs w:val="18"/>
              </w:rPr>
            </w:pPr>
            <w:r>
              <w:rPr>
                <w:rFonts w:cs="Arial"/>
                <w:b/>
                <w:szCs w:val="18"/>
              </w:rPr>
              <w:t>Montant, en milliers de francs</w:t>
            </w:r>
          </w:p>
        </w:tc>
      </w:tr>
      <w:tr w:rsidR="008F7832" w:rsidRPr="00FE3A13" w14:paraId="7FDEF43A" w14:textId="77777777" w:rsidTr="0047417F">
        <w:trPr>
          <w:trHeight w:val="203"/>
        </w:trPr>
        <w:tc>
          <w:tcPr>
            <w:tcW w:w="2616" w:type="pct"/>
            <w:tcBorders>
              <w:top w:val="single" w:sz="2" w:space="0" w:color="auto"/>
              <w:bottom w:val="single" w:sz="2" w:space="0" w:color="auto"/>
            </w:tcBorders>
          </w:tcPr>
          <w:p w14:paraId="30A98D22" w14:textId="25563BD3" w:rsidR="008F7832" w:rsidRPr="00FE3A13" w:rsidRDefault="008F7832" w:rsidP="0047417F">
            <w:pPr>
              <w:ind w:right="57"/>
              <w:rPr>
                <w:rFonts w:cs="Arial"/>
                <w:bCs/>
                <w:szCs w:val="18"/>
              </w:rPr>
            </w:pPr>
            <w:r>
              <w:rPr>
                <w:rFonts w:cs="Arial"/>
                <w:bCs/>
                <w:szCs w:val="18"/>
              </w:rPr>
              <w:t>Péréquation des ressources</w:t>
            </w:r>
          </w:p>
        </w:tc>
        <w:tc>
          <w:tcPr>
            <w:tcW w:w="2384" w:type="pct"/>
            <w:tcBorders>
              <w:top w:val="single" w:sz="2" w:space="0" w:color="auto"/>
              <w:bottom w:val="single" w:sz="2" w:space="0" w:color="auto"/>
            </w:tcBorders>
          </w:tcPr>
          <w:p w14:paraId="73980DAB" w14:textId="752BF2D2" w:rsidR="008F7832" w:rsidRPr="00FE3A13" w:rsidRDefault="00680A78" w:rsidP="00B67E3F">
            <w:pPr>
              <w:ind w:right="85"/>
              <w:jc w:val="right"/>
              <w:rPr>
                <w:rFonts w:cs="Arial"/>
                <w:bCs/>
                <w:szCs w:val="18"/>
              </w:rPr>
            </w:pPr>
            <w:r>
              <w:rPr>
                <w:rFonts w:cs="Arial"/>
                <w:bCs/>
                <w:szCs w:val="18"/>
              </w:rPr>
              <w:t>465 153</w:t>
            </w:r>
          </w:p>
        </w:tc>
      </w:tr>
      <w:tr w:rsidR="008F7832" w:rsidRPr="00FE3A13" w14:paraId="1A7521AD" w14:textId="77777777" w:rsidTr="0047417F">
        <w:trPr>
          <w:trHeight w:val="203"/>
        </w:trPr>
        <w:tc>
          <w:tcPr>
            <w:tcW w:w="2616" w:type="pct"/>
            <w:tcBorders>
              <w:top w:val="single" w:sz="2" w:space="0" w:color="auto"/>
              <w:bottom w:val="single" w:sz="2" w:space="0" w:color="auto"/>
            </w:tcBorders>
          </w:tcPr>
          <w:p w14:paraId="6802CE51" w14:textId="2198337E" w:rsidR="008F7832" w:rsidRDefault="008F7832" w:rsidP="0047417F">
            <w:pPr>
              <w:ind w:right="57"/>
              <w:rPr>
                <w:rFonts w:cs="Arial"/>
                <w:bCs/>
                <w:szCs w:val="18"/>
              </w:rPr>
            </w:pPr>
            <w:r>
              <w:rPr>
                <w:rFonts w:cs="Arial"/>
                <w:bCs/>
                <w:szCs w:val="18"/>
              </w:rPr>
              <w:t>Compensation des charges géo-topographiques</w:t>
            </w:r>
          </w:p>
        </w:tc>
        <w:tc>
          <w:tcPr>
            <w:tcW w:w="2384" w:type="pct"/>
            <w:tcBorders>
              <w:top w:val="single" w:sz="2" w:space="0" w:color="auto"/>
              <w:bottom w:val="single" w:sz="2" w:space="0" w:color="auto"/>
            </w:tcBorders>
          </w:tcPr>
          <w:p w14:paraId="4EB1EA44" w14:textId="1DBB6772" w:rsidR="008F7832" w:rsidRPr="00FE3A13" w:rsidRDefault="00680A78" w:rsidP="00B67E3F">
            <w:pPr>
              <w:ind w:right="85"/>
              <w:jc w:val="right"/>
              <w:rPr>
                <w:rFonts w:cs="Arial"/>
                <w:bCs/>
                <w:szCs w:val="18"/>
              </w:rPr>
            </w:pPr>
            <w:r>
              <w:rPr>
                <w:rFonts w:cs="Arial"/>
                <w:bCs/>
                <w:szCs w:val="18"/>
              </w:rPr>
              <w:t>9 476</w:t>
            </w:r>
          </w:p>
        </w:tc>
      </w:tr>
      <w:tr w:rsidR="008F7832" w:rsidRPr="00FE3A13" w14:paraId="2FE37D90" w14:textId="77777777" w:rsidTr="0047417F">
        <w:tc>
          <w:tcPr>
            <w:tcW w:w="2616" w:type="pct"/>
            <w:tcBorders>
              <w:top w:val="single" w:sz="2" w:space="0" w:color="auto"/>
              <w:bottom w:val="single" w:sz="2" w:space="0" w:color="auto"/>
            </w:tcBorders>
          </w:tcPr>
          <w:p w14:paraId="432DECA9" w14:textId="621D109E" w:rsidR="008F7832" w:rsidRPr="00FE3A13" w:rsidRDefault="008F7832" w:rsidP="00B67E3F">
            <w:pPr>
              <w:rPr>
                <w:rFonts w:cs="Arial"/>
                <w:bCs/>
                <w:szCs w:val="18"/>
              </w:rPr>
            </w:pPr>
            <w:r>
              <w:rPr>
                <w:rFonts w:cs="Arial"/>
                <w:bCs/>
                <w:szCs w:val="18"/>
              </w:rPr>
              <w:t>Compensation des charges socio-démographiques</w:t>
            </w:r>
          </w:p>
        </w:tc>
        <w:tc>
          <w:tcPr>
            <w:tcW w:w="2384" w:type="pct"/>
            <w:tcBorders>
              <w:top w:val="single" w:sz="2" w:space="0" w:color="auto"/>
              <w:bottom w:val="single" w:sz="2" w:space="0" w:color="auto"/>
            </w:tcBorders>
            <w:vAlign w:val="center"/>
          </w:tcPr>
          <w:p w14:paraId="53DCD766" w14:textId="02438B05" w:rsidR="008F7832" w:rsidRPr="00FE3A13" w:rsidRDefault="00680A78" w:rsidP="00B67E3F">
            <w:pPr>
              <w:ind w:right="85"/>
              <w:jc w:val="right"/>
              <w:rPr>
                <w:rFonts w:cs="Arial"/>
                <w:bCs/>
                <w:szCs w:val="18"/>
              </w:rPr>
            </w:pPr>
            <w:r>
              <w:rPr>
                <w:rFonts w:cs="Arial"/>
                <w:bCs/>
                <w:szCs w:val="18"/>
              </w:rPr>
              <w:t xml:space="preserve">511 </w:t>
            </w:r>
          </w:p>
        </w:tc>
      </w:tr>
      <w:tr w:rsidR="008F7832" w:rsidRPr="00FE3A13" w14:paraId="68D4387B" w14:textId="77777777" w:rsidTr="008F7832">
        <w:tc>
          <w:tcPr>
            <w:tcW w:w="2616" w:type="pct"/>
            <w:tcBorders>
              <w:top w:val="single" w:sz="2" w:space="0" w:color="auto"/>
              <w:bottom w:val="single" w:sz="2" w:space="0" w:color="auto"/>
            </w:tcBorders>
          </w:tcPr>
          <w:p w14:paraId="7190F389" w14:textId="37C0D8F4" w:rsidR="008F7832" w:rsidRDefault="008F7832" w:rsidP="00B67E3F">
            <w:pPr>
              <w:rPr>
                <w:rFonts w:cs="Arial"/>
                <w:bCs/>
                <w:szCs w:val="18"/>
              </w:rPr>
            </w:pPr>
            <w:r>
              <w:rPr>
                <w:rFonts w:cs="Arial"/>
                <w:bCs/>
                <w:szCs w:val="18"/>
              </w:rPr>
              <w:t>Compensation des cas de rigueur (net)</w:t>
            </w:r>
          </w:p>
        </w:tc>
        <w:tc>
          <w:tcPr>
            <w:tcW w:w="2384" w:type="pct"/>
            <w:tcBorders>
              <w:top w:val="single" w:sz="2" w:space="0" w:color="auto"/>
              <w:bottom w:val="single" w:sz="2" w:space="0" w:color="auto"/>
            </w:tcBorders>
            <w:vAlign w:val="center"/>
          </w:tcPr>
          <w:p w14:paraId="60DBBC50" w14:textId="6E6C0804" w:rsidR="008F7832" w:rsidRPr="00FE3A13" w:rsidRDefault="00680A78" w:rsidP="00B67E3F">
            <w:pPr>
              <w:ind w:right="85"/>
              <w:jc w:val="right"/>
              <w:rPr>
                <w:rFonts w:cs="Arial"/>
                <w:bCs/>
                <w:szCs w:val="18"/>
              </w:rPr>
            </w:pPr>
            <w:r>
              <w:rPr>
                <w:rFonts w:cs="Arial"/>
                <w:bCs/>
                <w:szCs w:val="18"/>
              </w:rPr>
              <w:t>73 397</w:t>
            </w:r>
          </w:p>
        </w:tc>
      </w:tr>
      <w:tr w:rsidR="008F7832" w:rsidRPr="00FE3A13" w14:paraId="2F37772C" w14:textId="77777777" w:rsidTr="008F7832">
        <w:tc>
          <w:tcPr>
            <w:tcW w:w="2616" w:type="pct"/>
            <w:tcBorders>
              <w:top w:val="single" w:sz="2" w:space="0" w:color="auto"/>
              <w:bottom w:val="single" w:sz="2" w:space="0" w:color="auto"/>
            </w:tcBorders>
          </w:tcPr>
          <w:p w14:paraId="62CBBEE3" w14:textId="5BCD2A9C" w:rsidR="008F7832" w:rsidRDefault="008F7832" w:rsidP="00B67E3F">
            <w:pPr>
              <w:rPr>
                <w:rFonts w:cs="Arial"/>
                <w:bCs/>
                <w:szCs w:val="18"/>
              </w:rPr>
            </w:pPr>
            <w:r>
              <w:rPr>
                <w:rFonts w:cs="Arial"/>
                <w:bCs/>
                <w:szCs w:val="18"/>
              </w:rPr>
              <w:t>Mesures d’atténuation</w:t>
            </w:r>
          </w:p>
        </w:tc>
        <w:tc>
          <w:tcPr>
            <w:tcW w:w="2384" w:type="pct"/>
            <w:tcBorders>
              <w:top w:val="single" w:sz="2" w:space="0" w:color="auto"/>
              <w:bottom w:val="single" w:sz="2" w:space="0" w:color="auto"/>
            </w:tcBorders>
            <w:vAlign w:val="center"/>
          </w:tcPr>
          <w:p w14:paraId="3D66E3A1" w14:textId="24580E5E" w:rsidR="008F7832" w:rsidRPr="00FE3A13" w:rsidRDefault="00680A78" w:rsidP="00B67E3F">
            <w:pPr>
              <w:ind w:right="85"/>
              <w:jc w:val="right"/>
              <w:rPr>
                <w:rFonts w:cs="Arial"/>
                <w:bCs/>
                <w:szCs w:val="18"/>
              </w:rPr>
            </w:pPr>
            <w:r>
              <w:rPr>
                <w:rFonts w:cs="Arial"/>
                <w:bCs/>
                <w:szCs w:val="18"/>
              </w:rPr>
              <w:t>7 421</w:t>
            </w:r>
          </w:p>
        </w:tc>
      </w:tr>
      <w:tr w:rsidR="008F7832" w:rsidRPr="00FE3A13" w14:paraId="65288079" w14:textId="77777777" w:rsidTr="008F7832">
        <w:tc>
          <w:tcPr>
            <w:tcW w:w="2616" w:type="pct"/>
            <w:tcBorders>
              <w:top w:val="single" w:sz="2" w:space="0" w:color="auto"/>
              <w:bottom w:val="single" w:sz="2" w:space="0" w:color="auto"/>
            </w:tcBorders>
          </w:tcPr>
          <w:p w14:paraId="5AAAF247" w14:textId="26E9DDBB" w:rsidR="008F7832" w:rsidRDefault="008F7832" w:rsidP="00B67E3F">
            <w:pPr>
              <w:rPr>
                <w:rFonts w:cs="Arial"/>
                <w:bCs/>
                <w:szCs w:val="18"/>
              </w:rPr>
            </w:pPr>
            <w:r>
              <w:rPr>
                <w:rFonts w:cs="Arial"/>
                <w:bCs/>
                <w:szCs w:val="18"/>
              </w:rPr>
              <w:t>Contribution</w:t>
            </w:r>
            <w:r w:rsidR="00680A78">
              <w:rPr>
                <w:rFonts w:cs="Arial"/>
                <w:bCs/>
                <w:szCs w:val="18"/>
              </w:rPr>
              <w:t>s</w:t>
            </w:r>
            <w:r>
              <w:rPr>
                <w:rFonts w:cs="Arial"/>
                <w:bCs/>
                <w:szCs w:val="18"/>
              </w:rPr>
              <w:t xml:space="preserve"> complémentaire</w:t>
            </w:r>
            <w:r w:rsidR="00680A78">
              <w:rPr>
                <w:rFonts w:cs="Arial"/>
                <w:bCs/>
                <w:szCs w:val="18"/>
              </w:rPr>
              <w:t>s</w:t>
            </w:r>
          </w:p>
        </w:tc>
        <w:tc>
          <w:tcPr>
            <w:tcW w:w="2384" w:type="pct"/>
            <w:tcBorders>
              <w:top w:val="single" w:sz="2" w:space="0" w:color="auto"/>
              <w:bottom w:val="single" w:sz="2" w:space="0" w:color="auto"/>
            </w:tcBorders>
            <w:vAlign w:val="center"/>
          </w:tcPr>
          <w:p w14:paraId="6B1D7BEF" w14:textId="1EA85B60" w:rsidR="008F7832" w:rsidRPr="00FE3A13" w:rsidRDefault="00680A78" w:rsidP="00B67E3F">
            <w:pPr>
              <w:ind w:right="85"/>
              <w:jc w:val="right"/>
              <w:rPr>
                <w:rFonts w:cs="Arial"/>
                <w:bCs/>
                <w:szCs w:val="18"/>
              </w:rPr>
            </w:pPr>
            <w:r>
              <w:rPr>
                <w:rFonts w:cs="Arial"/>
                <w:bCs/>
                <w:szCs w:val="18"/>
              </w:rPr>
              <w:t>61 109</w:t>
            </w:r>
          </w:p>
        </w:tc>
      </w:tr>
      <w:tr w:rsidR="008F7832" w:rsidRPr="00FE3A13" w14:paraId="1C57404B" w14:textId="77777777" w:rsidTr="0047417F">
        <w:tc>
          <w:tcPr>
            <w:tcW w:w="2616" w:type="pct"/>
            <w:tcBorders>
              <w:top w:val="single" w:sz="2" w:space="0" w:color="auto"/>
            </w:tcBorders>
          </w:tcPr>
          <w:p w14:paraId="5F0EB008" w14:textId="4AB3AC78" w:rsidR="008F7832" w:rsidRPr="0047417F" w:rsidRDefault="008F7832" w:rsidP="00B67E3F">
            <w:pPr>
              <w:rPr>
                <w:rFonts w:cs="Arial"/>
                <w:b/>
                <w:szCs w:val="18"/>
              </w:rPr>
            </w:pPr>
            <w:r>
              <w:rPr>
                <w:rFonts w:cs="Arial"/>
                <w:b/>
                <w:szCs w:val="18"/>
              </w:rPr>
              <w:t>Total</w:t>
            </w:r>
          </w:p>
        </w:tc>
        <w:tc>
          <w:tcPr>
            <w:tcW w:w="2384" w:type="pct"/>
            <w:tcBorders>
              <w:top w:val="single" w:sz="2" w:space="0" w:color="auto"/>
            </w:tcBorders>
            <w:vAlign w:val="center"/>
          </w:tcPr>
          <w:p w14:paraId="51841E03" w14:textId="20202057" w:rsidR="008F7832" w:rsidRPr="00FE3A13" w:rsidRDefault="00680A78" w:rsidP="00B67E3F">
            <w:pPr>
              <w:ind w:right="85"/>
              <w:jc w:val="right"/>
              <w:rPr>
                <w:rFonts w:cs="Arial"/>
                <w:b/>
                <w:szCs w:val="18"/>
              </w:rPr>
            </w:pPr>
            <w:r>
              <w:rPr>
                <w:rFonts w:cs="Arial"/>
                <w:b/>
                <w:szCs w:val="18"/>
              </w:rPr>
              <w:t>617 067</w:t>
            </w:r>
          </w:p>
        </w:tc>
      </w:tr>
    </w:tbl>
    <w:p w14:paraId="55B8BC41" w14:textId="1C9F3342" w:rsidR="00FA761D" w:rsidRDefault="00FA761D" w:rsidP="00FA761D">
      <w:pPr>
        <w:pStyle w:val="Corpsdetexte"/>
      </w:pPr>
      <w:r>
        <w:t>A moyen terme</w:t>
      </w:r>
      <w:r w:rsidR="00A13F55">
        <w:t xml:space="preserve">, </w:t>
      </w:r>
      <w:r w:rsidR="000403E6">
        <w:t>sur la base des informations disponibles à l’heure actuelle</w:t>
      </w:r>
      <w:r w:rsidR="00EF066C">
        <w:t xml:space="preserve"> et tout en sachant qu’une volatilité</w:t>
      </w:r>
      <w:r w:rsidR="00F17977">
        <w:t xml:space="preserve"> relativement</w:t>
      </w:r>
      <w:r w:rsidR="00EF066C">
        <w:t xml:space="preserve"> importante existe en matière de péréquation</w:t>
      </w:r>
      <w:r>
        <w:t xml:space="preserve">, l’évolution des instruments dits temporaires </w:t>
      </w:r>
      <w:r w:rsidR="00680A78">
        <w:t>s’annonce</w:t>
      </w:r>
      <w:r>
        <w:t xml:space="preserve"> largement défavorable à l’Etat de Fribourg : </w:t>
      </w:r>
    </w:p>
    <w:p w14:paraId="2B1AFC8E" w14:textId="1A2AC669" w:rsidR="00FA761D" w:rsidRDefault="00FA761D" w:rsidP="00680A78">
      <w:pPr>
        <w:pStyle w:val="08puces"/>
        <w:rPr>
          <w:sz w:val="21"/>
          <w:szCs w:val="21"/>
        </w:rPr>
      </w:pPr>
      <w:r w:rsidRPr="0047417F">
        <w:rPr>
          <w:sz w:val="21"/>
          <w:szCs w:val="21"/>
        </w:rPr>
        <w:t>Les contributions complémentaires sont un instrument visant à atténuer l’effet de la RFFA sur le système péréquatif. Elles ont été introduites en 2024, et seront versées pendant 7 ans (dernier versement en 2030). Fribourg</w:t>
      </w:r>
      <w:r w:rsidR="00680A78">
        <w:rPr>
          <w:sz w:val="21"/>
          <w:szCs w:val="21"/>
        </w:rPr>
        <w:t xml:space="preserve"> en est un des plus grands </w:t>
      </w:r>
      <w:r w:rsidRPr="0047417F">
        <w:rPr>
          <w:sz w:val="21"/>
          <w:szCs w:val="21"/>
        </w:rPr>
        <w:t>bénéficiaire</w:t>
      </w:r>
      <w:r w:rsidR="00680A78">
        <w:rPr>
          <w:sz w:val="21"/>
          <w:szCs w:val="21"/>
        </w:rPr>
        <w:t>s</w:t>
      </w:r>
      <w:r w:rsidRPr="0047417F">
        <w:rPr>
          <w:sz w:val="21"/>
          <w:szCs w:val="21"/>
        </w:rPr>
        <w:t xml:space="preserve">. </w:t>
      </w:r>
      <w:r w:rsidR="00F17977">
        <w:rPr>
          <w:sz w:val="21"/>
          <w:szCs w:val="21"/>
        </w:rPr>
        <w:t>Par rapport aux</w:t>
      </w:r>
      <w:r w:rsidRPr="0047417F">
        <w:rPr>
          <w:sz w:val="21"/>
          <w:szCs w:val="21"/>
        </w:rPr>
        <w:t xml:space="preserve"> montants perçus en 2024, l’arrêt de cette mesure en 2031 impliquera</w:t>
      </w:r>
      <w:r w:rsidR="00680A78" w:rsidRPr="0047417F">
        <w:rPr>
          <w:sz w:val="21"/>
          <w:szCs w:val="21"/>
        </w:rPr>
        <w:t>it</w:t>
      </w:r>
      <w:r w:rsidRPr="0047417F">
        <w:rPr>
          <w:sz w:val="21"/>
          <w:szCs w:val="21"/>
        </w:rPr>
        <w:t xml:space="preserve"> une réduction de près de 61 mi</w:t>
      </w:r>
      <w:r w:rsidR="00680A78" w:rsidRPr="0047417F">
        <w:rPr>
          <w:sz w:val="21"/>
          <w:szCs w:val="21"/>
        </w:rPr>
        <w:t>llions de francs</w:t>
      </w:r>
      <w:r w:rsidRPr="0047417F">
        <w:rPr>
          <w:sz w:val="21"/>
          <w:szCs w:val="21"/>
        </w:rPr>
        <w:t xml:space="preserve"> par rapport à la situation actuelle. </w:t>
      </w:r>
    </w:p>
    <w:p w14:paraId="45579F7D" w14:textId="50208960" w:rsidR="00FA761D" w:rsidRDefault="00FA761D" w:rsidP="00680A78">
      <w:pPr>
        <w:pStyle w:val="08puces"/>
        <w:rPr>
          <w:sz w:val="21"/>
          <w:szCs w:val="21"/>
        </w:rPr>
      </w:pPr>
      <w:r w:rsidRPr="0047417F">
        <w:rPr>
          <w:sz w:val="21"/>
          <w:szCs w:val="21"/>
        </w:rPr>
        <w:t>Les mesures d’atténuation visent à alléger les conséquences des réformes du système péréquatif de 2020</w:t>
      </w:r>
      <w:r w:rsidR="0047417F">
        <w:rPr>
          <w:sz w:val="21"/>
          <w:szCs w:val="21"/>
        </w:rPr>
        <w:t xml:space="preserve"> et</w:t>
      </w:r>
      <w:r w:rsidRPr="0047417F">
        <w:rPr>
          <w:sz w:val="21"/>
          <w:szCs w:val="21"/>
        </w:rPr>
        <w:t xml:space="preserve"> sont versé</w:t>
      </w:r>
      <w:r w:rsidR="0047417F">
        <w:rPr>
          <w:sz w:val="21"/>
          <w:szCs w:val="21"/>
        </w:rPr>
        <w:t>e</w:t>
      </w:r>
      <w:r w:rsidRPr="0047417F">
        <w:rPr>
          <w:sz w:val="21"/>
          <w:szCs w:val="21"/>
        </w:rPr>
        <w:t xml:space="preserve">s de 2021 à 2025. Dès 2026, le canton ne percevra donc plus cette contribution, qui représentait 7,4 millions de francs en 2024. </w:t>
      </w:r>
    </w:p>
    <w:p w14:paraId="4D8E5853" w14:textId="49C500EF" w:rsidR="00FA761D" w:rsidRPr="0047417F" w:rsidRDefault="00FA761D" w:rsidP="0047417F">
      <w:pPr>
        <w:pStyle w:val="08puces"/>
        <w:rPr>
          <w:sz w:val="21"/>
          <w:szCs w:val="21"/>
        </w:rPr>
      </w:pPr>
      <w:r w:rsidRPr="0047417F">
        <w:rPr>
          <w:sz w:val="21"/>
          <w:szCs w:val="21"/>
        </w:rPr>
        <w:t xml:space="preserve">La compensation des cas de rigueur a été introduite en 2008, lors de l’instauration du système actuel de péréquation financière. Elle sera versée jusqu’en 2034 au plus tard, et la contribution diminue annuellement de 5% par rapport au montant initial. Pour Fribourg, cela représente une baisse annuelle récurrente de près de 6,7 mios de francs. La loi sur la péréquation financière prévoit par ailleurs une réévaluation périodique de la nécessité de maintenir cette mesure, qui pourrait donc être supprimée avant 2034. Pour la période 2026 à 2029, le maintien de la mesure a été confirmé. </w:t>
      </w:r>
    </w:p>
    <w:p w14:paraId="68DF40CA" w14:textId="77777777" w:rsidR="00FA761D" w:rsidRDefault="00FA761D" w:rsidP="00FA761D">
      <w:pPr>
        <w:pStyle w:val="Corpsdetexte"/>
      </w:pPr>
      <w:r>
        <w:t xml:space="preserve">Les contributions perçues au titre des trois mesures transitoires précitées vont irrémédiablement diminuer. Alors qu’elles représentent un total de 141,9 millions de francs aux comptes 2024, elles ne seront plus que de 26,7 millions de francs en 2031 (compensation des cas de rigueur uniquement), respectivement 0 en 2035. </w:t>
      </w:r>
    </w:p>
    <w:p w14:paraId="51DCCD56" w14:textId="43167C07" w:rsidR="00FA761D" w:rsidRPr="00FA761D" w:rsidRDefault="00FA761D" w:rsidP="00CF6A23">
      <w:pPr>
        <w:pStyle w:val="Corpsdetexte"/>
      </w:pPr>
      <w:r>
        <w:t>Cette baisse pourrait potentiellement être compensée</w:t>
      </w:r>
      <w:r w:rsidR="00F17977">
        <w:t>, au moins partiellement,</w:t>
      </w:r>
      <w:r>
        <w:t xml:space="preserve"> par une augmentation des versements perçus au titre de la péréquation des ressources. L’évolution de cet instrument est cependant bien plus difficile à estimer, tant les variables du modèle de calcul sont nombreuses (évolution pour les 26 cantons du potentiel fiscal). Sur cette base, le Conseil d’Etat a déjà pris des mesures afin de doter l’Etat d’une provision permettant d’atténuer partiellement les fluctuations liées aux paiements péréquatifs.  </w:t>
      </w:r>
    </w:p>
    <w:p w14:paraId="12273485" w14:textId="77777777" w:rsidR="00F362CD" w:rsidRPr="00F362CD" w:rsidRDefault="00F362CD" w:rsidP="00F362CD">
      <w:pPr>
        <w:pStyle w:val="Corpsdetexte"/>
      </w:pPr>
    </w:p>
    <w:p w14:paraId="509CB638" w14:textId="56AAD9FA" w:rsidR="00425C87" w:rsidRPr="00FE3A13" w:rsidRDefault="00425C87" w:rsidP="00425C87">
      <w:pPr>
        <w:pStyle w:val="Titre2"/>
      </w:pPr>
      <w:bookmarkStart w:id="6" w:name="_Toc195714669"/>
      <w:r w:rsidRPr="00FE3A13">
        <w:lastRenderedPageBreak/>
        <w:t>Incidences du programme d’allègement budgétaire 2027 de la Confédération</w:t>
      </w:r>
      <w:bookmarkEnd w:id="6"/>
    </w:p>
    <w:p w14:paraId="57DCF6A2" w14:textId="1899B19C" w:rsidR="0017581D" w:rsidRPr="00FE3A13" w:rsidRDefault="0017581D" w:rsidP="0017581D">
      <w:r w:rsidRPr="00FE3A13">
        <w:t xml:space="preserve">S’appuyant sur le rapport du groupe d’experts chargé du réexamen de tâches et des subventions de la Confédération rendu public le 5 septembre 2024, le Conseil fédéral a publié le 20 septembre 2024 les grandes lignes d’un programme d’allègement des finances fédérales composé d’une soixantaine de mesures qui commenceraient à s’appliquer partiellement à partir de 2026 et dont les effets cumulés pour la Confédération </w:t>
      </w:r>
      <w:r w:rsidR="00F61E92" w:rsidRPr="00FE3A13">
        <w:t>avait été</w:t>
      </w:r>
      <w:r w:rsidRPr="00FE3A13">
        <w:t xml:space="preserve"> estimés dans le communiqué de presse à 3,6 milliards de francs pour 2027, 4,3 milliards de francs pour 2028, 4,7 milliards de francs pour 2029 et 4.6 milliards de francs pour 2030. Les premières analyses et estimations effectuées en octobre 2024 au sein de l’administration cantonale montraient qu’</w:t>
      </w:r>
      <w:r w:rsidR="009A653B">
        <w:t>une</w:t>
      </w:r>
      <w:r w:rsidRPr="00FE3A13">
        <w:t xml:space="preserve"> trentaine de mesures figurant dans le programme alors envisagé pourraient avoir des incidences pour l’Etat de Fribourg et que les effets négatifs nets cumulés pour ce dernier serait de l’ordre de 50 millions de francs en 2026, 71 millions de francs en 2027 et 72 millions de francs en 2028</w:t>
      </w:r>
      <w:r w:rsidR="00DB0ADA" w:rsidRPr="00FE3A13">
        <w:t>. Des impacts variant entre environ 71 et 77 millions de francs avaient également été mis en évidence pour les années 2029 à 2032.</w:t>
      </w:r>
    </w:p>
    <w:p w14:paraId="41E91806" w14:textId="16192403" w:rsidR="0017581D" w:rsidRPr="00FE3A13" w:rsidRDefault="00DB0ADA" w:rsidP="0017581D">
      <w:r w:rsidRPr="00FE3A13">
        <w:t>Les mesures envisagées par la Confédération ont été légèrement adaptées par la suite pour aboutir au programme d’allègement budgétaire 2027</w:t>
      </w:r>
      <w:r w:rsidR="00F61E92" w:rsidRPr="00FE3A13">
        <w:t>,</w:t>
      </w:r>
      <w:r w:rsidRPr="00FE3A13">
        <w:t xml:space="preserve"> qui a été mis en consultation par le Conseil fédéral le 29 janvier 2025. Ce programme, constitué de 59 mesures, dont 36 exigent des modifications légales, </w:t>
      </w:r>
      <w:r w:rsidR="00F75612" w:rsidRPr="00FE3A13">
        <w:t>permettrait d’alléger les finances fédérales de 2,7 milliards de francs en 2027 et de 3,6 milliards de francs en 2028. Aucune estimation chiffrée n’est fournie pour 2026. Il est toutefois indiqué dans le dossier de consultation que le Conseil fédéral décidera dans le cadre des travaux en cours d’élaboration du budget 2026 s’il est opportun d’avancer à 2026 l’exécution de certaines mesures que n’exigent pas de modification légale. La Conférence des gouvernements cantonaux a demandé des éclaircissements sur ce point afin que les cantons disposent des informations nécessaires pour établir leur budget 2026. Ces informations ne sont pas encore arrivées à ce jour. Le rapport explicatif relatif au programme d’allègements budgétaire 2027 ne contient pas d’indication</w:t>
      </w:r>
      <w:r w:rsidR="00836320" w:rsidRPr="00FE3A13">
        <w:t>s</w:t>
      </w:r>
      <w:r w:rsidR="00F75612" w:rsidRPr="00FE3A13">
        <w:t xml:space="preserve"> non plus sur les éventuels effets qui pourraient se prolonger sur les années 2029 et suivantes.</w:t>
      </w:r>
    </w:p>
    <w:p w14:paraId="211EE98E" w14:textId="5D875709" w:rsidR="004D2246" w:rsidRPr="00FE3A13" w:rsidRDefault="00F61E92" w:rsidP="004D2246">
      <w:pPr>
        <w:pStyle w:val="Corpsdetexte"/>
        <w:rPr>
          <w:lang w:val="fr-FR"/>
        </w:rPr>
      </w:pPr>
      <w:r w:rsidRPr="00FE3A13">
        <w:rPr>
          <w:lang w:val="fr-FR"/>
        </w:rPr>
        <w:t xml:space="preserve">Les analyses et estimations actualisées effectuées au sein de l’administration cantonale aboutissent au constat que le programme d’allègement budgétaire 2027 de la Confédération pourrait avoir une incidence négative nette pour l’Etat de Fribourg de </w:t>
      </w:r>
      <w:r w:rsidR="00BB686A" w:rsidRPr="00FE3A13">
        <w:rPr>
          <w:lang w:val="fr-FR"/>
        </w:rPr>
        <w:t>41,2</w:t>
      </w:r>
      <w:r w:rsidRPr="00FE3A13">
        <w:rPr>
          <w:lang w:val="fr-FR"/>
        </w:rPr>
        <w:t xml:space="preserve"> millions de francs en 2027 et </w:t>
      </w:r>
      <w:r w:rsidR="0058559E">
        <w:rPr>
          <w:lang w:val="fr-FR"/>
        </w:rPr>
        <w:t>62,2</w:t>
      </w:r>
      <w:r w:rsidR="00FA6454" w:rsidRPr="00FE3A13">
        <w:rPr>
          <w:lang w:val="fr-FR"/>
        </w:rPr>
        <w:t xml:space="preserve"> </w:t>
      </w:r>
      <w:r w:rsidRPr="00FE3A13">
        <w:rPr>
          <w:lang w:val="fr-FR"/>
        </w:rPr>
        <w:t>millions de francs en 2028.</w:t>
      </w:r>
      <w:r w:rsidR="00FA6454" w:rsidRPr="00FE3A13">
        <w:rPr>
          <w:lang w:val="fr-FR"/>
        </w:rPr>
        <w:t xml:space="preserve"> </w:t>
      </w:r>
      <w:r w:rsidR="00860328" w:rsidRPr="00FE3A13">
        <w:rPr>
          <w:lang w:val="fr-FR"/>
        </w:rPr>
        <w:t xml:space="preserve">Pour 2026, l’impact sera estimé ultérieurement sur la base du projet de budget qui sera publié par la Confédération au début juin 2025. </w:t>
      </w:r>
      <w:r w:rsidR="00FA6454" w:rsidRPr="00FE3A13">
        <w:rPr>
          <w:lang w:val="fr-FR"/>
        </w:rPr>
        <w:t xml:space="preserve">Les résultats prévisionnels obtenus en ajoutant </w:t>
      </w:r>
      <w:r w:rsidR="00860328" w:rsidRPr="00FE3A13">
        <w:rPr>
          <w:lang w:val="fr-FR"/>
        </w:rPr>
        <w:t>les effets du programme d’allègement budgétaire fédéral</w:t>
      </w:r>
      <w:r w:rsidR="00FA6454" w:rsidRPr="00FE3A13">
        <w:rPr>
          <w:lang w:val="fr-FR"/>
        </w:rPr>
        <w:t xml:space="preserve"> aux résultats du plan financier 2025-2028 sont présentés dans le tableau ci-dessous. Il</w:t>
      </w:r>
      <w:r w:rsidR="00860328" w:rsidRPr="00FE3A13">
        <w:rPr>
          <w:lang w:val="fr-FR"/>
        </w:rPr>
        <w:t>s</w:t>
      </w:r>
      <w:r w:rsidR="00FA6454" w:rsidRPr="00FE3A13">
        <w:rPr>
          <w:lang w:val="fr-FR"/>
        </w:rPr>
        <w:t xml:space="preserve"> ne font que confirmer et renforcer le besoin de mettre en œuvre un programme d’assainissement des finances de l’Etat.</w:t>
      </w:r>
    </w:p>
    <w:p w14:paraId="6B766A71" w14:textId="1F66E6A9" w:rsidR="004230AF" w:rsidRPr="00FE3A13" w:rsidRDefault="004230AF" w:rsidP="004D2246">
      <w:pPr>
        <w:pStyle w:val="Corpsdetexte"/>
      </w:pPr>
    </w:p>
    <w:tbl>
      <w:tblPr>
        <w:tblStyle w:val="EtatFribourg"/>
        <w:tblW w:w="5000" w:type="pct"/>
        <w:tblBorders>
          <w:top w:val="single" w:sz="12" w:space="0" w:color="auto"/>
          <w:bottom w:val="single" w:sz="12" w:space="0" w:color="auto"/>
          <w:insideH w:val="single" w:sz="8" w:space="0" w:color="auto"/>
        </w:tblBorders>
        <w:tblLayout w:type="fixed"/>
        <w:tblCellMar>
          <w:top w:w="85" w:type="dxa"/>
          <w:left w:w="0" w:type="dxa"/>
          <w:bottom w:w="85" w:type="dxa"/>
          <w:right w:w="0" w:type="dxa"/>
        </w:tblCellMar>
        <w:tblLook w:val="0480" w:firstRow="0" w:lastRow="0" w:firstColumn="1" w:lastColumn="0" w:noHBand="0" w:noVBand="1"/>
      </w:tblPr>
      <w:tblGrid>
        <w:gridCol w:w="3485"/>
        <w:gridCol w:w="1285"/>
        <w:gridCol w:w="1288"/>
        <w:gridCol w:w="1288"/>
        <w:gridCol w:w="1288"/>
        <w:gridCol w:w="1286"/>
      </w:tblGrid>
      <w:tr w:rsidR="00826D85" w:rsidRPr="00FE3A13" w14:paraId="3DD64CC6" w14:textId="77777777" w:rsidTr="00DA2DB7">
        <w:trPr>
          <w:trHeight w:val="156"/>
        </w:trPr>
        <w:tc>
          <w:tcPr>
            <w:tcW w:w="1757" w:type="pct"/>
            <w:tcBorders>
              <w:bottom w:val="single" w:sz="2" w:space="0" w:color="auto"/>
            </w:tcBorders>
          </w:tcPr>
          <w:p w14:paraId="006F3CF0" w14:textId="77777777" w:rsidR="00826D85" w:rsidRPr="00FE3A13" w:rsidRDefault="00826D85" w:rsidP="00826D85">
            <w:pPr>
              <w:rPr>
                <w:rFonts w:cs="Arial"/>
                <w:b/>
                <w:szCs w:val="18"/>
              </w:rPr>
            </w:pPr>
            <w:bookmarkStart w:id="7" w:name="_Hlk195111847"/>
            <w:r w:rsidRPr="00FE3A13">
              <w:rPr>
                <w:rFonts w:cs="Arial"/>
                <w:b/>
                <w:szCs w:val="18"/>
              </w:rPr>
              <w:t xml:space="preserve">Plan financier pour la période </w:t>
            </w:r>
          </w:p>
          <w:p w14:paraId="46816D13" w14:textId="77777777" w:rsidR="00826D85" w:rsidRPr="00FE3A13" w:rsidRDefault="00826D85" w:rsidP="00826D85">
            <w:pPr>
              <w:rPr>
                <w:rFonts w:cs="Arial"/>
                <w:bCs/>
                <w:color w:val="777777" w:themeColor="text2"/>
                <w:szCs w:val="18"/>
              </w:rPr>
            </w:pPr>
            <w:r w:rsidRPr="00FE3A13">
              <w:rPr>
                <w:rFonts w:cs="Arial"/>
                <w:b/>
                <w:szCs w:val="18"/>
              </w:rPr>
              <w:t>2025-2028</w:t>
            </w:r>
          </w:p>
        </w:tc>
        <w:tc>
          <w:tcPr>
            <w:tcW w:w="648" w:type="pct"/>
            <w:tcBorders>
              <w:bottom w:val="single" w:sz="2" w:space="0" w:color="auto"/>
            </w:tcBorders>
          </w:tcPr>
          <w:p w14:paraId="6E4239FB" w14:textId="77777777" w:rsidR="00826D85" w:rsidRPr="00FE3A13" w:rsidRDefault="00826D85" w:rsidP="00826D85">
            <w:pPr>
              <w:ind w:right="85"/>
              <w:rPr>
                <w:rFonts w:cs="Arial"/>
                <w:bCs/>
                <w:color w:val="777777" w:themeColor="text2"/>
                <w:szCs w:val="18"/>
              </w:rPr>
            </w:pPr>
          </w:p>
        </w:tc>
        <w:tc>
          <w:tcPr>
            <w:tcW w:w="649" w:type="pct"/>
            <w:tcBorders>
              <w:bottom w:val="single" w:sz="2" w:space="0" w:color="auto"/>
            </w:tcBorders>
          </w:tcPr>
          <w:p w14:paraId="7DB753CE" w14:textId="77777777" w:rsidR="00826D85" w:rsidRPr="00FE3A13" w:rsidRDefault="00826D85" w:rsidP="00826D85">
            <w:pPr>
              <w:ind w:right="171"/>
              <w:rPr>
                <w:rFonts w:cs="Arial"/>
                <w:bCs/>
                <w:color w:val="777777" w:themeColor="text2"/>
                <w:szCs w:val="18"/>
              </w:rPr>
            </w:pPr>
          </w:p>
        </w:tc>
        <w:tc>
          <w:tcPr>
            <w:tcW w:w="649" w:type="pct"/>
            <w:tcBorders>
              <w:bottom w:val="single" w:sz="2" w:space="0" w:color="auto"/>
            </w:tcBorders>
          </w:tcPr>
          <w:p w14:paraId="7D170F53" w14:textId="77777777" w:rsidR="00826D85" w:rsidRPr="00FE3A13" w:rsidRDefault="00826D85" w:rsidP="00826D85">
            <w:pPr>
              <w:ind w:right="171"/>
              <w:rPr>
                <w:rFonts w:cs="Arial"/>
                <w:bCs/>
                <w:color w:val="777777" w:themeColor="text2"/>
                <w:szCs w:val="18"/>
              </w:rPr>
            </w:pPr>
          </w:p>
        </w:tc>
        <w:tc>
          <w:tcPr>
            <w:tcW w:w="649" w:type="pct"/>
            <w:tcBorders>
              <w:bottom w:val="single" w:sz="2" w:space="0" w:color="auto"/>
            </w:tcBorders>
          </w:tcPr>
          <w:p w14:paraId="78B3EF57" w14:textId="77777777" w:rsidR="00826D85" w:rsidRPr="00FE3A13" w:rsidRDefault="00826D85" w:rsidP="00826D85">
            <w:pPr>
              <w:ind w:right="171"/>
              <w:rPr>
                <w:rFonts w:cs="Arial"/>
                <w:bCs/>
                <w:color w:val="777777" w:themeColor="text2"/>
                <w:szCs w:val="18"/>
              </w:rPr>
            </w:pPr>
          </w:p>
        </w:tc>
        <w:tc>
          <w:tcPr>
            <w:tcW w:w="648" w:type="pct"/>
            <w:tcBorders>
              <w:bottom w:val="single" w:sz="2" w:space="0" w:color="auto"/>
            </w:tcBorders>
          </w:tcPr>
          <w:p w14:paraId="29F1D71D" w14:textId="77777777" w:rsidR="00826D85" w:rsidRPr="00FE3A13" w:rsidRDefault="00826D85" w:rsidP="00826D85">
            <w:pPr>
              <w:ind w:right="171"/>
              <w:rPr>
                <w:rFonts w:cs="Arial"/>
                <w:bCs/>
                <w:color w:val="777777" w:themeColor="text2"/>
                <w:szCs w:val="18"/>
              </w:rPr>
            </w:pPr>
          </w:p>
        </w:tc>
      </w:tr>
      <w:tr w:rsidR="00826D85" w:rsidRPr="00FE3A13" w14:paraId="6B049562" w14:textId="77777777" w:rsidTr="00DA2DB7">
        <w:trPr>
          <w:trHeight w:val="156"/>
        </w:trPr>
        <w:tc>
          <w:tcPr>
            <w:tcW w:w="1757" w:type="pct"/>
            <w:tcBorders>
              <w:top w:val="single" w:sz="2" w:space="0" w:color="auto"/>
              <w:bottom w:val="single" w:sz="2" w:space="0" w:color="auto"/>
            </w:tcBorders>
          </w:tcPr>
          <w:p w14:paraId="614C2E94" w14:textId="77777777" w:rsidR="00826D85" w:rsidRPr="00FE3A13" w:rsidRDefault="00826D85" w:rsidP="00826D85">
            <w:pPr>
              <w:ind w:right="141"/>
              <w:rPr>
                <w:rFonts w:cs="Arial"/>
                <w:bCs/>
                <w:szCs w:val="18"/>
              </w:rPr>
            </w:pPr>
          </w:p>
        </w:tc>
        <w:tc>
          <w:tcPr>
            <w:tcW w:w="648" w:type="pct"/>
            <w:tcBorders>
              <w:top w:val="single" w:sz="2" w:space="0" w:color="auto"/>
              <w:bottom w:val="single" w:sz="2" w:space="0" w:color="auto"/>
            </w:tcBorders>
          </w:tcPr>
          <w:p w14:paraId="42A3DE20" w14:textId="77777777" w:rsidR="00826D85" w:rsidRPr="00FE3A13" w:rsidRDefault="00826D85" w:rsidP="00826D85">
            <w:pPr>
              <w:ind w:left="118" w:right="85"/>
              <w:jc w:val="right"/>
              <w:rPr>
                <w:rFonts w:cs="Arial"/>
                <w:b/>
                <w:szCs w:val="18"/>
              </w:rPr>
            </w:pPr>
            <w:r w:rsidRPr="00FE3A13">
              <w:rPr>
                <w:rFonts w:cs="Arial"/>
                <w:b/>
                <w:szCs w:val="18"/>
              </w:rPr>
              <w:t>Budget</w:t>
            </w:r>
          </w:p>
          <w:p w14:paraId="238D3CDB" w14:textId="77777777" w:rsidR="00826D85" w:rsidRPr="00FE3A13" w:rsidRDefault="00826D85" w:rsidP="00826D85">
            <w:pPr>
              <w:ind w:right="85"/>
              <w:jc w:val="right"/>
              <w:rPr>
                <w:rFonts w:cs="Arial"/>
                <w:b/>
                <w:szCs w:val="18"/>
              </w:rPr>
            </w:pPr>
            <w:r w:rsidRPr="00FE3A13">
              <w:rPr>
                <w:rFonts w:cs="Arial"/>
                <w:b/>
                <w:szCs w:val="18"/>
              </w:rPr>
              <w:t>2025</w:t>
            </w:r>
          </w:p>
        </w:tc>
        <w:tc>
          <w:tcPr>
            <w:tcW w:w="649" w:type="pct"/>
            <w:tcBorders>
              <w:top w:val="single" w:sz="2" w:space="0" w:color="auto"/>
              <w:bottom w:val="single" w:sz="2" w:space="0" w:color="auto"/>
            </w:tcBorders>
          </w:tcPr>
          <w:p w14:paraId="7C645F1E" w14:textId="77777777" w:rsidR="00826D85" w:rsidRPr="00FE3A13" w:rsidRDefault="00826D85" w:rsidP="00826D85">
            <w:pPr>
              <w:ind w:right="171"/>
              <w:jc w:val="right"/>
              <w:rPr>
                <w:rFonts w:cs="Arial"/>
                <w:b/>
                <w:szCs w:val="18"/>
              </w:rPr>
            </w:pPr>
            <w:r w:rsidRPr="00FE3A13">
              <w:rPr>
                <w:rFonts w:cs="Arial"/>
                <w:b/>
                <w:szCs w:val="18"/>
              </w:rPr>
              <w:t>Plan financier</w:t>
            </w:r>
          </w:p>
          <w:p w14:paraId="31A1FFA1" w14:textId="77777777" w:rsidR="00826D85" w:rsidRPr="00FE3A13" w:rsidRDefault="00826D85" w:rsidP="00826D85">
            <w:pPr>
              <w:ind w:right="171"/>
              <w:jc w:val="right"/>
              <w:rPr>
                <w:rFonts w:cs="Arial"/>
                <w:b/>
                <w:szCs w:val="18"/>
              </w:rPr>
            </w:pPr>
            <w:r w:rsidRPr="00FE3A13">
              <w:rPr>
                <w:rFonts w:cs="Arial"/>
                <w:b/>
                <w:szCs w:val="18"/>
              </w:rPr>
              <w:t>2026</w:t>
            </w:r>
          </w:p>
        </w:tc>
        <w:tc>
          <w:tcPr>
            <w:tcW w:w="649" w:type="pct"/>
            <w:tcBorders>
              <w:top w:val="single" w:sz="2" w:space="0" w:color="auto"/>
              <w:bottom w:val="single" w:sz="2" w:space="0" w:color="auto"/>
            </w:tcBorders>
          </w:tcPr>
          <w:p w14:paraId="2ED89589" w14:textId="77777777" w:rsidR="00826D85" w:rsidRPr="00FE3A13" w:rsidRDefault="00826D85" w:rsidP="00826D85">
            <w:pPr>
              <w:ind w:right="171"/>
              <w:jc w:val="right"/>
              <w:rPr>
                <w:rFonts w:cs="Arial"/>
                <w:b/>
                <w:szCs w:val="18"/>
              </w:rPr>
            </w:pPr>
            <w:r w:rsidRPr="00FE3A13">
              <w:rPr>
                <w:rFonts w:cs="Arial"/>
                <w:b/>
                <w:szCs w:val="18"/>
              </w:rPr>
              <w:t>Plan financier</w:t>
            </w:r>
          </w:p>
          <w:p w14:paraId="45ED7EA3" w14:textId="77777777" w:rsidR="00826D85" w:rsidRPr="00FE3A13" w:rsidRDefault="00826D85" w:rsidP="00826D85">
            <w:pPr>
              <w:ind w:right="171"/>
              <w:jc w:val="right"/>
              <w:rPr>
                <w:rFonts w:cs="Arial"/>
                <w:b/>
                <w:szCs w:val="18"/>
              </w:rPr>
            </w:pPr>
            <w:r w:rsidRPr="00FE3A13">
              <w:rPr>
                <w:rFonts w:cs="Arial"/>
                <w:b/>
                <w:szCs w:val="18"/>
              </w:rPr>
              <w:t>2027</w:t>
            </w:r>
          </w:p>
        </w:tc>
        <w:tc>
          <w:tcPr>
            <w:tcW w:w="649" w:type="pct"/>
            <w:tcBorders>
              <w:top w:val="single" w:sz="2" w:space="0" w:color="auto"/>
              <w:bottom w:val="single" w:sz="2" w:space="0" w:color="auto"/>
            </w:tcBorders>
          </w:tcPr>
          <w:p w14:paraId="43201333" w14:textId="77777777" w:rsidR="00826D85" w:rsidRPr="00FE3A13" w:rsidRDefault="00826D85" w:rsidP="00826D85">
            <w:pPr>
              <w:ind w:right="171"/>
              <w:jc w:val="right"/>
              <w:rPr>
                <w:rFonts w:cs="Arial"/>
                <w:b/>
                <w:szCs w:val="18"/>
              </w:rPr>
            </w:pPr>
            <w:r w:rsidRPr="00FE3A13">
              <w:rPr>
                <w:rFonts w:cs="Arial"/>
                <w:b/>
                <w:szCs w:val="18"/>
              </w:rPr>
              <w:t xml:space="preserve">Plan financier </w:t>
            </w:r>
          </w:p>
          <w:p w14:paraId="408D5927" w14:textId="77777777" w:rsidR="00826D85" w:rsidRPr="00FE3A13" w:rsidRDefault="00826D85" w:rsidP="00826D85">
            <w:pPr>
              <w:ind w:right="171"/>
              <w:jc w:val="right"/>
              <w:rPr>
                <w:rFonts w:cs="Arial"/>
                <w:b/>
                <w:szCs w:val="18"/>
              </w:rPr>
            </w:pPr>
            <w:r w:rsidRPr="00FE3A13">
              <w:rPr>
                <w:rFonts w:cs="Arial"/>
                <w:b/>
                <w:szCs w:val="18"/>
              </w:rPr>
              <w:t>2028</w:t>
            </w:r>
          </w:p>
        </w:tc>
        <w:tc>
          <w:tcPr>
            <w:tcW w:w="648" w:type="pct"/>
            <w:tcBorders>
              <w:top w:val="single" w:sz="2" w:space="0" w:color="auto"/>
              <w:bottom w:val="single" w:sz="2" w:space="0" w:color="auto"/>
            </w:tcBorders>
          </w:tcPr>
          <w:p w14:paraId="09A20DE7" w14:textId="77777777" w:rsidR="00826D85" w:rsidRPr="00FE3A13" w:rsidRDefault="00826D85" w:rsidP="00826D85">
            <w:pPr>
              <w:ind w:right="171"/>
              <w:jc w:val="right"/>
              <w:rPr>
                <w:rFonts w:cs="Arial"/>
                <w:b/>
                <w:szCs w:val="18"/>
              </w:rPr>
            </w:pPr>
            <w:r w:rsidRPr="00FE3A13">
              <w:rPr>
                <w:rFonts w:cs="Arial"/>
                <w:b/>
                <w:szCs w:val="18"/>
              </w:rPr>
              <w:t>Période</w:t>
            </w:r>
          </w:p>
          <w:p w14:paraId="28FC1D81" w14:textId="77777777" w:rsidR="00826D85" w:rsidRPr="00FE3A13" w:rsidRDefault="00826D85" w:rsidP="00826D85">
            <w:pPr>
              <w:ind w:right="171"/>
              <w:jc w:val="right"/>
              <w:rPr>
                <w:rFonts w:cs="Arial"/>
                <w:b/>
                <w:szCs w:val="18"/>
              </w:rPr>
            </w:pPr>
            <w:r w:rsidRPr="00FE3A13">
              <w:rPr>
                <w:rFonts w:cs="Arial"/>
                <w:b/>
                <w:szCs w:val="18"/>
              </w:rPr>
              <w:t>2025-2028</w:t>
            </w:r>
          </w:p>
        </w:tc>
      </w:tr>
      <w:tr w:rsidR="00826D85" w:rsidRPr="00FE3A13" w14:paraId="79F86C76" w14:textId="77777777" w:rsidTr="00DA2DB7">
        <w:trPr>
          <w:trHeight w:val="203"/>
        </w:trPr>
        <w:tc>
          <w:tcPr>
            <w:tcW w:w="1757" w:type="pct"/>
            <w:tcBorders>
              <w:top w:val="single" w:sz="2" w:space="0" w:color="auto"/>
              <w:bottom w:val="single" w:sz="2" w:space="0" w:color="auto"/>
            </w:tcBorders>
          </w:tcPr>
          <w:p w14:paraId="29E3C14C" w14:textId="77777777" w:rsidR="00826D85" w:rsidRPr="00FE3A13" w:rsidRDefault="00826D85" w:rsidP="00826D85">
            <w:pPr>
              <w:ind w:right="57"/>
              <w:jc w:val="right"/>
              <w:rPr>
                <w:rFonts w:cs="Arial"/>
                <w:bCs/>
                <w:szCs w:val="18"/>
              </w:rPr>
            </w:pPr>
          </w:p>
        </w:tc>
        <w:tc>
          <w:tcPr>
            <w:tcW w:w="648" w:type="pct"/>
            <w:tcBorders>
              <w:top w:val="single" w:sz="2" w:space="0" w:color="auto"/>
              <w:bottom w:val="single" w:sz="2" w:space="0" w:color="auto"/>
            </w:tcBorders>
          </w:tcPr>
          <w:p w14:paraId="217B3B48" w14:textId="77777777" w:rsidR="00826D85" w:rsidRPr="00FE3A13" w:rsidRDefault="00826D85" w:rsidP="00826D85">
            <w:pPr>
              <w:ind w:right="85"/>
              <w:jc w:val="right"/>
              <w:rPr>
                <w:rFonts w:cs="Arial"/>
                <w:bCs/>
                <w:szCs w:val="18"/>
              </w:rPr>
            </w:pPr>
            <w:r w:rsidRPr="00FE3A13">
              <w:rPr>
                <w:rFonts w:cs="Arial"/>
                <w:bCs/>
                <w:szCs w:val="18"/>
              </w:rPr>
              <w:t>mios</w:t>
            </w:r>
          </w:p>
        </w:tc>
        <w:tc>
          <w:tcPr>
            <w:tcW w:w="649" w:type="pct"/>
            <w:tcBorders>
              <w:top w:val="single" w:sz="2" w:space="0" w:color="auto"/>
              <w:bottom w:val="single" w:sz="2" w:space="0" w:color="auto"/>
            </w:tcBorders>
          </w:tcPr>
          <w:p w14:paraId="0F9DF541" w14:textId="77777777" w:rsidR="00826D85" w:rsidRPr="00FE3A13" w:rsidRDefault="00826D85" w:rsidP="00826D85">
            <w:pPr>
              <w:ind w:right="171"/>
              <w:jc w:val="right"/>
              <w:rPr>
                <w:rFonts w:cs="Arial"/>
                <w:bCs/>
                <w:szCs w:val="18"/>
              </w:rPr>
            </w:pPr>
            <w:r w:rsidRPr="00FE3A13">
              <w:rPr>
                <w:rFonts w:cs="Arial"/>
                <w:bCs/>
                <w:szCs w:val="18"/>
              </w:rPr>
              <w:t>mios</w:t>
            </w:r>
          </w:p>
        </w:tc>
        <w:tc>
          <w:tcPr>
            <w:tcW w:w="649" w:type="pct"/>
            <w:tcBorders>
              <w:top w:val="single" w:sz="2" w:space="0" w:color="auto"/>
              <w:bottom w:val="single" w:sz="2" w:space="0" w:color="auto"/>
            </w:tcBorders>
          </w:tcPr>
          <w:p w14:paraId="39D665A7" w14:textId="77777777" w:rsidR="00826D85" w:rsidRPr="00FE3A13" w:rsidRDefault="00826D85" w:rsidP="00826D85">
            <w:pPr>
              <w:ind w:right="171"/>
              <w:jc w:val="right"/>
              <w:rPr>
                <w:rFonts w:cs="Arial"/>
                <w:bCs/>
                <w:szCs w:val="18"/>
              </w:rPr>
            </w:pPr>
            <w:r w:rsidRPr="00FE3A13">
              <w:rPr>
                <w:rFonts w:cs="Arial"/>
                <w:bCs/>
                <w:szCs w:val="18"/>
              </w:rPr>
              <w:t>mios</w:t>
            </w:r>
          </w:p>
        </w:tc>
        <w:tc>
          <w:tcPr>
            <w:tcW w:w="649" w:type="pct"/>
            <w:tcBorders>
              <w:top w:val="single" w:sz="2" w:space="0" w:color="auto"/>
              <w:bottom w:val="single" w:sz="2" w:space="0" w:color="auto"/>
            </w:tcBorders>
          </w:tcPr>
          <w:p w14:paraId="7106837E" w14:textId="77777777" w:rsidR="00826D85" w:rsidRPr="00FE3A13" w:rsidRDefault="00826D85" w:rsidP="00826D85">
            <w:pPr>
              <w:ind w:right="171"/>
              <w:jc w:val="right"/>
              <w:rPr>
                <w:rFonts w:cs="Arial"/>
                <w:bCs/>
                <w:szCs w:val="18"/>
              </w:rPr>
            </w:pPr>
            <w:r w:rsidRPr="00FE3A13">
              <w:rPr>
                <w:rFonts w:cs="Arial"/>
                <w:bCs/>
                <w:szCs w:val="18"/>
              </w:rPr>
              <w:t>mios</w:t>
            </w:r>
          </w:p>
        </w:tc>
        <w:tc>
          <w:tcPr>
            <w:tcW w:w="648" w:type="pct"/>
            <w:tcBorders>
              <w:top w:val="single" w:sz="2" w:space="0" w:color="auto"/>
              <w:bottom w:val="single" w:sz="2" w:space="0" w:color="auto"/>
            </w:tcBorders>
          </w:tcPr>
          <w:p w14:paraId="21EF7216" w14:textId="77777777" w:rsidR="00826D85" w:rsidRPr="00FE3A13" w:rsidRDefault="00826D85" w:rsidP="00826D85">
            <w:pPr>
              <w:ind w:right="171"/>
              <w:jc w:val="right"/>
              <w:rPr>
                <w:rFonts w:cs="Arial"/>
                <w:bCs/>
                <w:szCs w:val="18"/>
              </w:rPr>
            </w:pPr>
            <w:r w:rsidRPr="00FE3A13">
              <w:rPr>
                <w:rFonts w:cs="Arial"/>
                <w:bCs/>
                <w:szCs w:val="18"/>
              </w:rPr>
              <w:t>mios</w:t>
            </w:r>
          </w:p>
        </w:tc>
      </w:tr>
      <w:tr w:rsidR="00826D85" w:rsidRPr="00FE3A13" w14:paraId="431C66FD" w14:textId="77777777" w:rsidTr="00DA2DB7">
        <w:tc>
          <w:tcPr>
            <w:tcW w:w="1757" w:type="pct"/>
            <w:tcBorders>
              <w:top w:val="single" w:sz="2" w:space="0" w:color="auto"/>
              <w:bottom w:val="single" w:sz="2" w:space="0" w:color="auto"/>
            </w:tcBorders>
          </w:tcPr>
          <w:p w14:paraId="4A65ED18" w14:textId="77777777" w:rsidR="00826D85" w:rsidRPr="00FE3A13" w:rsidRDefault="00826D85" w:rsidP="00826D85">
            <w:pPr>
              <w:rPr>
                <w:rFonts w:cs="Arial"/>
                <w:b/>
                <w:bCs/>
                <w:szCs w:val="18"/>
              </w:rPr>
            </w:pPr>
            <w:r w:rsidRPr="00FE3A13">
              <w:rPr>
                <w:rFonts w:cs="Arial"/>
                <w:bCs/>
                <w:szCs w:val="18"/>
              </w:rPr>
              <w:t>Boni (+) / Déficit (</w:t>
            </w:r>
            <w:r w:rsidRPr="00FE3A13">
              <w:rPr>
                <w:rFonts w:cs="Arial"/>
                <w:bCs/>
                <w:szCs w:val="18"/>
              </w:rPr>
              <w:noBreakHyphen/>
              <w:t>) du compte de résultats</w:t>
            </w:r>
          </w:p>
        </w:tc>
        <w:tc>
          <w:tcPr>
            <w:tcW w:w="648" w:type="pct"/>
            <w:tcBorders>
              <w:top w:val="single" w:sz="2" w:space="0" w:color="auto"/>
              <w:bottom w:val="single" w:sz="2" w:space="0" w:color="auto"/>
            </w:tcBorders>
            <w:vAlign w:val="center"/>
          </w:tcPr>
          <w:p w14:paraId="43457FDE" w14:textId="77777777" w:rsidR="00826D85" w:rsidRPr="00FE3A13" w:rsidRDefault="00826D85" w:rsidP="00826D85">
            <w:pPr>
              <w:ind w:right="85"/>
              <w:jc w:val="right"/>
              <w:rPr>
                <w:rFonts w:cs="Arial"/>
                <w:bCs/>
                <w:szCs w:val="18"/>
              </w:rPr>
            </w:pPr>
            <w:r w:rsidRPr="00FE3A13">
              <w:rPr>
                <w:rFonts w:cs="Arial"/>
                <w:bCs/>
                <w:szCs w:val="18"/>
              </w:rPr>
              <w:t>+ 0,7</w:t>
            </w:r>
          </w:p>
        </w:tc>
        <w:tc>
          <w:tcPr>
            <w:tcW w:w="649" w:type="pct"/>
            <w:tcBorders>
              <w:top w:val="single" w:sz="2" w:space="0" w:color="auto"/>
              <w:bottom w:val="single" w:sz="2" w:space="0" w:color="auto"/>
            </w:tcBorders>
            <w:vAlign w:val="center"/>
          </w:tcPr>
          <w:p w14:paraId="5C4752CB" w14:textId="77777777" w:rsidR="00826D85" w:rsidRPr="00FE3A13" w:rsidRDefault="00826D85" w:rsidP="00826D85">
            <w:pPr>
              <w:ind w:right="171"/>
              <w:jc w:val="right"/>
              <w:rPr>
                <w:rFonts w:cs="Arial"/>
                <w:bCs/>
                <w:szCs w:val="18"/>
              </w:rPr>
            </w:pPr>
            <w:r w:rsidRPr="00FE3A13">
              <w:rPr>
                <w:rFonts w:cs="Arial"/>
                <w:bCs/>
                <w:szCs w:val="18"/>
              </w:rPr>
              <w:t>– 147,1</w:t>
            </w:r>
          </w:p>
        </w:tc>
        <w:tc>
          <w:tcPr>
            <w:tcW w:w="649" w:type="pct"/>
            <w:tcBorders>
              <w:top w:val="single" w:sz="2" w:space="0" w:color="auto"/>
              <w:bottom w:val="single" w:sz="2" w:space="0" w:color="auto"/>
            </w:tcBorders>
            <w:vAlign w:val="center"/>
          </w:tcPr>
          <w:p w14:paraId="37402C35" w14:textId="77777777" w:rsidR="00826D85" w:rsidRPr="00FE3A13" w:rsidRDefault="00826D85" w:rsidP="00826D85">
            <w:pPr>
              <w:ind w:right="171"/>
              <w:jc w:val="right"/>
              <w:rPr>
                <w:rFonts w:cs="Arial"/>
                <w:bCs/>
                <w:szCs w:val="18"/>
              </w:rPr>
            </w:pPr>
            <w:r w:rsidRPr="00FE3A13">
              <w:rPr>
                <w:rFonts w:cs="Arial"/>
                <w:bCs/>
                <w:szCs w:val="18"/>
              </w:rPr>
              <w:t>– 150,5</w:t>
            </w:r>
          </w:p>
        </w:tc>
        <w:tc>
          <w:tcPr>
            <w:tcW w:w="649" w:type="pct"/>
            <w:tcBorders>
              <w:top w:val="single" w:sz="2" w:space="0" w:color="auto"/>
              <w:bottom w:val="single" w:sz="2" w:space="0" w:color="auto"/>
            </w:tcBorders>
            <w:vAlign w:val="center"/>
          </w:tcPr>
          <w:p w14:paraId="33ECCDC3" w14:textId="77777777" w:rsidR="00826D85" w:rsidRPr="00FE3A13" w:rsidRDefault="00826D85" w:rsidP="00826D85">
            <w:pPr>
              <w:ind w:right="171"/>
              <w:jc w:val="right"/>
              <w:rPr>
                <w:rFonts w:cs="Arial"/>
                <w:bCs/>
                <w:szCs w:val="18"/>
              </w:rPr>
            </w:pPr>
            <w:r w:rsidRPr="00FE3A13">
              <w:rPr>
                <w:rFonts w:cs="Arial"/>
                <w:bCs/>
                <w:szCs w:val="18"/>
              </w:rPr>
              <w:t>– 139,0</w:t>
            </w:r>
          </w:p>
        </w:tc>
        <w:tc>
          <w:tcPr>
            <w:tcW w:w="648" w:type="pct"/>
            <w:tcBorders>
              <w:top w:val="single" w:sz="2" w:space="0" w:color="auto"/>
              <w:bottom w:val="single" w:sz="2" w:space="0" w:color="auto"/>
            </w:tcBorders>
            <w:vAlign w:val="center"/>
          </w:tcPr>
          <w:p w14:paraId="1E9E89E2" w14:textId="77777777" w:rsidR="00826D85" w:rsidRPr="00FE3A13" w:rsidRDefault="00826D85" w:rsidP="00826D85">
            <w:pPr>
              <w:ind w:right="171"/>
              <w:jc w:val="right"/>
              <w:rPr>
                <w:rFonts w:cs="Arial"/>
                <w:bCs/>
                <w:szCs w:val="18"/>
              </w:rPr>
            </w:pPr>
            <w:r w:rsidRPr="00FE3A13">
              <w:rPr>
                <w:rFonts w:cs="Arial"/>
                <w:bCs/>
                <w:szCs w:val="18"/>
              </w:rPr>
              <w:t>– 435,9</w:t>
            </w:r>
          </w:p>
        </w:tc>
      </w:tr>
      <w:tr w:rsidR="00826D85" w:rsidRPr="00FE3A13" w14:paraId="4E66C194" w14:textId="77777777" w:rsidTr="00DA2DB7">
        <w:tc>
          <w:tcPr>
            <w:tcW w:w="1757" w:type="pct"/>
            <w:tcBorders>
              <w:top w:val="single" w:sz="2" w:space="0" w:color="auto"/>
              <w:bottom w:val="single" w:sz="2" w:space="0" w:color="auto"/>
            </w:tcBorders>
          </w:tcPr>
          <w:p w14:paraId="33A7C11E" w14:textId="77777777" w:rsidR="00826D85" w:rsidRPr="00FE3A13" w:rsidRDefault="00826D85" w:rsidP="00826D85">
            <w:pPr>
              <w:rPr>
                <w:rFonts w:cs="Arial"/>
                <w:bCs/>
                <w:szCs w:val="18"/>
              </w:rPr>
            </w:pPr>
            <w:r w:rsidRPr="00FE3A13">
              <w:rPr>
                <w:rFonts w:cs="Arial"/>
                <w:bCs/>
                <w:szCs w:val="18"/>
              </w:rPr>
              <w:t>Effets estimés du programme d’allégement des finances fédérales</w:t>
            </w:r>
          </w:p>
        </w:tc>
        <w:tc>
          <w:tcPr>
            <w:tcW w:w="648" w:type="pct"/>
            <w:tcBorders>
              <w:top w:val="single" w:sz="2" w:space="0" w:color="auto"/>
              <w:bottom w:val="single" w:sz="2" w:space="0" w:color="auto"/>
            </w:tcBorders>
            <w:vAlign w:val="center"/>
          </w:tcPr>
          <w:p w14:paraId="45A86122" w14:textId="77777777" w:rsidR="00826D85" w:rsidRPr="00FE3A13" w:rsidRDefault="00826D85" w:rsidP="00826D85">
            <w:pPr>
              <w:ind w:right="85"/>
              <w:jc w:val="right"/>
              <w:rPr>
                <w:rFonts w:cs="Arial"/>
                <w:bCs/>
                <w:szCs w:val="18"/>
              </w:rPr>
            </w:pPr>
            <w:r w:rsidRPr="00FE3A13">
              <w:rPr>
                <w:rFonts w:cs="Arial"/>
                <w:bCs/>
                <w:szCs w:val="18"/>
              </w:rPr>
              <w:t>–</w:t>
            </w:r>
          </w:p>
        </w:tc>
        <w:tc>
          <w:tcPr>
            <w:tcW w:w="649" w:type="pct"/>
            <w:tcBorders>
              <w:top w:val="single" w:sz="2" w:space="0" w:color="auto"/>
              <w:bottom w:val="single" w:sz="2" w:space="0" w:color="auto"/>
            </w:tcBorders>
            <w:vAlign w:val="center"/>
          </w:tcPr>
          <w:p w14:paraId="67A328E5" w14:textId="6A73FD4C" w:rsidR="00826D85" w:rsidRPr="00FE3A13" w:rsidRDefault="00826D85" w:rsidP="00826D85">
            <w:pPr>
              <w:ind w:right="171"/>
              <w:jc w:val="right"/>
              <w:rPr>
                <w:rFonts w:cs="Arial"/>
                <w:bCs/>
                <w:szCs w:val="18"/>
              </w:rPr>
            </w:pPr>
            <w:r w:rsidRPr="00FE3A13">
              <w:rPr>
                <w:rFonts w:cs="Arial"/>
                <w:bCs/>
                <w:szCs w:val="18"/>
              </w:rPr>
              <w:t>–</w:t>
            </w:r>
            <w:r w:rsidR="00860328" w:rsidRPr="00FE3A13">
              <w:rPr>
                <w:rFonts w:cs="Arial"/>
                <w:bCs/>
                <w:szCs w:val="18"/>
              </w:rPr>
              <w:t> -,-</w:t>
            </w:r>
          </w:p>
        </w:tc>
        <w:tc>
          <w:tcPr>
            <w:tcW w:w="649" w:type="pct"/>
            <w:tcBorders>
              <w:top w:val="single" w:sz="2" w:space="0" w:color="auto"/>
              <w:bottom w:val="single" w:sz="2" w:space="0" w:color="auto"/>
            </w:tcBorders>
            <w:vAlign w:val="center"/>
          </w:tcPr>
          <w:p w14:paraId="7964C755" w14:textId="5CAF70CA" w:rsidR="00826D85" w:rsidRPr="00FE3A13" w:rsidRDefault="00826D85" w:rsidP="00826D85">
            <w:pPr>
              <w:ind w:right="171"/>
              <w:jc w:val="right"/>
              <w:rPr>
                <w:rFonts w:cs="Arial"/>
                <w:bCs/>
                <w:szCs w:val="18"/>
              </w:rPr>
            </w:pPr>
            <w:r w:rsidRPr="00FE3A13">
              <w:rPr>
                <w:rFonts w:cs="Arial"/>
                <w:bCs/>
                <w:szCs w:val="18"/>
              </w:rPr>
              <w:t>– </w:t>
            </w:r>
            <w:r w:rsidR="00860328" w:rsidRPr="00FE3A13">
              <w:rPr>
                <w:rFonts w:cs="Arial"/>
                <w:bCs/>
                <w:szCs w:val="18"/>
              </w:rPr>
              <w:t>41,2</w:t>
            </w:r>
          </w:p>
        </w:tc>
        <w:tc>
          <w:tcPr>
            <w:tcW w:w="649" w:type="pct"/>
            <w:tcBorders>
              <w:top w:val="single" w:sz="2" w:space="0" w:color="auto"/>
              <w:bottom w:val="single" w:sz="2" w:space="0" w:color="auto"/>
            </w:tcBorders>
            <w:vAlign w:val="center"/>
          </w:tcPr>
          <w:p w14:paraId="2A400888" w14:textId="2C22ED35" w:rsidR="00826D85" w:rsidRPr="00FE3A13" w:rsidRDefault="00826D85" w:rsidP="00826D85">
            <w:pPr>
              <w:ind w:right="171"/>
              <w:jc w:val="right"/>
              <w:rPr>
                <w:rFonts w:cs="Arial"/>
                <w:bCs/>
                <w:szCs w:val="18"/>
              </w:rPr>
            </w:pPr>
            <w:r w:rsidRPr="00FE3A13">
              <w:rPr>
                <w:rFonts w:cs="Arial"/>
                <w:bCs/>
                <w:szCs w:val="18"/>
              </w:rPr>
              <w:t>– </w:t>
            </w:r>
            <w:r w:rsidR="0058559E">
              <w:rPr>
                <w:rFonts w:cs="Arial"/>
                <w:bCs/>
                <w:szCs w:val="18"/>
              </w:rPr>
              <w:t>62,2</w:t>
            </w:r>
          </w:p>
        </w:tc>
        <w:tc>
          <w:tcPr>
            <w:tcW w:w="648" w:type="pct"/>
            <w:tcBorders>
              <w:top w:val="single" w:sz="2" w:space="0" w:color="auto"/>
              <w:bottom w:val="single" w:sz="2" w:space="0" w:color="auto"/>
            </w:tcBorders>
            <w:vAlign w:val="center"/>
          </w:tcPr>
          <w:p w14:paraId="75941E99" w14:textId="52F2C42C" w:rsidR="00826D85" w:rsidRPr="00FE3A13" w:rsidRDefault="00826D85" w:rsidP="00826D85">
            <w:pPr>
              <w:ind w:right="171"/>
              <w:jc w:val="right"/>
              <w:rPr>
                <w:rFonts w:cs="Arial"/>
                <w:bCs/>
                <w:szCs w:val="18"/>
              </w:rPr>
            </w:pPr>
            <w:r w:rsidRPr="00FE3A13">
              <w:rPr>
                <w:rFonts w:cs="Arial"/>
                <w:bCs/>
                <w:szCs w:val="18"/>
              </w:rPr>
              <w:t>– </w:t>
            </w:r>
            <w:r w:rsidR="0058559E">
              <w:rPr>
                <w:rFonts w:cs="Arial"/>
                <w:bCs/>
                <w:szCs w:val="18"/>
              </w:rPr>
              <w:t>103.4</w:t>
            </w:r>
          </w:p>
        </w:tc>
      </w:tr>
      <w:tr w:rsidR="00826D85" w:rsidRPr="00FE3A13" w14:paraId="4560D6DA" w14:textId="77777777" w:rsidTr="00DA2DB7">
        <w:tc>
          <w:tcPr>
            <w:tcW w:w="1757" w:type="pct"/>
            <w:tcBorders>
              <w:top w:val="single" w:sz="2" w:space="0" w:color="auto"/>
            </w:tcBorders>
          </w:tcPr>
          <w:p w14:paraId="571D171E" w14:textId="77777777" w:rsidR="00826D85" w:rsidRPr="00FE3A13" w:rsidRDefault="00826D85" w:rsidP="00826D85">
            <w:pPr>
              <w:rPr>
                <w:rFonts w:cs="Arial"/>
                <w:b/>
                <w:szCs w:val="18"/>
              </w:rPr>
            </w:pPr>
            <w:r w:rsidRPr="00FE3A13">
              <w:rPr>
                <w:rFonts w:cs="Arial"/>
                <w:b/>
                <w:szCs w:val="18"/>
              </w:rPr>
              <w:t>Résultats ajustés :</w:t>
            </w:r>
          </w:p>
          <w:p w14:paraId="120CB743" w14:textId="77777777" w:rsidR="00826D85" w:rsidRPr="00FE3A13" w:rsidRDefault="00826D85" w:rsidP="00826D85">
            <w:pPr>
              <w:rPr>
                <w:rFonts w:cs="Arial"/>
                <w:bCs/>
                <w:szCs w:val="18"/>
              </w:rPr>
            </w:pPr>
            <w:r w:rsidRPr="00FE3A13">
              <w:rPr>
                <w:rFonts w:cs="Arial"/>
                <w:bCs/>
                <w:szCs w:val="18"/>
              </w:rPr>
              <w:t>Boni (+) / Déficit (</w:t>
            </w:r>
            <w:r w:rsidRPr="00FE3A13">
              <w:rPr>
                <w:rFonts w:cs="Arial"/>
                <w:bCs/>
                <w:szCs w:val="18"/>
              </w:rPr>
              <w:noBreakHyphen/>
              <w:t>) du compte de résultats</w:t>
            </w:r>
          </w:p>
        </w:tc>
        <w:tc>
          <w:tcPr>
            <w:tcW w:w="648" w:type="pct"/>
            <w:tcBorders>
              <w:top w:val="single" w:sz="2" w:space="0" w:color="auto"/>
            </w:tcBorders>
            <w:vAlign w:val="center"/>
          </w:tcPr>
          <w:p w14:paraId="0CDF4542" w14:textId="77777777" w:rsidR="00826D85" w:rsidRPr="00FE3A13" w:rsidRDefault="00826D85" w:rsidP="00826D85">
            <w:pPr>
              <w:ind w:right="85"/>
              <w:jc w:val="right"/>
              <w:rPr>
                <w:rFonts w:cs="Arial"/>
                <w:b/>
                <w:szCs w:val="18"/>
              </w:rPr>
            </w:pPr>
            <w:r w:rsidRPr="00FE3A13">
              <w:rPr>
                <w:rFonts w:cs="Arial"/>
                <w:b/>
                <w:szCs w:val="18"/>
              </w:rPr>
              <w:t>+ 0,7</w:t>
            </w:r>
          </w:p>
        </w:tc>
        <w:tc>
          <w:tcPr>
            <w:tcW w:w="649" w:type="pct"/>
            <w:tcBorders>
              <w:top w:val="single" w:sz="2" w:space="0" w:color="auto"/>
            </w:tcBorders>
            <w:vAlign w:val="center"/>
          </w:tcPr>
          <w:p w14:paraId="6C70A621" w14:textId="550992A9" w:rsidR="00826D85" w:rsidRPr="00FE3A13" w:rsidRDefault="00826D85" w:rsidP="00826D85">
            <w:pPr>
              <w:ind w:right="171"/>
              <w:jc w:val="right"/>
              <w:rPr>
                <w:rFonts w:cs="Arial"/>
                <w:b/>
                <w:szCs w:val="18"/>
              </w:rPr>
            </w:pPr>
            <w:r w:rsidRPr="00FE3A13">
              <w:rPr>
                <w:rFonts w:cs="Arial"/>
                <w:b/>
                <w:szCs w:val="18"/>
              </w:rPr>
              <w:t>– 1</w:t>
            </w:r>
            <w:r w:rsidR="00860328" w:rsidRPr="00FE3A13">
              <w:rPr>
                <w:rFonts w:cs="Arial"/>
                <w:b/>
                <w:szCs w:val="18"/>
              </w:rPr>
              <w:t>47,1</w:t>
            </w:r>
          </w:p>
        </w:tc>
        <w:tc>
          <w:tcPr>
            <w:tcW w:w="649" w:type="pct"/>
            <w:tcBorders>
              <w:top w:val="single" w:sz="2" w:space="0" w:color="auto"/>
            </w:tcBorders>
            <w:vAlign w:val="center"/>
          </w:tcPr>
          <w:p w14:paraId="38A21FD3" w14:textId="2FD6AE03" w:rsidR="00826D85" w:rsidRPr="00FE3A13" w:rsidRDefault="00826D85" w:rsidP="00826D85">
            <w:pPr>
              <w:ind w:right="171"/>
              <w:jc w:val="right"/>
              <w:rPr>
                <w:rFonts w:cs="Arial"/>
                <w:b/>
                <w:szCs w:val="18"/>
              </w:rPr>
            </w:pPr>
            <w:r w:rsidRPr="00FE3A13">
              <w:rPr>
                <w:rFonts w:cs="Arial"/>
                <w:b/>
                <w:szCs w:val="18"/>
              </w:rPr>
              <w:t>– </w:t>
            </w:r>
            <w:r w:rsidR="00860328" w:rsidRPr="00FE3A13">
              <w:rPr>
                <w:rFonts w:cs="Arial"/>
                <w:b/>
                <w:szCs w:val="18"/>
              </w:rPr>
              <w:t>191,7</w:t>
            </w:r>
          </w:p>
        </w:tc>
        <w:tc>
          <w:tcPr>
            <w:tcW w:w="649" w:type="pct"/>
            <w:tcBorders>
              <w:top w:val="single" w:sz="2" w:space="0" w:color="auto"/>
            </w:tcBorders>
            <w:vAlign w:val="center"/>
          </w:tcPr>
          <w:p w14:paraId="3EABA16B" w14:textId="465CB57C" w:rsidR="00826D85" w:rsidRPr="00FE3A13" w:rsidRDefault="00826D85" w:rsidP="00826D85">
            <w:pPr>
              <w:ind w:right="171"/>
              <w:jc w:val="right"/>
              <w:rPr>
                <w:rFonts w:cs="Arial"/>
                <w:b/>
                <w:szCs w:val="18"/>
              </w:rPr>
            </w:pPr>
            <w:r w:rsidRPr="00FE3A13">
              <w:rPr>
                <w:rFonts w:cs="Arial"/>
                <w:b/>
                <w:szCs w:val="18"/>
              </w:rPr>
              <w:t>– </w:t>
            </w:r>
            <w:r w:rsidR="00860328" w:rsidRPr="00FE3A13">
              <w:rPr>
                <w:rFonts w:cs="Arial"/>
                <w:b/>
                <w:szCs w:val="18"/>
              </w:rPr>
              <w:t>20</w:t>
            </w:r>
            <w:r w:rsidR="0058559E">
              <w:rPr>
                <w:rFonts w:cs="Arial"/>
                <w:b/>
                <w:szCs w:val="18"/>
              </w:rPr>
              <w:t>1,2</w:t>
            </w:r>
          </w:p>
        </w:tc>
        <w:tc>
          <w:tcPr>
            <w:tcW w:w="648" w:type="pct"/>
            <w:tcBorders>
              <w:top w:val="single" w:sz="2" w:space="0" w:color="auto"/>
            </w:tcBorders>
            <w:vAlign w:val="center"/>
          </w:tcPr>
          <w:p w14:paraId="595C4F73" w14:textId="6DAB264B" w:rsidR="00826D85" w:rsidRPr="00FE3A13" w:rsidRDefault="00826D85" w:rsidP="00826D85">
            <w:pPr>
              <w:ind w:right="171"/>
              <w:jc w:val="right"/>
              <w:rPr>
                <w:rFonts w:cs="Arial"/>
                <w:b/>
                <w:szCs w:val="18"/>
              </w:rPr>
            </w:pPr>
            <w:r w:rsidRPr="00FE3A13">
              <w:rPr>
                <w:rFonts w:cs="Arial"/>
                <w:b/>
                <w:szCs w:val="18"/>
              </w:rPr>
              <w:t>– </w:t>
            </w:r>
            <w:r w:rsidR="0058559E">
              <w:rPr>
                <w:rFonts w:cs="Arial"/>
                <w:b/>
                <w:szCs w:val="18"/>
              </w:rPr>
              <w:t>539,3</w:t>
            </w:r>
          </w:p>
        </w:tc>
      </w:tr>
      <w:bookmarkEnd w:id="7"/>
    </w:tbl>
    <w:p w14:paraId="3AAFAC3C" w14:textId="2389ED56" w:rsidR="00826D85" w:rsidRPr="00FE3A13" w:rsidRDefault="00826D85" w:rsidP="004D2246">
      <w:pPr>
        <w:pStyle w:val="Corpsdetexte"/>
      </w:pPr>
    </w:p>
    <w:p w14:paraId="2D7D3CC5" w14:textId="1F8369B9" w:rsidR="004D2246" w:rsidRPr="00FE3A13" w:rsidRDefault="004D2246" w:rsidP="004D2246">
      <w:pPr>
        <w:pStyle w:val="Titre1"/>
      </w:pPr>
      <w:bookmarkStart w:id="8" w:name="_Toc195714670"/>
      <w:r w:rsidRPr="00FE3A13">
        <w:lastRenderedPageBreak/>
        <w:t>Stratégie et objectifs du Conseil d’Etat</w:t>
      </w:r>
      <w:bookmarkEnd w:id="8"/>
    </w:p>
    <w:p w14:paraId="118B3609" w14:textId="77777777" w:rsidR="004D2246" w:rsidRPr="00FE3A13" w:rsidRDefault="004D2246" w:rsidP="004D2246">
      <w:pPr>
        <w:pStyle w:val="Tiret"/>
      </w:pP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t>—</w:t>
      </w:r>
    </w:p>
    <w:p w14:paraId="1708C4C7" w14:textId="37BB6099" w:rsidR="004D2246" w:rsidRPr="00FE3A13" w:rsidRDefault="004D2246" w:rsidP="004D2246">
      <w:pPr>
        <w:pStyle w:val="Titre2"/>
      </w:pPr>
      <w:bookmarkStart w:id="9" w:name="_Toc195714671"/>
      <w:r w:rsidRPr="00FE3A13">
        <w:t>Procédure participative</w:t>
      </w:r>
      <w:bookmarkEnd w:id="9"/>
    </w:p>
    <w:p w14:paraId="42CF727D" w14:textId="5C35A8CA" w:rsidR="00D43D8A" w:rsidRPr="00FE3A13" w:rsidRDefault="00D43D8A" w:rsidP="00D43D8A">
      <w:pPr>
        <w:pStyle w:val="Corpsdetexte"/>
      </w:pPr>
      <w:r w:rsidRPr="00FE3A13">
        <w:t>Plutôt que de laisser à la D</w:t>
      </w:r>
      <w:r w:rsidR="00733B45" w:rsidRPr="00FE3A13">
        <w:t>irection des finances</w:t>
      </w:r>
      <w:r w:rsidRPr="00FE3A13">
        <w:t xml:space="preserve"> seule la responsabilité d’établir un programme </w:t>
      </w:r>
      <w:r w:rsidR="00733B45" w:rsidRPr="00FE3A13">
        <w:t xml:space="preserve">d’assainissement des finances de l’Etat </w:t>
      </w:r>
      <w:r w:rsidRPr="00FE3A13">
        <w:t xml:space="preserve">ou de confier </w:t>
      </w:r>
      <w:r w:rsidR="00733B45" w:rsidRPr="00FE3A13">
        <w:t>cette tâche</w:t>
      </w:r>
      <w:r w:rsidRPr="00FE3A13">
        <w:t xml:space="preserve"> à un mandataire externe, le C</w:t>
      </w:r>
      <w:r w:rsidR="00733B45" w:rsidRPr="00FE3A13">
        <w:t>onseil d’Etat</w:t>
      </w:r>
      <w:r w:rsidRPr="00FE3A13">
        <w:t xml:space="preserve"> a souhaité</w:t>
      </w:r>
      <w:r w:rsidR="00733B45" w:rsidRPr="00FE3A13">
        <w:t>, à l’instar de ce qui avait été fait pour les mesures structurelles et d’économies 2013-2016 (MSE) par exemple, recourir à une procédure participative</w:t>
      </w:r>
      <w:r w:rsidR="00B2596C" w:rsidRPr="00FE3A13">
        <w:t xml:space="preserve"> au sein de l’Etat</w:t>
      </w:r>
      <w:r w:rsidRPr="00FE3A13">
        <w:t>, impliquant un fort engagement de tout le gouvernement et de</w:t>
      </w:r>
      <w:r w:rsidR="00B2596C" w:rsidRPr="00FE3A13">
        <w:t xml:space="preserve"> l’administration</w:t>
      </w:r>
      <w:r w:rsidRPr="00FE3A13">
        <w:t>.</w:t>
      </w:r>
    </w:p>
    <w:p w14:paraId="65ED8AA6" w14:textId="4CF1E8F3" w:rsidR="004D2246" w:rsidRPr="00FE3A13" w:rsidRDefault="004D2246" w:rsidP="004D2246">
      <w:pPr>
        <w:pStyle w:val="Titre3"/>
      </w:pPr>
      <w:bookmarkStart w:id="10" w:name="_Toc195714672"/>
      <w:r w:rsidRPr="00FE3A13">
        <w:t>Propositions de mesures</w:t>
      </w:r>
      <w:bookmarkEnd w:id="10"/>
    </w:p>
    <w:p w14:paraId="548690E8" w14:textId="2979E026" w:rsidR="00733B45" w:rsidRPr="00FE3A13" w:rsidRDefault="00B15205" w:rsidP="00733B45">
      <w:pPr>
        <w:pStyle w:val="Corpsdetexte"/>
      </w:pPr>
      <w:r w:rsidRPr="00FE3A13">
        <w:t>Durant le mois d’octobre 2024, les Directions et la Chancellerie d’Etat ont été invitées à formuler des propositions de mesures pouvant s’appliquer aussi bien dans leur</w:t>
      </w:r>
      <w:r w:rsidR="0005606B" w:rsidRPr="00FE3A13">
        <w:t>s</w:t>
      </w:r>
      <w:r w:rsidRPr="00FE3A13">
        <w:t xml:space="preserve"> champs d’actions respectifs que dans les domaines relevant des compétences d’autres Directions. Des indications d’ordre général </w:t>
      </w:r>
      <w:r w:rsidR="0005606B" w:rsidRPr="00FE3A13">
        <w:t xml:space="preserve">et peu contraignantes </w:t>
      </w:r>
      <w:r w:rsidRPr="00FE3A13">
        <w:t xml:space="preserve">quant aux critères à respecter et aux axes d’intervention potentiels leur ont été fournies. Des listes récapitulant </w:t>
      </w:r>
      <w:r w:rsidR="0005606B" w:rsidRPr="00FE3A13">
        <w:t>l</w:t>
      </w:r>
      <w:r w:rsidRPr="00FE3A13">
        <w:t xml:space="preserve">es mesures prises dans le cadre de divers programmes d’économies antérieurs </w:t>
      </w:r>
      <w:r w:rsidR="0005606B" w:rsidRPr="00FE3A13">
        <w:t xml:space="preserve">ont également été transmises à titre exemplatif. </w:t>
      </w:r>
      <w:r w:rsidRPr="00FE3A13">
        <w:t>Les Directions ont en outre été invitées à associer leurs unités administrative</w:t>
      </w:r>
      <w:r w:rsidR="0005606B" w:rsidRPr="00FE3A13">
        <w:t>s</w:t>
      </w:r>
      <w:r w:rsidRPr="00FE3A13">
        <w:t xml:space="preserve"> à la</w:t>
      </w:r>
      <w:r w:rsidR="0005606B" w:rsidRPr="00FE3A13">
        <w:t xml:space="preserve"> réflexion. Cette démarche a abouti </w:t>
      </w:r>
      <w:r w:rsidR="009E2CAA">
        <w:t xml:space="preserve">à </w:t>
      </w:r>
      <w:r w:rsidR="0005606B" w:rsidRPr="00FE3A13">
        <w:t>la récol</w:t>
      </w:r>
      <w:r w:rsidR="006B10ED" w:rsidRPr="00FE3A13">
        <w:t>t</w:t>
      </w:r>
      <w:r w:rsidR="0005606B" w:rsidRPr="00FE3A13">
        <w:t>e de 305 propositions de mesures d’assainissement des finances de l’Etat. Elles ont par la suite été classées en quatre catégories, réunissant respectivement les mesures impliquant des revenus supplémentaires, les mesures concernant le personnel, les mesures ayant trait au subventionnement et des mesures disparates</w:t>
      </w:r>
      <w:r w:rsidR="00D43D7B" w:rsidRPr="00FE3A13">
        <w:t xml:space="preserve"> </w:t>
      </w:r>
      <w:r w:rsidR="0005606B" w:rsidRPr="00FE3A13">
        <w:t>réunies sous l’étiquette « projets et réformes ».</w:t>
      </w:r>
      <w:r w:rsidR="00CA56FB" w:rsidRPr="00FE3A13">
        <w:t xml:space="preserve"> Des recoupements et consolidation</w:t>
      </w:r>
      <w:r w:rsidR="009E2CAA">
        <w:t>s</w:t>
      </w:r>
      <w:r w:rsidR="00CA56FB" w:rsidRPr="00FE3A13">
        <w:t xml:space="preserve"> ont en outre été effectués entre certaines mesures présentant des analogies. Au final, 262 propositions ont été soumises à examen.</w:t>
      </w:r>
    </w:p>
    <w:p w14:paraId="273C5055" w14:textId="79C305FE" w:rsidR="004D2246" w:rsidRPr="00FE3A13" w:rsidRDefault="004D2246" w:rsidP="004D2246">
      <w:pPr>
        <w:pStyle w:val="Titre3"/>
      </w:pPr>
      <w:bookmarkStart w:id="11" w:name="_Toc195714673"/>
      <w:r w:rsidRPr="00FE3A13">
        <w:t>Groupe</w:t>
      </w:r>
      <w:r w:rsidR="003512EF" w:rsidRPr="00FE3A13">
        <w:t>s</w:t>
      </w:r>
      <w:r w:rsidRPr="00FE3A13">
        <w:t xml:space="preserve"> de travail</w:t>
      </w:r>
      <w:bookmarkEnd w:id="11"/>
    </w:p>
    <w:p w14:paraId="01BF157A" w14:textId="06D63B58" w:rsidR="004C1448" w:rsidRDefault="00D43D7B" w:rsidP="0005606B">
      <w:pPr>
        <w:pStyle w:val="Corpsdetexte"/>
      </w:pPr>
      <w:r w:rsidRPr="00FE3A13">
        <w:t>Quatre groupes de travail (GT), placés sous la présidence et la vice-présidence d’un membre du Conseil d’Etat et composés exclusivement de collaborateurs et de collaboratrices de l’Etat, ont été chargé</w:t>
      </w:r>
      <w:r w:rsidR="009E2CAA">
        <w:t>s</w:t>
      </w:r>
      <w:r w:rsidRPr="00FE3A13">
        <w:t xml:space="preserve"> d’examiner les propositions de mesures </w:t>
      </w:r>
      <w:r w:rsidR="00CA56FB" w:rsidRPr="00FE3A13">
        <w:t>consolidées</w:t>
      </w:r>
      <w:r w:rsidRPr="00FE3A13">
        <w:t>. Chaque groupe s’est vu attribuer une des catégories de mesures décrites précédemment.</w:t>
      </w:r>
      <w:r w:rsidR="004C1448">
        <w:t xml:space="preserve"> Le GT « revenus », a été présidé par le Directeur de la DIME </w:t>
      </w:r>
      <w:r w:rsidR="00C54BA7">
        <w:t>(vice-président</w:t>
      </w:r>
      <w:r w:rsidR="004C1448">
        <w:t xml:space="preserve"> Directeur de la DEEF</w:t>
      </w:r>
      <w:r w:rsidR="00C54BA7">
        <w:t>)</w:t>
      </w:r>
      <w:r w:rsidR="004C1448">
        <w:t xml:space="preserve">. Le GT « personnel » a été présidé par la Directrice de la DFAC </w:t>
      </w:r>
      <w:r w:rsidR="00C54BA7">
        <w:t>(</w:t>
      </w:r>
      <w:r w:rsidR="004C1448">
        <w:t>vice-présid</w:t>
      </w:r>
      <w:r w:rsidR="00C54BA7">
        <w:t>ent</w:t>
      </w:r>
      <w:r w:rsidR="004C1448">
        <w:t xml:space="preserve"> Directeur de la DFIN</w:t>
      </w:r>
      <w:r w:rsidR="00C54BA7">
        <w:t>)</w:t>
      </w:r>
      <w:r w:rsidR="004C1448">
        <w:t xml:space="preserve">. Le GT « subventionnement » a été présidé par le Directeur de la DIAF </w:t>
      </w:r>
      <w:r w:rsidR="00C54BA7">
        <w:t>(</w:t>
      </w:r>
      <w:r w:rsidR="004C1448">
        <w:t>vice-présid</w:t>
      </w:r>
      <w:r w:rsidR="00C54BA7">
        <w:t xml:space="preserve">ent </w:t>
      </w:r>
      <w:r w:rsidR="004C1448">
        <w:t>Directeur de la DSAS</w:t>
      </w:r>
      <w:r w:rsidR="00C54BA7">
        <w:t>)</w:t>
      </w:r>
      <w:r w:rsidR="004C1448">
        <w:t xml:space="preserve">. Le GT « projets et réformes » a été présidé par le Directeur </w:t>
      </w:r>
      <w:r w:rsidR="003C26CB">
        <w:t>de la D</w:t>
      </w:r>
      <w:r w:rsidR="004C1448">
        <w:t xml:space="preserve">FIN </w:t>
      </w:r>
      <w:r w:rsidR="00C54BA7">
        <w:t>(</w:t>
      </w:r>
      <w:r w:rsidR="004C1448">
        <w:t>vice-prési</w:t>
      </w:r>
      <w:r w:rsidR="00C54BA7">
        <w:t>dent</w:t>
      </w:r>
      <w:r w:rsidR="004C1448">
        <w:t xml:space="preserve"> Directeur de la DSJS</w:t>
      </w:r>
      <w:r w:rsidR="00C54BA7">
        <w:t>)</w:t>
      </w:r>
      <w:r w:rsidR="004C1448">
        <w:t>.</w:t>
      </w:r>
    </w:p>
    <w:p w14:paraId="074B78A8" w14:textId="4B5BE092" w:rsidR="0005606B" w:rsidRPr="00FE3A13" w:rsidRDefault="00D43D7B" w:rsidP="0005606B">
      <w:pPr>
        <w:pStyle w:val="Corpsdetexte"/>
      </w:pPr>
      <w:r w:rsidRPr="00FE3A13">
        <w:t>Les GT ont mené leurs travaux entre le début janvier et la mi-mars 2025.</w:t>
      </w:r>
      <w:r w:rsidR="00EC6922">
        <w:t xml:space="preserve"> Au total, 25 séances ont été tenues. De nombreux contacts bilatéraux ont en outre eu lieu entre certains membres des GT et les Directions et services concernés pas les</w:t>
      </w:r>
      <w:r w:rsidR="003C26CB">
        <w:t xml:space="preserve"> </w:t>
      </w:r>
      <w:r w:rsidR="00EC6922">
        <w:t>mesures analysées.</w:t>
      </w:r>
      <w:r w:rsidR="00D5733E" w:rsidRPr="00FE3A13">
        <w:t xml:space="preserve"> </w:t>
      </w:r>
      <w:r w:rsidR="00EC6922">
        <w:t>Les GT</w:t>
      </w:r>
      <w:r w:rsidR="00D5733E" w:rsidRPr="00FE3A13">
        <w:t xml:space="preserve"> étaient chargés de procéder à un examen approfondi des propositions, incluant une identification des travaux de mise en œuvre, une estimation des incidences financières et une évaluation des implications pour les communes. Les propositions des groupes de travail à l’attention du CE ont été formulées au moyen de rapport</w:t>
      </w:r>
      <w:r w:rsidR="00CA56FB" w:rsidRPr="00FE3A13">
        <w:t>s</w:t>
      </w:r>
      <w:r w:rsidR="00D5733E" w:rsidRPr="00FE3A13">
        <w:t xml:space="preserve"> récapitulatif</w:t>
      </w:r>
      <w:r w:rsidR="00CA56FB" w:rsidRPr="00FE3A13">
        <w:t>s</w:t>
      </w:r>
      <w:r w:rsidR="00D5733E" w:rsidRPr="00FE3A13">
        <w:t xml:space="preserve"> standardisé</w:t>
      </w:r>
      <w:r w:rsidR="00CA56FB" w:rsidRPr="00FE3A13">
        <w:t>s dont le contenu est largement repris dans le cadre du chapitre 4 du présent rapport</w:t>
      </w:r>
      <w:r w:rsidR="00D5733E" w:rsidRPr="00FE3A13">
        <w:t>.</w:t>
      </w:r>
    </w:p>
    <w:p w14:paraId="7D4C814F" w14:textId="4D6049D0" w:rsidR="004D2246" w:rsidRPr="00FE3A13" w:rsidRDefault="003512EF" w:rsidP="004D2246">
      <w:pPr>
        <w:pStyle w:val="Titre3"/>
      </w:pPr>
      <w:bookmarkStart w:id="12" w:name="_Toc195714674"/>
      <w:r w:rsidRPr="00FE3A13">
        <w:t>Sélection</w:t>
      </w:r>
      <w:r w:rsidR="004D2246" w:rsidRPr="00FE3A13">
        <w:t xml:space="preserve"> des mesures</w:t>
      </w:r>
      <w:bookmarkEnd w:id="12"/>
    </w:p>
    <w:p w14:paraId="61ABF4F8" w14:textId="272BAB70" w:rsidR="00C70EFC" w:rsidRPr="00FE3A13" w:rsidRDefault="00AA700C" w:rsidP="00AA700C">
      <w:pPr>
        <w:pStyle w:val="Corpsdetexte"/>
      </w:pPr>
      <w:r w:rsidRPr="00FE3A13">
        <w:t>Après avoir pris connaissance des mesures proposées par les Directions et la Chancellerie et de leur répartition en quatre catégories lors de sa séance du 3 décembre 2024, le Conseil d’Etat a échangé régulièrement de manière informelle sur le sujet et a procédé à des points de situation intermédiaires lors de ses séances du 28 janvier et 25 février 2025</w:t>
      </w:r>
      <w:r w:rsidR="00927DA9" w:rsidRPr="00FE3A13">
        <w:t>. A ces occasions, tout en étant conscient que les travaux étaient encore en cours, il a pris acte de listes récapitulant les mesures que les GT proposaient d’ores et déjà d’abandonner ou de conserver pour des examens complémentaires et une mise en œuvre au-delà de la période couverte par le plan financier actualisé. Après ce premier tri, le Conseil d’Etat s’est focalisé sur les mesures</w:t>
      </w:r>
      <w:r w:rsidR="00C70EFC" w:rsidRPr="00FE3A13">
        <w:t xml:space="preserve"> véritablement susceptibles d’être mise en œuvre dès 2026, voire à partir de 2027 ou 2028, et en a arrêté la liste lors de s</w:t>
      </w:r>
      <w:r w:rsidR="00F70408" w:rsidRPr="00FE3A13">
        <w:t>es</w:t>
      </w:r>
      <w:r w:rsidR="00C70EFC" w:rsidRPr="00FE3A13">
        <w:t xml:space="preserve"> séance</w:t>
      </w:r>
      <w:r w:rsidR="00F70408" w:rsidRPr="00FE3A13">
        <w:t>s</w:t>
      </w:r>
      <w:r w:rsidR="00C70EFC" w:rsidRPr="00FE3A13">
        <w:t xml:space="preserve"> du 24 mars</w:t>
      </w:r>
      <w:r w:rsidR="00F70408" w:rsidRPr="00FE3A13">
        <w:t xml:space="preserve"> et du 1</w:t>
      </w:r>
      <w:r w:rsidR="00F70408" w:rsidRPr="00FE3A13">
        <w:rPr>
          <w:vertAlign w:val="superscript"/>
        </w:rPr>
        <w:t>er</w:t>
      </w:r>
      <w:r w:rsidR="00F70408" w:rsidRPr="00FE3A13">
        <w:t xml:space="preserve"> avril</w:t>
      </w:r>
      <w:r w:rsidR="00C70EFC" w:rsidRPr="00FE3A13">
        <w:t xml:space="preserve"> 2025.</w:t>
      </w:r>
      <w:r w:rsidR="00CA56FB" w:rsidRPr="00FE3A13">
        <w:t xml:space="preserve"> </w:t>
      </w:r>
      <w:r w:rsidR="003905FA" w:rsidRPr="00FE3A13">
        <w:t>Il a précisé et confirmé ses choix lors de</w:t>
      </w:r>
      <w:r w:rsidR="0030604F">
        <w:t>s</w:t>
      </w:r>
      <w:r w:rsidR="003905FA" w:rsidRPr="00FE3A13">
        <w:t xml:space="preserve"> séance</w:t>
      </w:r>
      <w:r w:rsidR="00275F77">
        <w:t>s</w:t>
      </w:r>
      <w:r w:rsidR="003905FA" w:rsidRPr="00FE3A13">
        <w:t xml:space="preserve"> d</w:t>
      </w:r>
      <w:r w:rsidR="0030604F">
        <w:t>es</w:t>
      </w:r>
      <w:r w:rsidR="003905FA" w:rsidRPr="00FE3A13">
        <w:t xml:space="preserve"> 8 avril</w:t>
      </w:r>
      <w:r w:rsidR="0030604F">
        <w:t xml:space="preserve"> et 15 avril</w:t>
      </w:r>
      <w:r w:rsidR="003905FA" w:rsidRPr="00FE3A13">
        <w:t xml:space="preserve"> 2025, durant l</w:t>
      </w:r>
      <w:r w:rsidR="0030604F">
        <w:t>es</w:t>
      </w:r>
      <w:r w:rsidR="003905FA" w:rsidRPr="00FE3A13">
        <w:t>quelle</w:t>
      </w:r>
      <w:r w:rsidR="0030604F">
        <w:t>s</w:t>
      </w:r>
      <w:r w:rsidR="003905FA" w:rsidRPr="00FE3A13">
        <w:t xml:space="preserve"> il a également adopté l’intégralité du dossier mis en consultation.</w:t>
      </w:r>
    </w:p>
    <w:p w14:paraId="7E3D308F" w14:textId="40A46868" w:rsidR="004D2246" w:rsidRPr="00FE3A13" w:rsidRDefault="004D2246" w:rsidP="004D2246">
      <w:pPr>
        <w:pStyle w:val="Titre2"/>
      </w:pPr>
      <w:bookmarkStart w:id="13" w:name="_Toc195714675"/>
      <w:r w:rsidRPr="00FE3A13">
        <w:lastRenderedPageBreak/>
        <w:t>Objectifs retenus</w:t>
      </w:r>
      <w:bookmarkEnd w:id="13"/>
    </w:p>
    <w:p w14:paraId="4E0E9553" w14:textId="15B4A2F2" w:rsidR="00DC0DF8" w:rsidRPr="00FE3A13" w:rsidRDefault="00DC0DF8" w:rsidP="00DC0DF8">
      <w:pPr>
        <w:pStyle w:val="Corpsdetexte"/>
      </w:pPr>
      <w:r w:rsidRPr="00FE3A13">
        <w:t>Le PAFE vise, d’une manière générale, à améliorer les perspectives financières de l’Etat. Cet objectif ainsi que la manière de l’atteindre ont été précisés par le Conseil d’Etat lors de sa séance du 10 décembre 2024. Les principes suivants ont été retenus à cette occasion pour la suite des travaux :</w:t>
      </w:r>
    </w:p>
    <w:p w14:paraId="20838119" w14:textId="583A83F7" w:rsidR="00DC0DF8" w:rsidRPr="00FE3A13" w:rsidRDefault="00DC0DF8" w:rsidP="00DC0DF8">
      <w:pPr>
        <w:pStyle w:val="Listepuces1"/>
      </w:pPr>
      <w:r w:rsidRPr="00FE3A13">
        <w:t>au moins 150 millions de francs d’améliorations annuelles en moyenne,</w:t>
      </w:r>
    </w:p>
    <w:p w14:paraId="1D2B035F" w14:textId="32C5664F" w:rsidR="00DC0DF8" w:rsidRPr="00FE3A13" w:rsidRDefault="00DC0DF8" w:rsidP="00DC0DF8">
      <w:pPr>
        <w:pStyle w:val="Listepuces1"/>
      </w:pPr>
      <w:r w:rsidRPr="00FE3A13">
        <w:t>70 % de l’objectif à atteindre par une diminution de dépenses,</w:t>
      </w:r>
    </w:p>
    <w:p w14:paraId="4E84DCD3" w14:textId="684253D8" w:rsidR="00DC0DF8" w:rsidRPr="00FE3A13" w:rsidRDefault="00DC0DF8" w:rsidP="00DC0DF8">
      <w:pPr>
        <w:pStyle w:val="Listepuces1"/>
      </w:pPr>
      <w:r w:rsidRPr="00FE3A13">
        <w:t>30 % de l’objectif à atteindre par une augmentation de recettes,</w:t>
      </w:r>
    </w:p>
    <w:p w14:paraId="7332B438" w14:textId="66E6A4EF" w:rsidR="00DC0DF8" w:rsidRPr="00FE3A13" w:rsidRDefault="00DC0DF8" w:rsidP="00DC0DF8">
      <w:pPr>
        <w:pStyle w:val="Listepuces1"/>
      </w:pPr>
      <w:r w:rsidRPr="00FE3A13">
        <w:t>viser une répartition équitable de l’effort demandé entre les domaines de tâches,</w:t>
      </w:r>
    </w:p>
    <w:p w14:paraId="704E466B" w14:textId="751D6351" w:rsidR="00F46ECB" w:rsidRPr="00FE3A13" w:rsidRDefault="00DC0DF8" w:rsidP="0038006E">
      <w:pPr>
        <w:pStyle w:val="Listepuces1"/>
      </w:pPr>
      <w:r w:rsidRPr="00FE3A13">
        <w:t>ne laisser aucun sujet de côté (pas de tabou) et impliquer toutes les Direction</w:t>
      </w:r>
      <w:r w:rsidR="001D5942" w:rsidRPr="00FE3A13">
        <w:t>s.</w:t>
      </w:r>
    </w:p>
    <w:p w14:paraId="3D1DF13B" w14:textId="4AF1B08C" w:rsidR="003512EF" w:rsidRPr="00FE3A13" w:rsidRDefault="003512EF" w:rsidP="003512EF">
      <w:pPr>
        <w:pStyle w:val="Titre2"/>
      </w:pPr>
      <w:bookmarkStart w:id="14" w:name="_Toc195714676"/>
      <w:r w:rsidRPr="00FE3A13">
        <w:t>Mesures abandonnées ou r</w:t>
      </w:r>
      <w:r w:rsidR="00BB1749" w:rsidRPr="00FE3A13">
        <w:t>emises à plus tard</w:t>
      </w:r>
      <w:bookmarkEnd w:id="14"/>
    </w:p>
    <w:p w14:paraId="6AED5593" w14:textId="584A806A" w:rsidR="003512EF" w:rsidRPr="00FE3A13" w:rsidRDefault="003512EF" w:rsidP="003512EF">
      <w:pPr>
        <w:pStyle w:val="Titre3"/>
      </w:pPr>
      <w:bookmarkStart w:id="15" w:name="_Toc195714677"/>
      <w:r w:rsidRPr="00FE3A13">
        <w:t>Mesures abandonnées</w:t>
      </w:r>
      <w:bookmarkEnd w:id="15"/>
    </w:p>
    <w:p w14:paraId="66E56769" w14:textId="6FD3ADE7" w:rsidR="003905FA" w:rsidRPr="00FE3A13" w:rsidRDefault="0054148C" w:rsidP="003905FA">
      <w:pPr>
        <w:pStyle w:val="Corpsdetexte"/>
      </w:pPr>
      <w:r w:rsidRPr="00FE3A13">
        <w:t>L</w:t>
      </w:r>
      <w:r w:rsidR="003905FA" w:rsidRPr="00FE3A13">
        <w:t>es groupes de travail ont proposé au Conseil d’Etat</w:t>
      </w:r>
      <w:r w:rsidRPr="00FE3A13">
        <w:t xml:space="preserve"> d’abandonner </w:t>
      </w:r>
      <w:r w:rsidR="00174370" w:rsidRPr="00FE3A13">
        <w:t>une centaine</w:t>
      </w:r>
      <w:r w:rsidRPr="00FE3A13">
        <w:t xml:space="preserve"> des mesures qu’ils ont examinées, pour des raisons diverses et multiples. Dans leurs explications, les groupes de travail ont par exemple émis des doute</w:t>
      </w:r>
      <w:r w:rsidR="002557C3" w:rsidRPr="00FE3A13">
        <w:t>s</w:t>
      </w:r>
      <w:r w:rsidRPr="00FE3A13">
        <w:t xml:space="preserve"> quant à l’impact réel des mesures proposées</w:t>
      </w:r>
      <w:r w:rsidR="009F0BFA" w:rsidRPr="00FE3A13">
        <w:t xml:space="preserve"> (potentiel d’économie trop faible, effets secondaires coûteux)</w:t>
      </w:r>
      <w:r w:rsidRPr="00FE3A13">
        <w:t xml:space="preserve">, ont mis en évidence des problèmes majeurs d’applicabilité (pour des raisons techniques ou de compatibilité avec les bases légales fédérales), </w:t>
      </w:r>
      <w:r w:rsidR="009F0BFA" w:rsidRPr="00FE3A13">
        <w:t>ont constaté que certains domaines concernés avaient déjà récemment fait l’objet de mesure</w:t>
      </w:r>
      <w:r w:rsidR="001D54E7" w:rsidRPr="00FE3A13">
        <w:t>s</w:t>
      </w:r>
      <w:r w:rsidR="009F0BFA" w:rsidRPr="00FE3A13">
        <w:t xml:space="preserve"> restrictive</w:t>
      </w:r>
      <w:r w:rsidR="001D54E7" w:rsidRPr="00FE3A13">
        <w:t>s</w:t>
      </w:r>
      <w:r w:rsidR="009F0BFA" w:rsidRPr="00FE3A13">
        <w:t>, ont considéré que certains ajustement</w:t>
      </w:r>
      <w:r w:rsidR="001D54E7" w:rsidRPr="00FE3A13">
        <w:t>s</w:t>
      </w:r>
      <w:r w:rsidR="009F0BFA" w:rsidRPr="00FE3A13">
        <w:t xml:space="preserve"> évoqué</w:t>
      </w:r>
      <w:r w:rsidR="001D54E7" w:rsidRPr="00FE3A13">
        <w:t>s</w:t>
      </w:r>
      <w:r w:rsidR="009F0BFA" w:rsidRPr="00FE3A13">
        <w:t xml:space="preserve"> relevaient plutôt de la procédure budgétaire ordinaire que d’un plan d’assainissement, ont soulevé des questions d’égalité de traitement, ont déploré des impacts</w:t>
      </w:r>
      <w:r w:rsidR="001D54E7" w:rsidRPr="00FE3A13">
        <w:t xml:space="preserve"> potentiels</w:t>
      </w:r>
      <w:r w:rsidR="009F0BFA" w:rsidRPr="00FE3A13">
        <w:t xml:space="preserve"> trop importants sur la qualité des prestations</w:t>
      </w:r>
      <w:r w:rsidR="001D54E7" w:rsidRPr="00FE3A13">
        <w:t xml:space="preserve"> de l’Etat ou ont </w:t>
      </w:r>
      <w:r w:rsidR="00C25FB8" w:rsidRPr="00FE3A13">
        <w:t xml:space="preserve">encore </w:t>
      </w:r>
      <w:r w:rsidR="001D54E7" w:rsidRPr="00FE3A13">
        <w:t>estimé que certaine</w:t>
      </w:r>
      <w:r w:rsidR="002557C3" w:rsidRPr="00FE3A13">
        <w:t>s</w:t>
      </w:r>
      <w:r w:rsidR="001D54E7" w:rsidRPr="00FE3A13">
        <w:t xml:space="preserve"> mesures présentai</w:t>
      </w:r>
      <w:r w:rsidR="002557C3" w:rsidRPr="00FE3A13">
        <w:t>en</w:t>
      </w:r>
      <w:r w:rsidR="001D54E7" w:rsidRPr="00FE3A13">
        <w:t>t un caractère illusoire d’un point de vue politique.</w:t>
      </w:r>
    </w:p>
    <w:p w14:paraId="0D0361E7" w14:textId="79EDB158" w:rsidR="003512EF" w:rsidRPr="00FE3A13" w:rsidRDefault="003512EF" w:rsidP="003512EF">
      <w:pPr>
        <w:pStyle w:val="Titre3"/>
      </w:pPr>
      <w:bookmarkStart w:id="16" w:name="_Toc195714678"/>
      <w:r w:rsidRPr="00FE3A13">
        <w:t xml:space="preserve">Mesures </w:t>
      </w:r>
      <w:r w:rsidR="00BB1749" w:rsidRPr="00FE3A13">
        <w:t>remises à plus tard</w:t>
      </w:r>
      <w:bookmarkEnd w:id="16"/>
    </w:p>
    <w:p w14:paraId="51CDB055" w14:textId="59615155" w:rsidR="001D54E7" w:rsidRPr="00FE3A13" w:rsidRDefault="00D2385F" w:rsidP="001D54E7">
      <w:pPr>
        <w:pStyle w:val="Corpsdetexte"/>
      </w:pPr>
      <w:r w:rsidRPr="00FE3A13">
        <w:t xml:space="preserve">Les groupes de travail ont considéré que certaines mesures, au nombre de 44, présentaient à première vue un intérêt certain mais ne pourraient pas être </w:t>
      </w:r>
      <w:r w:rsidR="00491592" w:rsidRPr="00FE3A13">
        <w:t>concrétisées</w:t>
      </w:r>
      <w:r w:rsidRPr="00FE3A13">
        <w:t xml:space="preserve"> dans l’horizon temporel du PAFE, à savoir la période 2026-2028. Ils ont proposé que ces mesures soient retenues pour faire l’objet d’examens complémentaires en vue d’une éventuelle mise en œuvre ultérieure. Par simplification, ces mesures peuvent être décrite</w:t>
      </w:r>
      <w:r w:rsidR="00BB1749" w:rsidRPr="00FE3A13">
        <w:t>s</w:t>
      </w:r>
      <w:r w:rsidRPr="00FE3A13">
        <w:t xml:space="preserve"> comme </w:t>
      </w:r>
      <w:r w:rsidR="00BB1749" w:rsidRPr="00FE3A13">
        <w:t>étant</w:t>
      </w:r>
      <w:r w:rsidRPr="00FE3A13">
        <w:t xml:space="preserve"> </w:t>
      </w:r>
      <w:r w:rsidR="00491592" w:rsidRPr="00FE3A13">
        <w:t>« </w:t>
      </w:r>
      <w:r w:rsidRPr="00FE3A13">
        <w:t>remises à plus tard</w:t>
      </w:r>
      <w:r w:rsidR="00491592" w:rsidRPr="00FE3A13">
        <w:t> »</w:t>
      </w:r>
      <w:r w:rsidRPr="00FE3A13">
        <w:t>.</w:t>
      </w:r>
      <w:r w:rsidR="00BB1749" w:rsidRPr="00FE3A13">
        <w:t xml:space="preserve"> Elles concernent le plus souvent des propositions transversales impactant plusieurs Direction</w:t>
      </w:r>
      <w:r w:rsidR="00F338BB" w:rsidRPr="00FE3A13">
        <w:t>s</w:t>
      </w:r>
      <w:r w:rsidR="00BB1749" w:rsidRPr="00FE3A13">
        <w:t xml:space="preserve"> et impliquant des adaptations stratégiques</w:t>
      </w:r>
      <w:r w:rsidR="00F338BB" w:rsidRPr="00FE3A13">
        <w:t>, voire</w:t>
      </w:r>
      <w:r w:rsidR="00BB1749" w:rsidRPr="00FE3A13">
        <w:t xml:space="preserve"> des modifications en profondeur de certaines politiques de l’Etat. Elles nécessitent de procéder à des analyses approfondies de leur applicabilité et des incidences directes et indirectes qu’elles pourraient engendrer</w:t>
      </w:r>
      <w:r w:rsidR="00491592" w:rsidRPr="00FE3A13">
        <w:t xml:space="preserve"> avant que des décisions quant à leur éventuelle mise en œuvre puissent être prises. Il serait prématuré d’évoquer ces mesures de manière plus détaillée dans le cadre de ce rapport.</w:t>
      </w:r>
    </w:p>
    <w:p w14:paraId="78FEB8D4" w14:textId="19610BD3" w:rsidR="003512EF" w:rsidRPr="00FE3A13" w:rsidRDefault="003512EF" w:rsidP="003512EF">
      <w:pPr>
        <w:pStyle w:val="Titre3"/>
      </w:pPr>
      <w:bookmarkStart w:id="17" w:name="_Toc195714679"/>
      <w:r w:rsidRPr="00FE3A13">
        <w:t>Examens complémentaires ultérieurs</w:t>
      </w:r>
      <w:bookmarkEnd w:id="17"/>
    </w:p>
    <w:p w14:paraId="1738D7C6" w14:textId="726C7576" w:rsidR="00E27C25" w:rsidRPr="00FE3A13" w:rsidRDefault="00E27C25" w:rsidP="00E27C25">
      <w:pPr>
        <w:pStyle w:val="Corpsdetexte"/>
      </w:pPr>
      <w:r w:rsidRPr="00FE3A13">
        <w:t xml:space="preserve">Les examens complémentaires à effectuer pour les mesures évoquées dans la section précédente nécessiteront probablement la mise en place de nouveaux groupes de travail au sein de l’administration cantonale et éventuellement le recours à des mandataires externes pour éclaircir certains points. Ces travaux seront initiés au plus tôt dans le courant de l’année 2026, en tentant compte de la mise en œuvre des mesures qui </w:t>
      </w:r>
      <w:r w:rsidR="004D167E" w:rsidRPr="00FE3A13">
        <w:t xml:space="preserve">auront été retenues dans le cadre du PAFE, </w:t>
      </w:r>
      <w:r w:rsidRPr="00FE3A13">
        <w:t>de la disponibilité du personnel de l’Etat et de l’évolution de la situation financière.</w:t>
      </w:r>
      <w:r w:rsidR="004D167E" w:rsidRPr="00FE3A13">
        <w:t xml:space="preserve"> Le Conseil d’Etat procédera à des points de situation réguliers, prendra les mesures</w:t>
      </w:r>
      <w:r w:rsidR="005E2E4F" w:rsidRPr="00FE3A13">
        <w:t xml:space="preserve"> complémentaires de sa compétence</w:t>
      </w:r>
      <w:r w:rsidR="004D167E" w:rsidRPr="00FE3A13">
        <w:t xml:space="preserve"> </w:t>
      </w:r>
      <w:r w:rsidR="005E2E4F" w:rsidRPr="00FE3A13">
        <w:t>qui s’avéreraient nécessaire</w:t>
      </w:r>
      <w:r w:rsidR="00D4566E">
        <w:t>s</w:t>
      </w:r>
      <w:r w:rsidR="004D167E" w:rsidRPr="00FE3A13">
        <w:t xml:space="preserve"> </w:t>
      </w:r>
      <w:r w:rsidR="005E2E4F" w:rsidRPr="00FE3A13">
        <w:t xml:space="preserve">dans le cadre de le procédure budgétaire ordinaire </w:t>
      </w:r>
      <w:r w:rsidR="004D167E" w:rsidRPr="00FE3A13">
        <w:t>et formulera au besoin de nouvelles propositions</w:t>
      </w:r>
      <w:r w:rsidR="005E2E4F" w:rsidRPr="00FE3A13">
        <w:t xml:space="preserve"> de modifications légales</w:t>
      </w:r>
      <w:r w:rsidR="004D167E" w:rsidRPr="00FE3A13">
        <w:t xml:space="preserve"> au Grand Conseil le moment venu.</w:t>
      </w:r>
    </w:p>
    <w:p w14:paraId="461FA5C9" w14:textId="1723EA29" w:rsidR="00842B56" w:rsidRPr="00FE3A13" w:rsidRDefault="009877D1" w:rsidP="009877D1">
      <w:pPr>
        <w:pStyle w:val="Titre1"/>
      </w:pPr>
      <w:bookmarkStart w:id="18" w:name="_Toc195714680"/>
      <w:r w:rsidRPr="00FE3A13">
        <w:t>Programme de mesures</w:t>
      </w:r>
      <w:bookmarkEnd w:id="18"/>
    </w:p>
    <w:p w14:paraId="64EAEF99" w14:textId="77777777" w:rsidR="009877D1" w:rsidRDefault="009877D1" w:rsidP="009877D1">
      <w:pPr>
        <w:pStyle w:val="Tiret"/>
      </w:pP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t>—</w:t>
      </w:r>
    </w:p>
    <w:p w14:paraId="0B21C820" w14:textId="624E8274" w:rsidR="00813776" w:rsidRPr="00813776" w:rsidRDefault="00813776" w:rsidP="00CF6A23">
      <w:pPr>
        <w:pStyle w:val="Corpsdetexte"/>
      </w:pPr>
      <w:r>
        <w:t>Le programme de mesures proposé par le Conseil d’Etat est présenté dans le cadre de ce chapitre. Après quelques indications d’ordre statistique, une distinction est faite entre les mesures rel</w:t>
      </w:r>
      <w:r w:rsidR="005A2859">
        <w:t>e</w:t>
      </w:r>
      <w:r>
        <w:t xml:space="preserve">vant du Conseil d’Etat et celles entrant </w:t>
      </w:r>
      <w:r>
        <w:lastRenderedPageBreak/>
        <w:t>dans le champ de compétence</w:t>
      </w:r>
      <w:r w:rsidR="005A2859">
        <w:t>s</w:t>
      </w:r>
      <w:r>
        <w:t xml:space="preserve"> du Grand Conseil. Ces dernières et les modifications légales qu’elles impliquent sont décrites de manière plus détaillée dans le cadre du chapitre 6. A quelques exceptions près, les mesures de la compétence du Conseil d’Etat seront appliquées dès 2026</w:t>
      </w:r>
      <w:r w:rsidR="005A2859">
        <w:t>. Il en ira de même pour la plupart des mesures de la compétence du Grand Conseil. Les mesures faisant exception</w:t>
      </w:r>
      <w:r w:rsidR="00295E00">
        <w:t xml:space="preserve"> seront mises en œuvre</w:t>
      </w:r>
      <w:r w:rsidR="005A2859">
        <w:t xml:space="preserve"> à partir de 2027</w:t>
      </w:r>
      <w:r w:rsidR="00295E00">
        <w:t>.</w:t>
      </w:r>
      <w:r w:rsidR="00F7244D">
        <w:t xml:space="preserve"> L’existence d’un éventuel</w:t>
      </w:r>
      <w:r w:rsidR="00295E00">
        <w:t xml:space="preserve"> décalage temporel dans l’application est</w:t>
      </w:r>
      <w:r w:rsidR="00F7244D">
        <w:t xml:space="preserve"> </w:t>
      </w:r>
      <w:r w:rsidR="00DC156C">
        <w:t>indiqué</w:t>
      </w:r>
      <w:r w:rsidR="00D4566E">
        <w:t>e</w:t>
      </w:r>
      <w:r w:rsidR="00F7244D">
        <w:t xml:space="preserve"> dans l</w:t>
      </w:r>
      <w:r w:rsidR="00862EBB">
        <w:t>e</w:t>
      </w:r>
      <w:r w:rsidR="00F7244D">
        <w:t xml:space="preserve"> bref commentaire consacré à chaque mesure.</w:t>
      </w:r>
    </w:p>
    <w:p w14:paraId="03CCCB1C" w14:textId="09005174" w:rsidR="009877D1" w:rsidRPr="00FE3A13" w:rsidRDefault="009877D1" w:rsidP="009877D1">
      <w:pPr>
        <w:pStyle w:val="Titre2"/>
      </w:pPr>
      <w:bookmarkStart w:id="19" w:name="_Toc195714681"/>
      <w:r w:rsidRPr="00FE3A13">
        <w:t>Informations d’ordre statistique</w:t>
      </w:r>
      <w:bookmarkEnd w:id="19"/>
    </w:p>
    <w:p w14:paraId="2DA044CB" w14:textId="00A60B3F" w:rsidR="00431C6C" w:rsidRPr="00FE3A13" w:rsidRDefault="00431C6C" w:rsidP="00431C6C">
      <w:pPr>
        <w:pStyle w:val="Corpsdetexte"/>
      </w:pPr>
      <w:r w:rsidRPr="00FE3A13">
        <w:t xml:space="preserve">Dans la phase de finalisation du projet, le Conseil d’Etat a décidé de renoncer à </w:t>
      </w:r>
      <w:r w:rsidR="0038006E" w:rsidRPr="00FE3A13">
        <w:t>6</w:t>
      </w:r>
      <w:r w:rsidRPr="00FE3A13">
        <w:t xml:space="preserve"> mesures complémentaires par rapport aux propositions qui lui avaient été faites par les groupes de travail (cf. section 3.3.1). Il a en outre </w:t>
      </w:r>
      <w:r w:rsidR="00174370" w:rsidRPr="00FE3A13">
        <w:t>adapté légèrement</w:t>
      </w:r>
      <w:r w:rsidRPr="00FE3A13">
        <w:t xml:space="preserve"> la liste des mesures nécessitant des examens complémentaires en vue d’une mise en œuvre au-delà de l’horizon temporal du PAFE (cf. section 3.3.2). Au total, le programme d’assainissement des finances de l’Etat proposé est composé de</w:t>
      </w:r>
      <w:r w:rsidR="00174370" w:rsidRPr="00FE3A13">
        <w:t xml:space="preserve"> 97</w:t>
      </w:r>
      <w:r w:rsidRPr="00FE3A13">
        <w:t xml:space="preserve"> mesures</w:t>
      </w:r>
      <w:r w:rsidR="00755A2B" w:rsidRPr="00FE3A13">
        <w:t xml:space="preserve"> pouvant être mise</w:t>
      </w:r>
      <w:r w:rsidR="00174370" w:rsidRPr="00FE3A13">
        <w:t>s</w:t>
      </w:r>
      <w:r w:rsidR="00755A2B" w:rsidRPr="00FE3A13">
        <w:t xml:space="preserve"> en œuvre dès 2026 pour l’essentiel et à partir de 2027 dans </w:t>
      </w:r>
      <w:r w:rsidR="00174370" w:rsidRPr="00FE3A13">
        <w:t>une douzaine</w:t>
      </w:r>
      <w:r w:rsidR="00CF1C32" w:rsidRPr="00FE3A13">
        <w:t xml:space="preserve"> de</w:t>
      </w:r>
      <w:r w:rsidR="00755A2B" w:rsidRPr="00FE3A13">
        <w:t xml:space="preserve"> cas.</w:t>
      </w:r>
    </w:p>
    <w:p w14:paraId="085C6410" w14:textId="00F2B23A" w:rsidR="00755A2B" w:rsidRPr="00FE3A13" w:rsidRDefault="00755A2B" w:rsidP="00431C6C">
      <w:pPr>
        <w:pStyle w:val="Corpsdetexte"/>
      </w:pPr>
      <w:r w:rsidRPr="00FE3A13">
        <w:t>Parmi les</w:t>
      </w:r>
      <w:r w:rsidR="00A26484" w:rsidRPr="00FE3A13">
        <w:t xml:space="preserve"> </w:t>
      </w:r>
      <w:r w:rsidR="00CF1C32" w:rsidRPr="00FE3A13">
        <w:t>97</w:t>
      </w:r>
      <w:r w:rsidRPr="00FE3A13">
        <w:t xml:space="preserve"> mesures retenues, 11 mesures s’avèrent nécessaires pour </w:t>
      </w:r>
      <w:r w:rsidR="005A2859">
        <w:t>ne pas péjorer le</w:t>
      </w:r>
      <w:r w:rsidRPr="00FE3A13">
        <w:t xml:space="preserve"> plan financier </w:t>
      </w:r>
      <w:r w:rsidR="00A26484" w:rsidRPr="00FE3A13">
        <w:t xml:space="preserve">dans sa version actualisée </w:t>
      </w:r>
      <w:r w:rsidRPr="00FE3A13">
        <w:t>pour les années 2026-2028</w:t>
      </w:r>
      <w:r w:rsidR="00A26484" w:rsidRPr="00FE3A13">
        <w:t xml:space="preserve">. Cette version, adoptée par le Conseil d’Etat en décembre 2024 et dont le Grand Conseil a pris acte lors de sa session de mars 2025, intégrait déjà </w:t>
      </w:r>
      <w:r w:rsidRPr="00FE3A13">
        <w:t>un certain nombre de réductions générales dont les modalités de mise en œuvre restaient à préciser. Le</w:t>
      </w:r>
      <w:r w:rsidR="00CF1C32" w:rsidRPr="00FE3A13">
        <w:t>s</w:t>
      </w:r>
      <w:r w:rsidRPr="00FE3A13">
        <w:t xml:space="preserve"> </w:t>
      </w:r>
      <w:r w:rsidR="00CF1C32" w:rsidRPr="00FE3A13">
        <w:t>86</w:t>
      </w:r>
      <w:r w:rsidRPr="00FE3A13">
        <w:t xml:space="preserve"> mesures restantes induisent une véritable amélioration par rapport aux résultats de plan financier</w:t>
      </w:r>
      <w:r w:rsidR="00A26484" w:rsidRPr="00FE3A13">
        <w:t xml:space="preserve">, qui ont été </w:t>
      </w:r>
      <w:r w:rsidRPr="00FE3A13">
        <w:t>résumés dans le cadre de la section 2.</w:t>
      </w:r>
      <w:r w:rsidR="00D4566E">
        <w:t>4</w:t>
      </w:r>
      <w:r w:rsidRPr="00FE3A13">
        <w:t>.</w:t>
      </w:r>
    </w:p>
    <w:p w14:paraId="7588DE31" w14:textId="74FFD0CB" w:rsidR="003F553C" w:rsidRDefault="003F553C" w:rsidP="00431C6C">
      <w:pPr>
        <w:pStyle w:val="Corpsdetexte"/>
      </w:pPr>
      <w:r w:rsidRPr="00FE3A13">
        <w:t>Chacune des mesures retenues par le Conseil d’Etat fait l’objet d’une brève présentation dans le cadre des sections suivantes. Une distinction est</w:t>
      </w:r>
      <w:r w:rsidR="00B2641F" w:rsidRPr="00FE3A13">
        <w:t xml:space="preserve"> faite entre les mesures relevant de la compétence du Conseil d’Etat, au nombre de </w:t>
      </w:r>
      <w:r w:rsidR="00813776">
        <w:t>69</w:t>
      </w:r>
      <w:r w:rsidR="00B2641F" w:rsidRPr="00FE3A13">
        <w:t xml:space="preserve">, et celles relevant de la compétence du Grand Conseil, au nombre de </w:t>
      </w:r>
      <w:r w:rsidR="00813776">
        <w:t>28</w:t>
      </w:r>
      <w:r w:rsidR="00B2641F" w:rsidRPr="00FE3A13">
        <w:t>. Il est de plus systématiquement procédé à une répartition entre les catégories de mesures évoquées précédemment, en distinguant les mesures portant sur les revenus, sur le personnel, sur le subventionnement ou relevant de projets et réformes.</w:t>
      </w:r>
    </w:p>
    <w:p w14:paraId="64F1E717" w14:textId="77777777" w:rsidR="00E31F9D" w:rsidRPr="00FE3A13" w:rsidRDefault="00E31F9D" w:rsidP="00E31F9D">
      <w:pPr>
        <w:pStyle w:val="Titre2"/>
      </w:pPr>
      <w:bookmarkStart w:id="20" w:name="_Toc195714682"/>
      <w:r w:rsidRPr="00FE3A13">
        <w:t>Mesures de la compétence du Grand Conseil</w:t>
      </w:r>
      <w:bookmarkEnd w:id="20"/>
    </w:p>
    <w:p w14:paraId="2F3B50BF" w14:textId="77777777" w:rsidR="00E31F9D" w:rsidRPr="00FE3A13" w:rsidRDefault="00E31F9D" w:rsidP="00E31F9D">
      <w:pPr>
        <w:pStyle w:val="Corpsdetexte"/>
      </w:pPr>
      <w:r w:rsidRPr="00FE3A13">
        <w:t xml:space="preserve">28 mesures proposées par le Conseil d’Etat nécessitent une modification légale et sont donc de la compétence du Grand Conseil. Elles sont énumérées brièvement dans le cadre de cette section avant de faire l’objet d’une présentation détaillée au chapitre 6. Dans la mesure où plusieurs propositions touchent parfois au même texte de loi, un nombre moins important de bases légales devront au total être modifiées pour mettre en œuvre le programme d’assainissement des finances de l’Etat. </w:t>
      </w:r>
    </w:p>
    <w:p w14:paraId="11957EBD" w14:textId="77777777" w:rsidR="00E31F9D" w:rsidRPr="00FE3A13" w:rsidRDefault="00E31F9D" w:rsidP="00E31F9D">
      <w:pPr>
        <w:pStyle w:val="Titre3"/>
      </w:pPr>
      <w:bookmarkStart w:id="21" w:name="_Toc195714683"/>
      <w:r w:rsidRPr="00FE3A13">
        <w:t>Revenus</w:t>
      </w:r>
      <w:bookmarkEnd w:id="21"/>
    </w:p>
    <w:p w14:paraId="2F2BD9D9" w14:textId="77777777" w:rsidR="00E31F9D" w:rsidRPr="00FE3A13" w:rsidRDefault="00E31F9D" w:rsidP="00E31F9D">
      <w:r w:rsidRPr="00FE3A13">
        <w:t>En matière de revenus, les mesures suivantes sont proposées.</w:t>
      </w:r>
    </w:p>
    <w:tbl>
      <w:tblPr>
        <w:tblStyle w:val="TableauEtatFR"/>
        <w:tblW w:w="5000" w:type="pct"/>
        <w:tblLook w:val="04E0" w:firstRow="1" w:lastRow="1" w:firstColumn="1" w:lastColumn="0" w:noHBand="0" w:noVBand="1"/>
      </w:tblPr>
      <w:tblGrid>
        <w:gridCol w:w="5385"/>
        <w:gridCol w:w="992"/>
        <w:gridCol w:w="3543"/>
      </w:tblGrid>
      <w:tr w:rsidR="00E31F9D" w:rsidRPr="00FE3A13" w14:paraId="06605D59" w14:textId="77777777" w:rsidTr="004F092C">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405134B8" w14:textId="362FEF99" w:rsidR="00E31F9D" w:rsidRPr="00FE3A13" w:rsidRDefault="00E31F9D" w:rsidP="004F092C">
            <w:pPr>
              <w:pStyle w:val="NIVtableau"/>
              <w:rPr>
                <w:b w:val="0"/>
                <w:color w:val="auto"/>
                <w:sz w:val="21"/>
                <w:lang w:val="fr-FR"/>
              </w:rPr>
            </w:pPr>
            <w:r>
              <w:t>Liste</w:t>
            </w:r>
            <w:r w:rsidRPr="00FE3A13">
              <w:rPr>
                <w:lang w:val="fr-FR"/>
              </w:rPr>
              <w:t xml:space="preserve"> de</w:t>
            </w:r>
            <w:r>
              <w:rPr>
                <w:lang w:val="fr-FR"/>
              </w:rPr>
              <w:t>s</w:t>
            </w:r>
            <w:r w:rsidRPr="00FE3A13">
              <w:rPr>
                <w:lang w:val="fr-FR"/>
              </w:rPr>
              <w:t xml:space="preserve"> mesures de la compétence du Grand Conseil en matière de revenus</w:t>
            </w:r>
          </w:p>
        </w:tc>
      </w:tr>
      <w:tr w:rsidR="00E31F9D" w:rsidRPr="00FE3A13" w14:paraId="16B5794A" w14:textId="77777777" w:rsidTr="004F092C">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39E9E564" w14:textId="77777777" w:rsidR="00E31F9D" w:rsidRPr="00FE3A13" w:rsidRDefault="00E31F9D" w:rsidP="004F092C">
            <w:pPr>
              <w:pStyle w:val="NIVtableau"/>
              <w:rPr>
                <w:lang w:val="fr-FR"/>
              </w:rPr>
            </w:pPr>
            <w:r w:rsidRPr="00FE3A13">
              <w:rPr>
                <w:lang w:val="fr-FR"/>
              </w:rPr>
              <w:t>Libellé de la mesure</w:t>
            </w:r>
          </w:p>
        </w:tc>
        <w:tc>
          <w:tcPr>
            <w:tcW w:w="2286" w:type="pct"/>
            <w:gridSpan w:val="2"/>
          </w:tcPr>
          <w:p w14:paraId="5D1200CC"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Base légale à modifier</w:t>
            </w:r>
          </w:p>
        </w:tc>
      </w:tr>
      <w:tr w:rsidR="00E31F9D" w:rsidRPr="00FE3A13" w14:paraId="0495F4C5"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4AFAC3EE" w14:textId="77777777" w:rsidR="00E31F9D" w:rsidRPr="00FE3A13" w:rsidRDefault="00E31F9D" w:rsidP="004F092C">
            <w:pPr>
              <w:pStyle w:val="NIVtableau"/>
              <w:rPr>
                <w:lang w:val="fr-FR"/>
              </w:rPr>
            </w:pPr>
          </w:p>
        </w:tc>
        <w:tc>
          <w:tcPr>
            <w:tcW w:w="500" w:type="pct"/>
          </w:tcPr>
          <w:p w14:paraId="113B5635"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N°RSF</w:t>
            </w:r>
          </w:p>
        </w:tc>
        <w:tc>
          <w:tcPr>
            <w:tcW w:w="1786" w:type="pct"/>
          </w:tcPr>
          <w:p w14:paraId="2C66F371"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Titre</w:t>
            </w:r>
          </w:p>
        </w:tc>
      </w:tr>
      <w:tr w:rsidR="00E31F9D" w:rsidRPr="00FE3A13" w14:paraId="2E4B7843"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07DBDE52" w14:textId="77777777" w:rsidR="00E31F9D" w:rsidRPr="00FE3A13" w:rsidRDefault="00E31F9D" w:rsidP="004F092C">
            <w:pPr>
              <w:pStyle w:val="NIVtableau"/>
              <w:spacing w:before="100" w:after="100" w:line="280" w:lineRule="atLeast"/>
              <w:rPr>
                <w:lang w:val="fr-FR"/>
              </w:rPr>
            </w:pPr>
            <w:r w:rsidRPr="00FE3A13">
              <w:rPr>
                <w:b/>
                <w:bCs w:val="0"/>
              </w:rPr>
              <w:t>a) Emoluments, taxes et redevances</w:t>
            </w:r>
            <w:r w:rsidRPr="00FE3A13">
              <w:rPr>
                <w:b/>
                <w:bCs w:val="0"/>
              </w:rPr>
              <w:br/>
              <w:t xml:space="preserve">- </w:t>
            </w:r>
            <w:r w:rsidRPr="00FE3A13">
              <w:t>Introduction d’une taxe sur les volumes extraits des sites de gravières</w:t>
            </w:r>
          </w:p>
        </w:tc>
        <w:tc>
          <w:tcPr>
            <w:tcW w:w="500" w:type="pct"/>
          </w:tcPr>
          <w:p w14:paraId="18EC9E79"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FE3A13">
              <w:br/>
            </w:r>
            <w:r w:rsidRPr="00FE3A13">
              <w:rPr>
                <w:lang w:val="fr-FR"/>
              </w:rPr>
              <w:t>A définir</w:t>
            </w:r>
          </w:p>
        </w:tc>
        <w:tc>
          <w:tcPr>
            <w:tcW w:w="1786" w:type="pct"/>
          </w:tcPr>
          <w:p w14:paraId="488841A7"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FE3A13">
              <w:br/>
            </w:r>
            <w:r w:rsidRPr="00FE3A13">
              <w:rPr>
                <w:lang w:val="fr-FR"/>
              </w:rPr>
              <w:t>A définir</w:t>
            </w:r>
          </w:p>
        </w:tc>
      </w:tr>
      <w:tr w:rsidR="00E31F9D" w:rsidRPr="00FE3A13" w14:paraId="1CBA3027"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20517EF4" w14:textId="77777777" w:rsidR="00E31F9D" w:rsidRPr="00FE3A13" w:rsidRDefault="00E31F9D" w:rsidP="004F092C">
            <w:pPr>
              <w:pStyle w:val="NIVtableau"/>
              <w:spacing w:before="100" w:after="100" w:line="280" w:lineRule="atLeast"/>
              <w:rPr>
                <w:b/>
                <w:bCs w:val="0"/>
              </w:rPr>
            </w:pPr>
            <w:r w:rsidRPr="00FE3A13">
              <w:rPr>
                <w:b/>
                <w:bCs w:val="0"/>
              </w:rPr>
              <w:t>b) Impôts</w:t>
            </w:r>
            <w:r w:rsidRPr="00FE3A13">
              <w:rPr>
                <w:b/>
                <w:bCs w:val="0"/>
              </w:rPr>
              <w:br/>
            </w:r>
            <w:r w:rsidRPr="00FE3A13">
              <w:t>- Réduction de la déduction des frais de déplacement dans la taxation cantonale</w:t>
            </w:r>
            <w:r w:rsidRPr="00FE3A13">
              <w:br/>
              <w:t>- Non-adaptation à la progression à froid</w:t>
            </w:r>
          </w:p>
        </w:tc>
        <w:tc>
          <w:tcPr>
            <w:tcW w:w="500" w:type="pct"/>
          </w:tcPr>
          <w:p w14:paraId="71801D98"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pPr>
            <w:r w:rsidRPr="00FE3A13">
              <w:br/>
              <w:t>631.1</w:t>
            </w:r>
            <w:r w:rsidRPr="00FE3A13">
              <w:br/>
            </w:r>
            <w:r w:rsidRPr="00FE3A13">
              <w:br/>
              <w:t>631.1</w:t>
            </w:r>
          </w:p>
        </w:tc>
        <w:tc>
          <w:tcPr>
            <w:tcW w:w="1786" w:type="pct"/>
          </w:tcPr>
          <w:p w14:paraId="5AFC50F2"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pPr>
            <w:r w:rsidRPr="00FE3A13">
              <w:br/>
              <w:t>Loi du 6 juin 2000 sur les impôts cantonaux directs (LICD)</w:t>
            </w:r>
            <w:r w:rsidRPr="00FE3A13">
              <w:br/>
              <w:t>Loi du 6 juin 2000 sur les impôts cantonaux directs (LICD)</w:t>
            </w:r>
          </w:p>
        </w:tc>
      </w:tr>
      <w:tr w:rsidR="00E31F9D" w:rsidRPr="00FE3A13" w14:paraId="01773C14"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2DD612A6" w14:textId="77777777" w:rsidR="00E31F9D" w:rsidRPr="00FE3A13" w:rsidRDefault="00E31F9D" w:rsidP="004F092C">
            <w:pPr>
              <w:pStyle w:val="NIVtableau"/>
              <w:spacing w:before="100" w:after="100" w:line="280" w:lineRule="atLeast"/>
              <w:rPr>
                <w:b w:val="0"/>
                <w:bCs w:val="0"/>
              </w:rPr>
            </w:pPr>
            <w:r w:rsidRPr="00FE3A13">
              <w:t>d) Autres revenus</w:t>
            </w:r>
            <w:r w:rsidRPr="00FE3A13">
              <w:rPr>
                <w:b w:val="0"/>
                <w:bCs w:val="0"/>
              </w:rPr>
              <w:br/>
              <w:t>- Réduire la part des communes à l’impôt sur les véhicules à moteur</w:t>
            </w:r>
          </w:p>
        </w:tc>
        <w:tc>
          <w:tcPr>
            <w:tcW w:w="500" w:type="pct"/>
          </w:tcPr>
          <w:p w14:paraId="089632EA" w14:textId="77777777"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FE3A13">
              <w:br/>
            </w:r>
            <w:r w:rsidRPr="00FE3A13">
              <w:rPr>
                <w:b w:val="0"/>
                <w:bCs w:val="0"/>
              </w:rPr>
              <w:t>635.4.1</w:t>
            </w:r>
          </w:p>
        </w:tc>
        <w:tc>
          <w:tcPr>
            <w:tcW w:w="1786" w:type="pct"/>
          </w:tcPr>
          <w:p w14:paraId="052BEEDD" w14:textId="77777777"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FE3A13">
              <w:rPr>
                <w:b w:val="0"/>
                <w:bCs w:val="0"/>
              </w:rPr>
              <w:br/>
              <w:t>Loi du 11 février 2021 sur l’imposition des véhicules automobiles et des remorques (LIVAR)</w:t>
            </w:r>
          </w:p>
        </w:tc>
      </w:tr>
    </w:tbl>
    <w:p w14:paraId="564869AF" w14:textId="77777777" w:rsidR="00E31F9D" w:rsidRPr="00FE3A13" w:rsidRDefault="00E31F9D" w:rsidP="00E31F9D">
      <w:pPr>
        <w:pStyle w:val="Listealphabtique"/>
        <w:numPr>
          <w:ilvl w:val="0"/>
          <w:numId w:val="26"/>
        </w:numPr>
        <w:ind w:left="426" w:hanging="426"/>
        <w:rPr>
          <w:b/>
          <w:bCs/>
        </w:rPr>
      </w:pPr>
      <w:r w:rsidRPr="00FE3A13">
        <w:rPr>
          <w:b/>
          <w:bCs/>
        </w:rPr>
        <w:lastRenderedPageBreak/>
        <w:t>Emoluments, taxes et redevances</w:t>
      </w:r>
    </w:p>
    <w:p w14:paraId="330B550A" w14:textId="77777777" w:rsidR="00E31F9D" w:rsidRPr="00FE3A13" w:rsidRDefault="00E31F9D" w:rsidP="00E31F9D">
      <w:pPr>
        <w:pStyle w:val="Listealphabtique"/>
        <w:numPr>
          <w:ilvl w:val="0"/>
          <w:numId w:val="0"/>
        </w:numPr>
        <w:rPr>
          <w:b/>
          <w:bCs/>
        </w:rPr>
      </w:pPr>
      <w:r w:rsidRPr="00FE3A13">
        <w:rPr>
          <w:b/>
          <w:bCs/>
        </w:rPr>
        <w:t>&gt;</w:t>
      </w:r>
      <w:r w:rsidRPr="00FE3A13">
        <w:rPr>
          <w:b/>
          <w:bCs/>
        </w:rPr>
        <w:tab/>
        <w:t>Introduction d’une taxe sur les volumes extraits des sites de gravières</w:t>
      </w:r>
    </w:p>
    <w:p w14:paraId="54CA263E" w14:textId="77777777" w:rsidR="00E31F9D" w:rsidRPr="00FE3A13" w:rsidRDefault="00E31F9D" w:rsidP="00E31F9D">
      <w:r w:rsidRPr="00FE3A13">
        <w:t xml:space="preserve">La mesure consiste à introduire une taxe cantonale sur les volumes extraits dans les zones d’extraction de matériaux par le biais d’une base légale, soit en créant une nouvelle loi spéciale soit en modifiant une base légale existante (loi du 2 décembre 2008 sur l’aménagement du territoire et les constructions, RSF 710.1, éventuellement loi sur le domaine public du 4 février 1972, RSF 750.1). </w:t>
      </w:r>
    </w:p>
    <w:p w14:paraId="6A29E88B" w14:textId="77777777" w:rsidR="00E31F9D" w:rsidRPr="00FE3A13" w:rsidRDefault="00E31F9D" w:rsidP="00E31F9D">
      <w:r w:rsidRPr="00FE3A13">
        <w:t>Le canton introduirait ainsi une taxe de 5 francs par m</w:t>
      </w:r>
      <w:r w:rsidRPr="00FE3A13">
        <w:rPr>
          <w:vertAlign w:val="superscript"/>
        </w:rPr>
        <w:t>3</w:t>
      </w:r>
      <w:r w:rsidRPr="00FE3A13">
        <w:t xml:space="preserve"> exploité sur les exploitations de matériaux. En moyenne, il en est extrait 600 000 m</w:t>
      </w:r>
      <w:r w:rsidRPr="00FE3A13">
        <w:rPr>
          <w:vertAlign w:val="superscript"/>
        </w:rPr>
        <w:t>3</w:t>
      </w:r>
      <w:r w:rsidRPr="00FE3A13">
        <w:t xml:space="preserve"> par an dans le canton. Sur la base de tarifs à disposition pour les trois principaux exploitants du canton, les prix des matériaux extraits oscillent entre 26 et 112 francs par m</w:t>
      </w:r>
      <w:r w:rsidRPr="00FE3A13">
        <w:rPr>
          <w:vertAlign w:val="superscript"/>
        </w:rPr>
        <w:t>3</w:t>
      </w:r>
      <w:r w:rsidRPr="00FE3A13">
        <w:t xml:space="preserve"> en fonction du type de matériaux. Les exploitants perçoivent également des montants entre 16 et 34 francs/ m</w:t>
      </w:r>
      <w:r w:rsidRPr="00FE3A13">
        <w:rPr>
          <w:vertAlign w:val="superscript"/>
        </w:rPr>
        <w:t xml:space="preserve">3 </w:t>
      </w:r>
      <w:r w:rsidRPr="00FE3A13">
        <w:t>pour les matériaux remblayés.</w:t>
      </w:r>
    </w:p>
    <w:p w14:paraId="64CB1C66" w14:textId="77777777" w:rsidR="00E31F9D" w:rsidRPr="00FE3A13" w:rsidRDefault="00E31F9D" w:rsidP="00E31F9D">
      <w:r w:rsidRPr="00FE3A13">
        <w:t xml:space="preserve">Il s’agirait de définir en particulier dans la base légale : le principe de la taxe et son champ d’application, à savoir les volumes extraits dans les zones d’extractions de matériaux nécessaires à la construction (gravières, carrières) ; le montant maximal de la taxe ; l’autorité en charge du prélèvement de la taxe ; l’affectation éventuelle de la taxe ; les modalités de perception et d’encaissement de la taxe ; les modalités de monitoring de l’extraction des matériaux (contrôle, suivi); les dispositions pénales et les voies de droit. </w:t>
      </w:r>
    </w:p>
    <w:p w14:paraId="5F0D5137" w14:textId="77777777" w:rsidR="00E31F9D" w:rsidRPr="00FE3A13" w:rsidRDefault="00E31F9D" w:rsidP="00E31F9D">
      <w:r w:rsidRPr="00FE3A13">
        <w:t xml:space="preserve">S’agissant des incidences financières et en personnel, un 0,5 EPT de collaborateur-trice scientifique universitaire serait nécessaire pour une durée indéterminée afin d’effectuer les travaux en lien avec la taxe (identification des matériaux extraits, notamment). En fonction du mécanisme choisi pour la perception et l’encaissement de la taxe, il s’agira d’examiner s’il convient de prévoir en complément une ressource de collaborateur-trice administratif ou si ces tâches peuvent être absorbées par un service qui effectue d’ores et déjà ce type de tâche. </w:t>
      </w:r>
      <w:r>
        <w:t>La mesure ne pourra pas être mise en œuvre avant 2027.</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12FC7B4A"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CF194DB" w14:textId="77777777" w:rsidR="00E31F9D" w:rsidRPr="00FE3A13" w:rsidRDefault="00E31F9D" w:rsidP="004F092C">
            <w:pPr>
              <w:pStyle w:val="NIVtableau"/>
              <w:rPr>
                <w:color w:val="auto"/>
                <w:sz w:val="21"/>
                <w:lang w:val="en-US"/>
              </w:rPr>
            </w:pPr>
            <w:r w:rsidRPr="00FE3A13">
              <w:rPr>
                <w:lang w:val="en-US"/>
              </w:rPr>
              <w:t>Incidences financières en francs</w:t>
            </w:r>
          </w:p>
        </w:tc>
        <w:tc>
          <w:tcPr>
            <w:tcW w:w="833" w:type="pct"/>
          </w:tcPr>
          <w:p w14:paraId="7AE8624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00F645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989EF2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BA924F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45D62B99"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B129202" w14:textId="77777777" w:rsidR="00E31F9D" w:rsidRPr="00FE3A13" w:rsidRDefault="00E31F9D" w:rsidP="004F092C">
            <w:pPr>
              <w:pStyle w:val="NIVtableau"/>
              <w:rPr>
                <w:lang w:val="en-US"/>
              </w:rPr>
            </w:pPr>
            <w:r w:rsidRPr="00FE3A13">
              <w:rPr>
                <w:lang w:val="en-US"/>
              </w:rPr>
              <w:t>Etat</w:t>
            </w:r>
          </w:p>
        </w:tc>
        <w:tc>
          <w:tcPr>
            <w:tcW w:w="833" w:type="pct"/>
          </w:tcPr>
          <w:p w14:paraId="1278458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2B10D837"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2 930 000</w:t>
            </w:r>
          </w:p>
        </w:tc>
        <w:tc>
          <w:tcPr>
            <w:tcW w:w="833" w:type="pct"/>
          </w:tcPr>
          <w:p w14:paraId="40436CF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2 930 000</w:t>
            </w:r>
          </w:p>
        </w:tc>
        <w:tc>
          <w:tcPr>
            <w:tcW w:w="831" w:type="pct"/>
          </w:tcPr>
          <w:p w14:paraId="75B8991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5 860 000</w:t>
            </w:r>
          </w:p>
        </w:tc>
      </w:tr>
      <w:tr w:rsidR="00E31F9D" w:rsidRPr="00FE3A13" w14:paraId="0725FF82"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4536C6A" w14:textId="77777777" w:rsidR="00E31F9D" w:rsidRPr="00FE3A13" w:rsidRDefault="00E31F9D" w:rsidP="004F092C">
            <w:pPr>
              <w:pStyle w:val="NIVtableau"/>
              <w:rPr>
                <w:b w:val="0"/>
                <w:lang w:val="en-US"/>
              </w:rPr>
            </w:pPr>
            <w:r w:rsidRPr="00FE3A13">
              <w:rPr>
                <w:b w:val="0"/>
                <w:lang w:val="en-US"/>
              </w:rPr>
              <w:t>Communes</w:t>
            </w:r>
          </w:p>
        </w:tc>
        <w:tc>
          <w:tcPr>
            <w:tcW w:w="833" w:type="pct"/>
          </w:tcPr>
          <w:p w14:paraId="4F73048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A82CAE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6AFABE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2C63AE6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7C7D526" w14:textId="77777777" w:rsidR="00E31F9D" w:rsidRPr="00FE3A13" w:rsidRDefault="00E31F9D" w:rsidP="00E31F9D">
      <w:pPr>
        <w:pStyle w:val="Listealphabtique"/>
        <w:ind w:left="426" w:hanging="426"/>
        <w:rPr>
          <w:b/>
          <w:bCs/>
        </w:rPr>
      </w:pPr>
      <w:r w:rsidRPr="00FE3A13">
        <w:rPr>
          <w:b/>
          <w:bCs/>
        </w:rPr>
        <w:t>Impôts</w:t>
      </w:r>
    </w:p>
    <w:p w14:paraId="2848F21E" w14:textId="77777777" w:rsidR="00E31F9D" w:rsidRPr="00FE3A13" w:rsidRDefault="00E31F9D" w:rsidP="00E31F9D">
      <w:pPr>
        <w:pStyle w:val="Listealphabtique"/>
        <w:numPr>
          <w:ilvl w:val="0"/>
          <w:numId w:val="0"/>
        </w:numPr>
        <w:rPr>
          <w:b/>
          <w:bCs/>
        </w:rPr>
      </w:pPr>
      <w:r w:rsidRPr="00FE3A13">
        <w:rPr>
          <w:b/>
          <w:bCs/>
        </w:rPr>
        <w:t xml:space="preserve">&gt; </w:t>
      </w:r>
      <w:r w:rsidRPr="00FE3A13">
        <w:rPr>
          <w:b/>
          <w:bCs/>
        </w:rPr>
        <w:tab/>
        <w:t>Réduction de la déduction des frais de déplacement dans la taxation cantonale</w:t>
      </w:r>
    </w:p>
    <w:p w14:paraId="117D1E2D" w14:textId="77777777" w:rsidR="00E31F9D" w:rsidRPr="00FE3A13" w:rsidRDefault="00E31F9D" w:rsidP="00E31F9D">
      <w:pPr>
        <w:pStyle w:val="Listealphabtique"/>
        <w:numPr>
          <w:ilvl w:val="0"/>
          <w:numId w:val="0"/>
        </w:numPr>
        <w:rPr>
          <w:b/>
          <w:bCs/>
        </w:rPr>
      </w:pPr>
      <w:r w:rsidRPr="00FE3A13">
        <w:rPr>
          <w:rStyle w:val="CorpsdetexteCar"/>
        </w:rPr>
        <w:t xml:space="preserve">Le contribuable peut déduire les frais de déplacement nécessaires entre le domicile et le lieu de travail, lorsque ce lieu est notablement éloigné, c’est-à-dire plus de 1.5 km. Cette déduction est plafonnée à 12'000 francs actuellement. L’abaissement de la limite cantonale pour la déduction des frais de transport à 8'000 francs permettrait de générer des recettes supplémentaires. Cet abaissement impacterait environ 18'500 contribuables. </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4FEAD154"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7FB5D72" w14:textId="77777777" w:rsidR="00E31F9D" w:rsidRPr="00FE3A13" w:rsidRDefault="00E31F9D" w:rsidP="004F092C">
            <w:pPr>
              <w:pStyle w:val="NIVtableau"/>
              <w:rPr>
                <w:lang w:val="en-US"/>
              </w:rPr>
            </w:pPr>
            <w:r w:rsidRPr="00FE3A13">
              <w:rPr>
                <w:lang w:val="en-US"/>
              </w:rPr>
              <w:t>Incidences financières en francs</w:t>
            </w:r>
          </w:p>
        </w:tc>
        <w:tc>
          <w:tcPr>
            <w:tcW w:w="833" w:type="pct"/>
          </w:tcPr>
          <w:p w14:paraId="513CA1A0"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E114E5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8F749E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61DBFFA2"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73C1E0EB"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E6D576F" w14:textId="77777777" w:rsidR="00E31F9D" w:rsidRPr="00FE3A13" w:rsidRDefault="00E31F9D" w:rsidP="004F092C">
            <w:pPr>
              <w:pStyle w:val="NIVtableau"/>
              <w:rPr>
                <w:lang w:val="en-US"/>
              </w:rPr>
            </w:pPr>
            <w:r w:rsidRPr="00FE3A13">
              <w:rPr>
                <w:lang w:val="en-US"/>
              </w:rPr>
              <w:t>Etat</w:t>
            </w:r>
          </w:p>
        </w:tc>
        <w:tc>
          <w:tcPr>
            <w:tcW w:w="833" w:type="pct"/>
          </w:tcPr>
          <w:p w14:paraId="43C027F3"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5 200 000</w:t>
            </w:r>
          </w:p>
        </w:tc>
        <w:tc>
          <w:tcPr>
            <w:tcW w:w="833" w:type="pct"/>
          </w:tcPr>
          <w:p w14:paraId="3DC95B0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5 200 000</w:t>
            </w:r>
          </w:p>
        </w:tc>
        <w:tc>
          <w:tcPr>
            <w:tcW w:w="833" w:type="pct"/>
          </w:tcPr>
          <w:p w14:paraId="70B6463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5 200 000</w:t>
            </w:r>
          </w:p>
        </w:tc>
        <w:tc>
          <w:tcPr>
            <w:tcW w:w="833" w:type="pct"/>
          </w:tcPr>
          <w:p w14:paraId="1BB116B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15 600 000</w:t>
            </w:r>
          </w:p>
        </w:tc>
      </w:tr>
      <w:tr w:rsidR="00E31F9D" w:rsidRPr="00FE3A13" w14:paraId="32846746"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FDE812B" w14:textId="77777777" w:rsidR="00E31F9D" w:rsidRPr="00FE3A13" w:rsidRDefault="00E31F9D" w:rsidP="004F092C">
            <w:pPr>
              <w:pStyle w:val="NIVtableau"/>
              <w:rPr>
                <w:b w:val="0"/>
                <w:lang w:val="en-US"/>
              </w:rPr>
            </w:pPr>
            <w:r w:rsidRPr="00FE3A13">
              <w:rPr>
                <w:b w:val="0"/>
                <w:lang w:val="en-US"/>
              </w:rPr>
              <w:t>Communes</w:t>
            </w:r>
          </w:p>
        </w:tc>
        <w:tc>
          <w:tcPr>
            <w:tcW w:w="833" w:type="pct"/>
          </w:tcPr>
          <w:p w14:paraId="460E3AB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4 300 000</w:t>
            </w:r>
          </w:p>
        </w:tc>
        <w:tc>
          <w:tcPr>
            <w:tcW w:w="833" w:type="pct"/>
          </w:tcPr>
          <w:p w14:paraId="2AF0690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4 300 000</w:t>
            </w:r>
          </w:p>
        </w:tc>
        <w:tc>
          <w:tcPr>
            <w:tcW w:w="833" w:type="pct"/>
          </w:tcPr>
          <w:p w14:paraId="63FB3CB6"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4 300 000</w:t>
            </w:r>
          </w:p>
        </w:tc>
        <w:tc>
          <w:tcPr>
            <w:tcW w:w="833" w:type="pct"/>
          </w:tcPr>
          <w:p w14:paraId="38551145"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12 900 000</w:t>
            </w:r>
          </w:p>
        </w:tc>
      </w:tr>
    </w:tbl>
    <w:p w14:paraId="1C7AAECA" w14:textId="77777777" w:rsidR="00E31F9D" w:rsidRPr="00FE3A13" w:rsidRDefault="00E31F9D" w:rsidP="00E31F9D">
      <w:pPr>
        <w:pStyle w:val="Listealphabtique"/>
        <w:numPr>
          <w:ilvl w:val="0"/>
          <w:numId w:val="0"/>
        </w:numPr>
        <w:rPr>
          <w:b/>
          <w:bCs/>
        </w:rPr>
      </w:pPr>
      <w:r w:rsidRPr="00FE3A13">
        <w:rPr>
          <w:b/>
          <w:bCs/>
        </w:rPr>
        <w:t xml:space="preserve">&gt; </w:t>
      </w:r>
      <w:r w:rsidRPr="00FE3A13">
        <w:rPr>
          <w:b/>
          <w:bCs/>
        </w:rPr>
        <w:tab/>
        <w:t>Non-adaptation à la progression à froid</w:t>
      </w:r>
    </w:p>
    <w:p w14:paraId="2990445D" w14:textId="77777777" w:rsidR="00E31F9D" w:rsidRDefault="00E31F9D" w:rsidP="00E31F9D">
      <w:pPr>
        <w:pStyle w:val="Corpsdetexte"/>
      </w:pPr>
      <w:r w:rsidRPr="00FE3A13">
        <w:t xml:space="preserve">La mesure consiste à renoncer en totalité à l’adaptation des barèmes et des déductions sociales en raison de la progression à froid pour la période fiscale 2026-2028. Le nouvel indice des prix retenu pour la prochaine indexation serait celui de décembre 2024 (qui s’élève à 109,3 points). Concrètement cette mesure permettrait d’éviter des baisses de recettes fiscales. </w:t>
      </w:r>
    </w:p>
    <w:p w14:paraId="1E9B7A7B" w14:textId="77777777" w:rsidR="00E31F9D" w:rsidRPr="00FE3A13" w:rsidRDefault="00E31F9D" w:rsidP="00E31F9D">
      <w:pPr>
        <w:pStyle w:val="Corpsdetexte"/>
      </w:pPr>
      <w:r w:rsidRPr="00FE3A13">
        <w:t>Conformément aux articles 40 al. 1 et 62a al. 1 de la loi du 6 juin 2000 sur les impôts cantonaux directs (LICD), les effets de la progression à froid sur l’impôt frappant le revenu et la fortune des personnes physiques doivent être compensés périodiquement, mais au moins tous les trois ans, totalement ou partiellement, par une adaptation du barème et des déductions sociales.</w:t>
      </w:r>
    </w:p>
    <w:p w14:paraId="4DB67A3A" w14:textId="77777777" w:rsidR="00E31F9D" w:rsidRPr="00FE3A13" w:rsidRDefault="00E31F9D" w:rsidP="00E31F9D">
      <w:pPr>
        <w:pStyle w:val="Corpsdetexte"/>
      </w:pPr>
      <w:r w:rsidRPr="00FE3A13">
        <w:lastRenderedPageBreak/>
        <w:t>Depuis le 1er janvier 2011, les barèmes de l’impôt sur le revenu et de la fortune ainsi que les déductions sociales doivent être adaptés lorsque l’indice suisse des prix à la consommation (IPC) a augmenté d’au moins 5% depuis la dernière adaptation, mais au moins tous les 3 ans.</w:t>
      </w:r>
    </w:p>
    <w:p w14:paraId="6C7BF017" w14:textId="77777777" w:rsidR="00E31F9D" w:rsidRPr="00FE3A13" w:rsidRDefault="00E31F9D" w:rsidP="00E31F9D">
      <w:pPr>
        <w:pStyle w:val="Corpsdetexte"/>
      </w:pPr>
      <w:r w:rsidRPr="00FE3A13">
        <w:t xml:space="preserve">La dernière adaptation des effets de la progression à froid a eu lieu en 2022, avec effet au 1er janvier 2023. L’IPC de référence actuelle est donc toujours celui de décembre 2021, à savoir 103.8 points. Si l’on compare cet indice avec celui de décembre 2024, lequel se monte à 109.3 points, on constate une augmentation de l’IPC de 5.3%. </w:t>
      </w:r>
    </w:p>
    <w:p w14:paraId="69B68735" w14:textId="77777777" w:rsidR="00E31F9D" w:rsidRPr="00FE3A13" w:rsidRDefault="00E31F9D" w:rsidP="00E31F9D">
      <w:pPr>
        <w:pStyle w:val="Corpsdetexte"/>
      </w:pPr>
      <w:r w:rsidRPr="00FE3A13">
        <w:t>Ainsi, la limite des 5% prévue à l’art. 62a al. 2 LICD est atteinte et le critère exigeant une compensation au moins tous les 3 ans est rempli. Il y aurait dès lors en principe lieu de prévoir la rédaction d’un rapport en 2025 pour que les éventuelles modifications légales qui en résulteraient puissent entrer en vigueur au 1er janvier 2026.</w:t>
      </w:r>
    </w:p>
    <w:p w14:paraId="1A6DE8FA" w14:textId="77777777" w:rsidR="00E31F9D" w:rsidRPr="00FE3A13" w:rsidRDefault="00E31F9D" w:rsidP="00E31F9D">
      <w:pPr>
        <w:pStyle w:val="Corpsdetexte"/>
      </w:pPr>
      <w:r w:rsidRPr="00FE3A13">
        <w:t>Les analyses et estimations effectuées par la Service cantonal des contributions montrent que le barème de l’impôt sur le revenu et la plupart des montants des déductions devraient également être adaptés. La compensation des effets de la progression à froid aurait ainsi un impact sous forme de diminution d’impôt pour la totalité des contribuables et pour la majorité des contribuables concernés par les déductions.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01687776"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58F87CE" w14:textId="77777777" w:rsidR="00E31F9D" w:rsidRPr="00FE3A13" w:rsidRDefault="00E31F9D" w:rsidP="004F092C">
            <w:pPr>
              <w:pStyle w:val="NIVtableau"/>
              <w:rPr>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6E599A2A"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E7C1D2A"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A77C146"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5F3EA5B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1054DF8B"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FBBA7C3" w14:textId="77777777" w:rsidR="00E31F9D" w:rsidRPr="00FE3A13" w:rsidRDefault="00E31F9D" w:rsidP="004F092C">
            <w:pPr>
              <w:pStyle w:val="NIVtableau"/>
              <w:rPr>
                <w:lang w:val="en-US"/>
              </w:rPr>
            </w:pPr>
            <w:r w:rsidRPr="00FE3A13">
              <w:rPr>
                <w:lang w:val="en-US"/>
              </w:rPr>
              <w:t>Etat</w:t>
            </w:r>
          </w:p>
        </w:tc>
        <w:tc>
          <w:tcPr>
            <w:tcW w:w="833" w:type="pct"/>
          </w:tcPr>
          <w:p w14:paraId="7D1F98A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20 000 000</w:t>
            </w:r>
          </w:p>
        </w:tc>
        <w:tc>
          <w:tcPr>
            <w:tcW w:w="833" w:type="pct"/>
          </w:tcPr>
          <w:p w14:paraId="40309946"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20 000 000</w:t>
            </w:r>
          </w:p>
        </w:tc>
        <w:tc>
          <w:tcPr>
            <w:tcW w:w="833" w:type="pct"/>
          </w:tcPr>
          <w:p w14:paraId="2374D6B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20 000 000</w:t>
            </w:r>
          </w:p>
        </w:tc>
        <w:tc>
          <w:tcPr>
            <w:tcW w:w="833" w:type="pct"/>
          </w:tcPr>
          <w:p w14:paraId="545D09F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60 000 000</w:t>
            </w:r>
          </w:p>
        </w:tc>
      </w:tr>
      <w:tr w:rsidR="00E31F9D" w:rsidRPr="00FE3A13" w14:paraId="78680E0B"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310868E" w14:textId="77777777" w:rsidR="00E31F9D" w:rsidRPr="00FE3A13" w:rsidRDefault="00E31F9D" w:rsidP="004F092C">
            <w:pPr>
              <w:pStyle w:val="NIVtableau"/>
              <w:rPr>
                <w:b w:val="0"/>
                <w:bCs w:val="0"/>
                <w:lang w:val="en-US"/>
              </w:rPr>
            </w:pPr>
            <w:r w:rsidRPr="00FE3A13">
              <w:rPr>
                <w:b w:val="0"/>
                <w:bCs w:val="0"/>
                <w:lang w:val="en-US"/>
              </w:rPr>
              <w:t>Communes</w:t>
            </w:r>
          </w:p>
        </w:tc>
        <w:tc>
          <w:tcPr>
            <w:tcW w:w="833" w:type="pct"/>
          </w:tcPr>
          <w:p w14:paraId="4C06ABC2"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23 000 000</w:t>
            </w:r>
          </w:p>
        </w:tc>
        <w:tc>
          <w:tcPr>
            <w:tcW w:w="833" w:type="pct"/>
          </w:tcPr>
          <w:p w14:paraId="36F817D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23 000 000</w:t>
            </w:r>
          </w:p>
        </w:tc>
        <w:tc>
          <w:tcPr>
            <w:tcW w:w="833" w:type="pct"/>
          </w:tcPr>
          <w:p w14:paraId="66B6FE8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23 000 000</w:t>
            </w:r>
          </w:p>
        </w:tc>
        <w:tc>
          <w:tcPr>
            <w:tcW w:w="833" w:type="pct"/>
          </w:tcPr>
          <w:p w14:paraId="154E503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69 000 000</w:t>
            </w:r>
          </w:p>
        </w:tc>
      </w:tr>
    </w:tbl>
    <w:p w14:paraId="4AEFA173" w14:textId="77777777" w:rsidR="00E31F9D" w:rsidRPr="00FE3A13" w:rsidRDefault="00E31F9D" w:rsidP="00E31F9D">
      <w:pPr>
        <w:pStyle w:val="Listealphabtique"/>
        <w:numPr>
          <w:ilvl w:val="0"/>
          <w:numId w:val="33"/>
        </w:numPr>
        <w:ind w:left="426" w:hanging="426"/>
        <w:rPr>
          <w:b/>
          <w:bCs/>
        </w:rPr>
      </w:pPr>
      <w:r w:rsidRPr="00FE3A13">
        <w:rPr>
          <w:b/>
          <w:bCs/>
        </w:rPr>
        <w:t>Autres revenus</w:t>
      </w:r>
    </w:p>
    <w:p w14:paraId="66119084" w14:textId="77777777" w:rsidR="00E31F9D" w:rsidRPr="00FE3A13" w:rsidRDefault="00E31F9D" w:rsidP="00E31F9D">
      <w:pPr>
        <w:pStyle w:val="Listealphabtique"/>
        <w:numPr>
          <w:ilvl w:val="0"/>
          <w:numId w:val="0"/>
        </w:numPr>
      </w:pPr>
      <w:r w:rsidRPr="00FE3A13">
        <w:t xml:space="preserve">&gt; </w:t>
      </w:r>
      <w:r w:rsidRPr="00FE3A13">
        <w:tab/>
      </w:r>
      <w:r w:rsidRPr="00FE3A13">
        <w:rPr>
          <w:b/>
          <w:bCs/>
        </w:rPr>
        <w:t>Réduire la part des communes à l’impôt sur les véhicules à moteur</w:t>
      </w:r>
    </w:p>
    <w:p w14:paraId="4AE20CB1" w14:textId="77777777" w:rsidR="00E31F9D" w:rsidRPr="00FE3A13" w:rsidRDefault="00E31F9D" w:rsidP="00E31F9D">
      <w:pPr>
        <w:pStyle w:val="Corpsdetexte"/>
      </w:pPr>
      <w:r w:rsidRPr="00FE3A13">
        <w:t xml:space="preserve">La mesure propose de réduire la part des communes à l’impôt sur les véhicules à moteur. Elles touchent actuellement 20% de l’impôt et leur part serait réduite à 10%. Une très faible part est rétrocédée à l’OCN pour le travail effectué. Cette part serait aussi adaptée à la baisse. </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7B2F7668"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D0DBBFD" w14:textId="77777777" w:rsidR="00E31F9D" w:rsidRPr="00FE3A13" w:rsidRDefault="00E31F9D" w:rsidP="004F092C">
            <w:pPr>
              <w:pStyle w:val="NIVtableau"/>
              <w:rPr>
                <w:color w:val="auto"/>
                <w:sz w:val="21"/>
                <w:lang w:val="en-US"/>
              </w:rPr>
            </w:pPr>
            <w:r w:rsidRPr="00FE3A13">
              <w:rPr>
                <w:lang w:val="en-US"/>
              </w:rPr>
              <w:t>Incidences financières en francs</w:t>
            </w:r>
          </w:p>
        </w:tc>
        <w:tc>
          <w:tcPr>
            <w:tcW w:w="833" w:type="pct"/>
          </w:tcPr>
          <w:p w14:paraId="72F1C30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FD3055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D8167FA"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87E953A"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7FE2077F"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6DE77A7" w14:textId="77777777" w:rsidR="00E31F9D" w:rsidRPr="00FE3A13" w:rsidRDefault="00E31F9D" w:rsidP="004F092C">
            <w:pPr>
              <w:pStyle w:val="NIVtableau"/>
              <w:rPr>
                <w:lang w:val="en-US"/>
              </w:rPr>
            </w:pPr>
            <w:r w:rsidRPr="00FE3A13">
              <w:rPr>
                <w:lang w:val="en-US"/>
              </w:rPr>
              <w:t>Etat</w:t>
            </w:r>
          </w:p>
        </w:tc>
        <w:tc>
          <w:tcPr>
            <w:tcW w:w="833" w:type="pct"/>
          </w:tcPr>
          <w:p w14:paraId="7FA135E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12 660 000</w:t>
            </w:r>
          </w:p>
        </w:tc>
        <w:tc>
          <w:tcPr>
            <w:tcW w:w="833" w:type="pct"/>
          </w:tcPr>
          <w:p w14:paraId="669CEE6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12 787 000</w:t>
            </w:r>
          </w:p>
        </w:tc>
        <w:tc>
          <w:tcPr>
            <w:tcW w:w="833" w:type="pct"/>
          </w:tcPr>
          <w:p w14:paraId="2D71B99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12 915 000</w:t>
            </w:r>
          </w:p>
        </w:tc>
        <w:tc>
          <w:tcPr>
            <w:tcW w:w="831" w:type="pct"/>
          </w:tcPr>
          <w:p w14:paraId="7EEA5C4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38 362 000</w:t>
            </w:r>
          </w:p>
        </w:tc>
      </w:tr>
      <w:tr w:rsidR="00E31F9D" w:rsidRPr="00FE3A13" w14:paraId="4C5F4130"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D4683E8" w14:textId="77777777" w:rsidR="00E31F9D" w:rsidRPr="00FE3A13" w:rsidRDefault="00E31F9D" w:rsidP="004F092C">
            <w:pPr>
              <w:pStyle w:val="NIVtableau"/>
              <w:rPr>
                <w:b w:val="0"/>
                <w:lang w:val="en-US"/>
              </w:rPr>
            </w:pPr>
            <w:r w:rsidRPr="00FE3A13">
              <w:rPr>
                <w:b w:val="0"/>
                <w:lang w:val="en-US"/>
              </w:rPr>
              <w:t>Communes</w:t>
            </w:r>
          </w:p>
        </w:tc>
        <w:tc>
          <w:tcPr>
            <w:tcW w:w="833" w:type="pct"/>
          </w:tcPr>
          <w:p w14:paraId="353F1CF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-12 660 000</w:t>
            </w:r>
          </w:p>
        </w:tc>
        <w:tc>
          <w:tcPr>
            <w:tcW w:w="833" w:type="pct"/>
          </w:tcPr>
          <w:p w14:paraId="5148219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-12 787 000</w:t>
            </w:r>
          </w:p>
        </w:tc>
        <w:tc>
          <w:tcPr>
            <w:tcW w:w="833" w:type="pct"/>
          </w:tcPr>
          <w:p w14:paraId="573CF46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-12 915 000</w:t>
            </w:r>
          </w:p>
        </w:tc>
        <w:tc>
          <w:tcPr>
            <w:tcW w:w="831" w:type="pct"/>
          </w:tcPr>
          <w:p w14:paraId="58799BEA"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-38 362 000</w:t>
            </w:r>
          </w:p>
        </w:tc>
      </w:tr>
    </w:tbl>
    <w:p w14:paraId="7D54BED4" w14:textId="77777777" w:rsidR="00E31F9D" w:rsidRPr="00FE3A13" w:rsidRDefault="00E31F9D" w:rsidP="00E31F9D">
      <w:pPr>
        <w:pStyle w:val="Titre3"/>
      </w:pPr>
      <w:bookmarkStart w:id="22" w:name="_Toc195714684"/>
      <w:r w:rsidRPr="00FE3A13">
        <w:t>Personnel</w:t>
      </w:r>
      <w:bookmarkEnd w:id="22"/>
    </w:p>
    <w:p w14:paraId="3729B68A" w14:textId="46D2AFF0" w:rsidR="00E31F9D" w:rsidRPr="00FE3A13" w:rsidRDefault="00AD4584" w:rsidP="00E31F9D">
      <w:r>
        <w:t>Le personnel de l’Etat représente, avec une masse salariale de plus de 1,5 milliard de francs, près de 35 % des charges aux comptes 2024. Fort de ce constat, il apparaît inéluctable qu’il soit touché par le PAFE. Les mesures proposées, décrites ci-dessous et dans le cadre de section 4.3.2, visent principalement à contenir ponctuellement la hausse des charges en personnel. Compte tenu de la symétrie des sacrifices, les collaborateurs et collaboratrices de l’Etat ont également à contribuer au PAFE. Conscient de la qualité des prestations fournies et de la charge de travail croissante, le Conseil d’Etat a veillé à ce que les conditions de travail soient, tant que faire se peut, maintenues.</w:t>
      </w:r>
    </w:p>
    <w:tbl>
      <w:tblPr>
        <w:tblStyle w:val="TableauEtatFR"/>
        <w:tblW w:w="5000" w:type="pct"/>
        <w:tblLook w:val="04E0" w:firstRow="1" w:lastRow="1" w:firstColumn="1" w:lastColumn="0" w:noHBand="0" w:noVBand="1"/>
      </w:tblPr>
      <w:tblGrid>
        <w:gridCol w:w="5385"/>
        <w:gridCol w:w="992"/>
        <w:gridCol w:w="3543"/>
      </w:tblGrid>
      <w:tr w:rsidR="00E31F9D" w:rsidRPr="00FE3A13" w14:paraId="538E29E4" w14:textId="77777777" w:rsidTr="004F092C">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564C98C9" w14:textId="2EBEFF17" w:rsidR="00E31F9D" w:rsidRPr="00FE3A13" w:rsidRDefault="00E31F9D" w:rsidP="004F092C">
            <w:pPr>
              <w:pStyle w:val="NIVtableau"/>
              <w:rPr>
                <w:b w:val="0"/>
                <w:color w:val="auto"/>
                <w:sz w:val="21"/>
                <w:lang w:val="fr-FR"/>
              </w:rPr>
            </w:pPr>
            <w:r>
              <w:rPr>
                <w:lang w:val="fr-FR"/>
              </w:rPr>
              <w:t>Liste</w:t>
            </w:r>
            <w:r w:rsidRPr="00FE3A13">
              <w:rPr>
                <w:lang w:val="fr-FR"/>
              </w:rPr>
              <w:t xml:space="preserve"> de</w:t>
            </w:r>
            <w:r>
              <w:rPr>
                <w:lang w:val="fr-FR"/>
              </w:rPr>
              <w:t>s</w:t>
            </w:r>
            <w:r w:rsidRPr="00FE3A13">
              <w:rPr>
                <w:lang w:val="fr-FR"/>
              </w:rPr>
              <w:t xml:space="preserve"> mesures de la compétence du Grand Conseil en matière de personnel</w:t>
            </w:r>
          </w:p>
        </w:tc>
      </w:tr>
      <w:tr w:rsidR="00E31F9D" w:rsidRPr="00FE3A13" w14:paraId="70BAED09" w14:textId="77777777" w:rsidTr="004F092C">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0FE9E5A0" w14:textId="77777777" w:rsidR="00E31F9D" w:rsidRPr="00FE3A13" w:rsidRDefault="00E31F9D" w:rsidP="004F092C">
            <w:pPr>
              <w:pStyle w:val="NIVtableau"/>
              <w:rPr>
                <w:lang w:val="fr-FR"/>
              </w:rPr>
            </w:pPr>
            <w:r w:rsidRPr="00FE3A13">
              <w:rPr>
                <w:lang w:val="fr-FR"/>
              </w:rPr>
              <w:t>Libellé de la mesure</w:t>
            </w:r>
          </w:p>
        </w:tc>
        <w:tc>
          <w:tcPr>
            <w:tcW w:w="2286" w:type="pct"/>
            <w:gridSpan w:val="2"/>
          </w:tcPr>
          <w:p w14:paraId="1B1ADDC7"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Base légale à modifier</w:t>
            </w:r>
          </w:p>
        </w:tc>
      </w:tr>
      <w:tr w:rsidR="00E31F9D" w:rsidRPr="00FE3A13" w14:paraId="57891562"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4E2478FD" w14:textId="77777777" w:rsidR="00E31F9D" w:rsidRPr="00FE3A13" w:rsidRDefault="00E31F9D" w:rsidP="004F092C">
            <w:pPr>
              <w:pStyle w:val="NIVtableau"/>
              <w:rPr>
                <w:lang w:val="fr-FR"/>
              </w:rPr>
            </w:pPr>
          </w:p>
        </w:tc>
        <w:tc>
          <w:tcPr>
            <w:tcW w:w="500" w:type="pct"/>
          </w:tcPr>
          <w:p w14:paraId="68427286"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N°RSF</w:t>
            </w:r>
          </w:p>
        </w:tc>
        <w:tc>
          <w:tcPr>
            <w:tcW w:w="1786" w:type="pct"/>
          </w:tcPr>
          <w:p w14:paraId="58307F1B"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Titre</w:t>
            </w:r>
          </w:p>
        </w:tc>
      </w:tr>
      <w:tr w:rsidR="00E31F9D" w:rsidRPr="00FE3A13" w14:paraId="183E2CF4"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410643FE" w14:textId="77777777" w:rsidR="00E31F9D" w:rsidRPr="00FE3A13" w:rsidRDefault="00E31F9D" w:rsidP="004F092C">
            <w:pPr>
              <w:pStyle w:val="NIVtableau"/>
              <w:spacing w:before="100" w:after="100" w:line="280" w:lineRule="atLeast"/>
              <w:rPr>
                <w:lang w:val="fr-FR"/>
              </w:rPr>
            </w:pPr>
            <w:r w:rsidRPr="00FE3A13">
              <w:t>b)</w:t>
            </w:r>
            <w:r w:rsidRPr="00FE3A13">
              <w:rPr>
                <w:b w:val="0"/>
                <w:bCs w:val="0"/>
              </w:rPr>
              <w:t xml:space="preserve"> </w:t>
            </w:r>
            <w:r w:rsidRPr="00FE3A13">
              <w:rPr>
                <w:bCs w:val="0"/>
              </w:rPr>
              <w:t>Mesures du PAFE</w:t>
            </w:r>
            <w:r w:rsidRPr="00FE3A13">
              <w:rPr>
                <w:b w:val="0"/>
                <w:bCs w:val="0"/>
              </w:rPr>
              <w:br/>
              <w:t>- Renoncer à l’indexation des salaires (avec fixation d’un seuil à 117 points)</w:t>
            </w:r>
            <w:r w:rsidRPr="00FE3A13">
              <w:br/>
            </w:r>
            <w:r w:rsidRPr="00FE3A13">
              <w:rPr>
                <w:b w:val="0"/>
                <w:bCs w:val="0"/>
              </w:rPr>
              <w:t>- Décalage de l’augmentation du palier</w:t>
            </w:r>
            <w:r w:rsidRPr="00FE3A13">
              <w:rPr>
                <w:b w:val="0"/>
                <w:bCs w:val="0"/>
              </w:rPr>
              <w:br/>
            </w:r>
            <w:r w:rsidRPr="00FE3A13">
              <w:rPr>
                <w:b w:val="0"/>
                <w:bCs w:val="0"/>
              </w:rPr>
              <w:br/>
              <w:t>- Introduction d’une contribution de solidarité</w:t>
            </w:r>
          </w:p>
        </w:tc>
        <w:tc>
          <w:tcPr>
            <w:tcW w:w="500" w:type="pct"/>
          </w:tcPr>
          <w:p w14:paraId="286B36A0" w14:textId="77777777"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lang w:val="fr-FR"/>
              </w:rPr>
            </w:pPr>
            <w:r w:rsidRPr="00FE3A13">
              <w:rPr>
                <w:b w:val="0"/>
                <w:bCs w:val="0"/>
              </w:rPr>
              <w:br/>
            </w:r>
            <w:r w:rsidRPr="00FE3A13">
              <w:rPr>
                <w:b w:val="0"/>
                <w:bCs w:val="0"/>
                <w:lang w:val="fr-FR"/>
              </w:rPr>
              <w:t>122.70.1</w:t>
            </w:r>
            <w:r w:rsidRPr="00FE3A13">
              <w:rPr>
                <w:b w:val="0"/>
                <w:bCs w:val="0"/>
                <w:lang w:val="fr-FR"/>
              </w:rPr>
              <w:br/>
            </w:r>
            <w:r w:rsidRPr="00FE3A13">
              <w:rPr>
                <w:b w:val="0"/>
                <w:bCs w:val="0"/>
                <w:lang w:val="fr-FR"/>
              </w:rPr>
              <w:br/>
              <w:t>122.70.1</w:t>
            </w:r>
            <w:r w:rsidRPr="00FE3A13">
              <w:rPr>
                <w:b w:val="0"/>
                <w:bCs w:val="0"/>
                <w:lang w:val="fr-FR"/>
              </w:rPr>
              <w:br/>
            </w:r>
            <w:r w:rsidRPr="00FE3A13">
              <w:rPr>
                <w:b w:val="0"/>
                <w:bCs w:val="0"/>
                <w:lang w:val="fr-FR"/>
              </w:rPr>
              <w:br/>
              <w:t>122.70.1</w:t>
            </w:r>
            <w:r w:rsidRPr="00FE3A13">
              <w:rPr>
                <w:b w:val="0"/>
                <w:bCs w:val="0"/>
                <w:lang w:val="fr-FR"/>
              </w:rPr>
              <w:br/>
            </w:r>
            <w:r w:rsidRPr="00FE3A13">
              <w:rPr>
                <w:b w:val="0"/>
                <w:bCs w:val="0"/>
                <w:lang w:val="fr-FR"/>
              </w:rPr>
              <w:lastRenderedPageBreak/>
              <w:t>et</w:t>
            </w:r>
            <w:r w:rsidRPr="00FE3A13">
              <w:rPr>
                <w:b w:val="0"/>
                <w:bCs w:val="0"/>
                <w:lang w:val="fr-FR"/>
              </w:rPr>
              <w:br/>
              <w:t>122.1.3</w:t>
            </w:r>
          </w:p>
        </w:tc>
        <w:tc>
          <w:tcPr>
            <w:tcW w:w="1786" w:type="pct"/>
          </w:tcPr>
          <w:p w14:paraId="341B5950" w14:textId="77777777"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Cs w:val="0"/>
                <w:lang w:val="fr-FR"/>
              </w:rPr>
            </w:pPr>
            <w:r w:rsidRPr="00FE3A13">
              <w:rPr>
                <w:b w:val="0"/>
                <w:bCs w:val="0"/>
              </w:rPr>
              <w:lastRenderedPageBreak/>
              <w:br/>
            </w:r>
            <w:r w:rsidRPr="00FE3A13">
              <w:rPr>
                <w:b w:val="0"/>
                <w:bCs w:val="0"/>
                <w:lang w:val="fr-FR"/>
              </w:rPr>
              <w:t>Loi du 17 octobre 2001 sur le personnel de l’Etat (LPers)</w:t>
            </w:r>
            <w:r w:rsidRPr="00FE3A13">
              <w:rPr>
                <w:b w:val="0"/>
                <w:bCs w:val="0"/>
                <w:lang w:val="fr-FR"/>
              </w:rPr>
              <w:br/>
              <w:t>Loi du 17 octobre 2001 sur le personnel de l’Etat (LPers)</w:t>
            </w:r>
            <w:r w:rsidRPr="00FE3A13">
              <w:rPr>
                <w:b w:val="0"/>
                <w:bCs w:val="0"/>
                <w:lang w:val="fr-FR"/>
              </w:rPr>
              <w:br/>
              <w:t xml:space="preserve">Loi du 17 octobre 2001 sur le personnel de l’Etat </w:t>
            </w:r>
            <w:r w:rsidRPr="00FE3A13">
              <w:rPr>
                <w:b w:val="0"/>
                <w:bCs w:val="0"/>
                <w:lang w:val="fr-FR"/>
              </w:rPr>
              <w:lastRenderedPageBreak/>
              <w:t xml:space="preserve">(LPers) </w:t>
            </w:r>
            <w:r w:rsidRPr="00FE3A13">
              <w:rPr>
                <w:b w:val="0"/>
                <w:bCs w:val="0"/>
                <w:lang w:val="fr-FR"/>
              </w:rPr>
              <w:br/>
              <w:t>Loi du 15 juin 2004 relative au traitement et à la prévoyance professionnelle des conseillers d’Etat, des préfets et des juges cantonaux (LTCE)</w:t>
            </w:r>
          </w:p>
        </w:tc>
      </w:tr>
    </w:tbl>
    <w:p w14:paraId="244F4CC8" w14:textId="77777777" w:rsidR="00E31F9D" w:rsidRPr="00FE3A13" w:rsidRDefault="00E31F9D" w:rsidP="00E31F9D">
      <w:pPr>
        <w:pStyle w:val="Listealphabtique"/>
        <w:numPr>
          <w:ilvl w:val="0"/>
          <w:numId w:val="34"/>
        </w:numPr>
        <w:ind w:left="426" w:hanging="426"/>
        <w:rPr>
          <w:b/>
          <w:bCs/>
        </w:rPr>
      </w:pPr>
      <w:r w:rsidRPr="00FE3A13">
        <w:rPr>
          <w:b/>
          <w:bCs/>
        </w:rPr>
        <w:lastRenderedPageBreak/>
        <w:t>Mesures du PAFE</w:t>
      </w:r>
    </w:p>
    <w:p w14:paraId="11415AB8" w14:textId="77777777" w:rsidR="00E31F9D" w:rsidRPr="00FE3A13" w:rsidRDefault="00E31F9D" w:rsidP="00E31F9D">
      <w:pPr>
        <w:pStyle w:val="Listealphabtique"/>
        <w:numPr>
          <w:ilvl w:val="0"/>
          <w:numId w:val="0"/>
        </w:numPr>
      </w:pPr>
      <w:r w:rsidRPr="00FE3A13">
        <w:t xml:space="preserve">&gt; </w:t>
      </w:r>
      <w:r w:rsidRPr="00FE3A13">
        <w:tab/>
      </w:r>
      <w:r w:rsidRPr="00FE3A13">
        <w:rPr>
          <w:b/>
          <w:bCs/>
        </w:rPr>
        <w:t>Renoncer à l’indexation des salaires (avec fixation d’un seuil à 117 points)</w:t>
      </w:r>
    </w:p>
    <w:p w14:paraId="1341F1F4" w14:textId="4C283E0F" w:rsidR="00E31F9D" w:rsidRPr="00FE3A13" w:rsidRDefault="00E31F9D" w:rsidP="00E31F9D">
      <w:pPr>
        <w:pStyle w:val="Corpsdetexte"/>
      </w:pPr>
      <w:r w:rsidRPr="00FE3A13">
        <w:t>La mesure implique de renoncer à l’indexation des salaires avec fixation d’un indice des prix à la consommation de référence. Si l’inflation venait à dépasser cet indice, l’indexation des salaires serait appliquée, partiellement ou totalement. La mesure fixe le seuil à 117 points, alors que les salaires actuels sont déterminés sur la base d’un indice de 114.2 points (novembre 2023, base mai 200</w:t>
      </w:r>
      <w:r w:rsidR="00862EBB">
        <w:t>0</w:t>
      </w:r>
      <w:r w:rsidRPr="00FE3A13">
        <w:t xml:space="preserve"> = 100). L’indexation des salaires serait ainsi suspendue pour une période de trois ans sauf si l’inflation dépassait ce seuil.</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23BD1B20"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3EBDE74" w14:textId="77777777" w:rsidR="00E31F9D" w:rsidRPr="00FE3A13" w:rsidRDefault="00E31F9D" w:rsidP="004F092C">
            <w:pPr>
              <w:pStyle w:val="NIVtableau"/>
              <w:rPr>
                <w:color w:val="auto"/>
                <w:sz w:val="21"/>
                <w:lang w:val="en-US"/>
              </w:rPr>
            </w:pPr>
            <w:r w:rsidRPr="00FE3A13">
              <w:rPr>
                <w:lang w:val="en-US"/>
              </w:rPr>
              <w:t>Incidences financières en francs</w:t>
            </w:r>
          </w:p>
        </w:tc>
        <w:tc>
          <w:tcPr>
            <w:tcW w:w="833" w:type="pct"/>
          </w:tcPr>
          <w:p w14:paraId="6AC1E68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BB683F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3F1854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3392D9D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20EE713D"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8C66FAC" w14:textId="77777777" w:rsidR="00E31F9D" w:rsidRPr="00FE3A13" w:rsidRDefault="00E31F9D" w:rsidP="004F092C">
            <w:pPr>
              <w:pStyle w:val="NIVtableau"/>
              <w:rPr>
                <w:lang w:val="en-US"/>
              </w:rPr>
            </w:pPr>
            <w:r w:rsidRPr="00FE3A13">
              <w:rPr>
                <w:lang w:val="en-US"/>
              </w:rPr>
              <w:t>Etat</w:t>
            </w:r>
          </w:p>
        </w:tc>
        <w:tc>
          <w:tcPr>
            <w:tcW w:w="833" w:type="pct"/>
          </w:tcPr>
          <w:p w14:paraId="5FB6D32D"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16 700 000</w:t>
            </w:r>
          </w:p>
        </w:tc>
        <w:tc>
          <w:tcPr>
            <w:tcW w:w="833" w:type="pct"/>
          </w:tcPr>
          <w:p w14:paraId="03D0604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33 000 000</w:t>
            </w:r>
          </w:p>
        </w:tc>
        <w:tc>
          <w:tcPr>
            <w:tcW w:w="833" w:type="pct"/>
          </w:tcPr>
          <w:p w14:paraId="6C0B6CF2"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21 300 000</w:t>
            </w:r>
          </w:p>
        </w:tc>
        <w:tc>
          <w:tcPr>
            <w:tcW w:w="831" w:type="pct"/>
          </w:tcPr>
          <w:p w14:paraId="0D5F6D3D"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71 000 000</w:t>
            </w:r>
          </w:p>
        </w:tc>
      </w:tr>
      <w:tr w:rsidR="00E31F9D" w:rsidRPr="00FE3A13" w14:paraId="6341C99A"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67AEDD9" w14:textId="77777777" w:rsidR="00E31F9D" w:rsidRPr="00FE3A13" w:rsidRDefault="00E31F9D" w:rsidP="004F092C">
            <w:pPr>
              <w:pStyle w:val="NIVtableau"/>
              <w:rPr>
                <w:b w:val="0"/>
                <w:lang w:val="en-US"/>
              </w:rPr>
            </w:pPr>
            <w:r w:rsidRPr="00FE3A13">
              <w:rPr>
                <w:b w:val="0"/>
                <w:lang w:val="en-US"/>
              </w:rPr>
              <w:t>Communes</w:t>
            </w:r>
          </w:p>
        </w:tc>
        <w:tc>
          <w:tcPr>
            <w:tcW w:w="833" w:type="pct"/>
          </w:tcPr>
          <w:p w14:paraId="6503A2FA"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4 900 000</w:t>
            </w:r>
          </w:p>
        </w:tc>
        <w:tc>
          <w:tcPr>
            <w:tcW w:w="833" w:type="pct"/>
          </w:tcPr>
          <w:p w14:paraId="5790487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10 100 000</w:t>
            </w:r>
          </w:p>
        </w:tc>
        <w:tc>
          <w:tcPr>
            <w:tcW w:w="833" w:type="pct"/>
          </w:tcPr>
          <w:p w14:paraId="55397398"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7 900 000</w:t>
            </w:r>
          </w:p>
        </w:tc>
        <w:tc>
          <w:tcPr>
            <w:tcW w:w="831" w:type="pct"/>
          </w:tcPr>
          <w:p w14:paraId="1814710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22 900 000</w:t>
            </w:r>
          </w:p>
        </w:tc>
      </w:tr>
    </w:tbl>
    <w:p w14:paraId="6DDFF687" w14:textId="77777777" w:rsidR="00E31F9D" w:rsidRPr="00FE3A13" w:rsidRDefault="00E31F9D" w:rsidP="00E31F9D">
      <w:pPr>
        <w:pStyle w:val="Listealphabtique"/>
        <w:numPr>
          <w:ilvl w:val="0"/>
          <w:numId w:val="0"/>
        </w:numPr>
      </w:pPr>
      <w:r w:rsidRPr="00FE3A13">
        <w:t xml:space="preserve">&gt; </w:t>
      </w:r>
      <w:r w:rsidRPr="00FE3A13">
        <w:tab/>
      </w:r>
      <w:r w:rsidRPr="00FE3A13">
        <w:rPr>
          <w:b/>
          <w:bCs/>
        </w:rPr>
        <w:t>Décalage de l’augmentation du palier</w:t>
      </w:r>
    </w:p>
    <w:p w14:paraId="4401943A" w14:textId="77777777" w:rsidR="00E31F9D" w:rsidRPr="00FE3A13" w:rsidRDefault="00E31F9D" w:rsidP="00E31F9D">
      <w:pPr>
        <w:pStyle w:val="Corpsdetexte"/>
      </w:pPr>
      <w:r w:rsidRPr="00FE3A13">
        <w:t>La mesure propose de décaler l’augmentation du palier de 6 mois pour la période 2026-2028. L’augmentation de palier commencerait chaque année au 1er juillet au lieu du 1er janvier. Cette mesure s’appliquerait sur la période 2026-2028. Cette mesure à l’avantage de ne pas prétériter le personnel soumis à la LPers sur le long terme.</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37CAE50D"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BA0403A" w14:textId="77777777" w:rsidR="00E31F9D" w:rsidRPr="00FE3A13" w:rsidRDefault="00E31F9D" w:rsidP="004F092C">
            <w:pPr>
              <w:pStyle w:val="NIVtableau"/>
              <w:rPr>
                <w:color w:val="auto"/>
                <w:sz w:val="21"/>
                <w:lang w:val="en-US"/>
              </w:rPr>
            </w:pPr>
            <w:r w:rsidRPr="00FE3A13">
              <w:rPr>
                <w:lang w:val="en-US"/>
              </w:rPr>
              <w:t>Incidences financières en francs</w:t>
            </w:r>
          </w:p>
        </w:tc>
        <w:tc>
          <w:tcPr>
            <w:tcW w:w="833" w:type="pct"/>
          </w:tcPr>
          <w:p w14:paraId="1DCCABA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FE2743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D926669"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346F9599"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28F77396"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DC1EEB9" w14:textId="77777777" w:rsidR="00E31F9D" w:rsidRPr="00FE3A13" w:rsidRDefault="00E31F9D" w:rsidP="004F092C">
            <w:pPr>
              <w:pStyle w:val="NIVtableau"/>
              <w:rPr>
                <w:lang w:val="en-US"/>
              </w:rPr>
            </w:pPr>
            <w:r w:rsidRPr="00FE3A13">
              <w:rPr>
                <w:lang w:val="en-US"/>
              </w:rPr>
              <w:t>Etat</w:t>
            </w:r>
          </w:p>
        </w:tc>
        <w:tc>
          <w:tcPr>
            <w:tcW w:w="833" w:type="pct"/>
          </w:tcPr>
          <w:p w14:paraId="13F0289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7 985 000</w:t>
            </w:r>
          </w:p>
        </w:tc>
        <w:tc>
          <w:tcPr>
            <w:tcW w:w="833" w:type="pct"/>
          </w:tcPr>
          <w:p w14:paraId="7F520C95"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8 600 000</w:t>
            </w:r>
          </w:p>
        </w:tc>
        <w:tc>
          <w:tcPr>
            <w:tcW w:w="833" w:type="pct"/>
          </w:tcPr>
          <w:p w14:paraId="09B9A745"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8 885 000</w:t>
            </w:r>
          </w:p>
        </w:tc>
        <w:tc>
          <w:tcPr>
            <w:tcW w:w="831" w:type="pct"/>
          </w:tcPr>
          <w:p w14:paraId="3252AE5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25 470 000</w:t>
            </w:r>
          </w:p>
        </w:tc>
      </w:tr>
      <w:tr w:rsidR="00E31F9D" w:rsidRPr="00FE3A13" w14:paraId="6363DDEE"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81A0082" w14:textId="77777777" w:rsidR="00E31F9D" w:rsidRPr="00FE3A13" w:rsidRDefault="00E31F9D" w:rsidP="004F092C">
            <w:pPr>
              <w:pStyle w:val="NIVtableau"/>
              <w:rPr>
                <w:b w:val="0"/>
                <w:lang w:val="en-US"/>
              </w:rPr>
            </w:pPr>
            <w:r w:rsidRPr="00FE3A13">
              <w:rPr>
                <w:b w:val="0"/>
                <w:lang w:val="en-US"/>
              </w:rPr>
              <w:t>Communes</w:t>
            </w:r>
          </w:p>
        </w:tc>
        <w:tc>
          <w:tcPr>
            <w:tcW w:w="833" w:type="pct"/>
          </w:tcPr>
          <w:p w14:paraId="58924BD9"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2 500 000</w:t>
            </w:r>
          </w:p>
        </w:tc>
        <w:tc>
          <w:tcPr>
            <w:tcW w:w="833" w:type="pct"/>
          </w:tcPr>
          <w:p w14:paraId="7F74AEC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2 800 000</w:t>
            </w:r>
          </w:p>
        </w:tc>
        <w:tc>
          <w:tcPr>
            <w:tcW w:w="833" w:type="pct"/>
          </w:tcPr>
          <w:p w14:paraId="3A6103A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2 800 000</w:t>
            </w:r>
          </w:p>
        </w:tc>
        <w:tc>
          <w:tcPr>
            <w:tcW w:w="831" w:type="pct"/>
          </w:tcPr>
          <w:p w14:paraId="36D6A425"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8 100 000</w:t>
            </w:r>
          </w:p>
        </w:tc>
      </w:tr>
    </w:tbl>
    <w:p w14:paraId="0945E009" w14:textId="77777777" w:rsidR="00E31F9D" w:rsidRPr="00FE3A13" w:rsidRDefault="00E31F9D" w:rsidP="00E31F9D">
      <w:pPr>
        <w:pStyle w:val="Listealphabtique"/>
        <w:numPr>
          <w:ilvl w:val="0"/>
          <w:numId w:val="0"/>
        </w:numPr>
        <w:rPr>
          <w:b/>
          <w:bCs/>
        </w:rPr>
      </w:pPr>
      <w:r w:rsidRPr="00FE3A13">
        <w:t xml:space="preserve">&gt; </w:t>
      </w:r>
      <w:r w:rsidRPr="00FE3A13">
        <w:tab/>
      </w:r>
      <w:r w:rsidRPr="00FE3A13">
        <w:rPr>
          <w:b/>
          <w:bCs/>
        </w:rPr>
        <w:t>Introduction d’une contribution de solidarité</w:t>
      </w:r>
    </w:p>
    <w:p w14:paraId="58B07450" w14:textId="77777777" w:rsidR="00E31F9D" w:rsidRPr="00FE3A13" w:rsidRDefault="00E31F9D" w:rsidP="00E31F9D">
      <w:pPr>
        <w:pStyle w:val="Corpsdetexte"/>
      </w:pPr>
      <w:r w:rsidRPr="00FE3A13">
        <w:t xml:space="preserve">La mesure propose d’introduire une contribution de solidarité pour les années 2027 et 2028. La contribution de solidarité s’élèverait à 1% de la part du salaire annuel dépassant 39'000 frs, cela correspond à la méthodologie du dernier programme d’assainissement (mesures structurelles et d’économie 2013-2016). Des coûts d’adaptation du système informatique sont nécessaires. </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6FD3A67F"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46B0000" w14:textId="77777777" w:rsidR="00E31F9D" w:rsidRPr="00FE3A13" w:rsidRDefault="00E31F9D" w:rsidP="004F092C">
            <w:pPr>
              <w:pStyle w:val="NIVtableau"/>
              <w:rPr>
                <w:color w:val="auto"/>
                <w:sz w:val="21"/>
                <w:lang w:val="en-US"/>
              </w:rPr>
            </w:pPr>
            <w:r w:rsidRPr="00FE3A13">
              <w:rPr>
                <w:lang w:val="en-US"/>
              </w:rPr>
              <w:t>Incidences financières en francs</w:t>
            </w:r>
          </w:p>
        </w:tc>
        <w:tc>
          <w:tcPr>
            <w:tcW w:w="833" w:type="pct"/>
          </w:tcPr>
          <w:p w14:paraId="17EBB8C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91D37C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0F2E7E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1B74B62"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0719A902"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5A74ECF" w14:textId="77777777" w:rsidR="00E31F9D" w:rsidRPr="00FE3A13" w:rsidRDefault="00E31F9D" w:rsidP="004F092C">
            <w:pPr>
              <w:pStyle w:val="NIVtableau"/>
              <w:rPr>
                <w:lang w:val="en-US"/>
              </w:rPr>
            </w:pPr>
            <w:r w:rsidRPr="00FE3A13">
              <w:rPr>
                <w:lang w:val="en-US"/>
              </w:rPr>
              <w:t>Etat</w:t>
            </w:r>
          </w:p>
        </w:tc>
        <w:tc>
          <w:tcPr>
            <w:tcW w:w="833" w:type="pct"/>
          </w:tcPr>
          <w:p w14:paraId="1E871F5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3" w:type="pct"/>
          </w:tcPr>
          <w:p w14:paraId="40C8F7C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10 600 000</w:t>
            </w:r>
          </w:p>
        </w:tc>
        <w:tc>
          <w:tcPr>
            <w:tcW w:w="833" w:type="pct"/>
          </w:tcPr>
          <w:p w14:paraId="78D79F6E"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10 970 000</w:t>
            </w:r>
          </w:p>
        </w:tc>
        <w:tc>
          <w:tcPr>
            <w:tcW w:w="831" w:type="pct"/>
          </w:tcPr>
          <w:p w14:paraId="030C39F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21 520 000</w:t>
            </w:r>
          </w:p>
        </w:tc>
      </w:tr>
      <w:tr w:rsidR="00E31F9D" w:rsidRPr="00FE3A13" w14:paraId="010FCE0D"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E755C23" w14:textId="77777777" w:rsidR="00E31F9D" w:rsidRPr="00FE3A13" w:rsidRDefault="00E31F9D" w:rsidP="004F092C">
            <w:pPr>
              <w:pStyle w:val="NIVtableau"/>
              <w:rPr>
                <w:b w:val="0"/>
                <w:lang w:val="en-US"/>
              </w:rPr>
            </w:pPr>
            <w:r w:rsidRPr="00FE3A13">
              <w:rPr>
                <w:b w:val="0"/>
                <w:lang w:val="en-US"/>
              </w:rPr>
              <w:t>Communes</w:t>
            </w:r>
          </w:p>
        </w:tc>
        <w:tc>
          <w:tcPr>
            <w:tcW w:w="833" w:type="pct"/>
          </w:tcPr>
          <w:p w14:paraId="775C943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5AE765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4 400 000</w:t>
            </w:r>
          </w:p>
        </w:tc>
        <w:tc>
          <w:tcPr>
            <w:tcW w:w="833" w:type="pct"/>
          </w:tcPr>
          <w:p w14:paraId="00FFC826"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4 700 000</w:t>
            </w:r>
          </w:p>
        </w:tc>
        <w:tc>
          <w:tcPr>
            <w:tcW w:w="831" w:type="pct"/>
          </w:tcPr>
          <w:p w14:paraId="6FADFEA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9 100 000</w:t>
            </w:r>
          </w:p>
        </w:tc>
      </w:tr>
    </w:tbl>
    <w:p w14:paraId="56608557" w14:textId="77777777" w:rsidR="00E31F9D" w:rsidRPr="00FE3A13" w:rsidRDefault="00E31F9D" w:rsidP="00E31F9D">
      <w:pPr>
        <w:pStyle w:val="Titre3"/>
      </w:pPr>
      <w:bookmarkStart w:id="23" w:name="_Toc195714685"/>
      <w:r w:rsidRPr="00FE3A13">
        <w:t>Subventionnement</w:t>
      </w:r>
      <w:bookmarkEnd w:id="23"/>
    </w:p>
    <w:p w14:paraId="4FE8326C" w14:textId="77777777" w:rsidR="00E31F9D" w:rsidRPr="00FE3A13" w:rsidRDefault="00E31F9D" w:rsidP="00E31F9D">
      <w:r w:rsidRPr="00FE3A13">
        <w:t>En matière de subventionnement, les mesures suivantes sont proposées.</w:t>
      </w:r>
    </w:p>
    <w:tbl>
      <w:tblPr>
        <w:tblStyle w:val="TableauEtatFR"/>
        <w:tblW w:w="5000" w:type="pct"/>
        <w:tblLook w:val="04E0" w:firstRow="1" w:lastRow="1" w:firstColumn="1" w:lastColumn="0" w:noHBand="0" w:noVBand="1"/>
      </w:tblPr>
      <w:tblGrid>
        <w:gridCol w:w="5385"/>
        <w:gridCol w:w="992"/>
        <w:gridCol w:w="3543"/>
      </w:tblGrid>
      <w:tr w:rsidR="00E31F9D" w:rsidRPr="00FE3A13" w14:paraId="3D36858C" w14:textId="77777777" w:rsidTr="004F092C">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19E33A0B" w14:textId="15BFC28E" w:rsidR="00E31F9D" w:rsidRPr="00FE3A13" w:rsidRDefault="00E31F9D" w:rsidP="004F092C">
            <w:pPr>
              <w:pStyle w:val="NIVtableau"/>
              <w:rPr>
                <w:b w:val="0"/>
                <w:color w:val="auto"/>
                <w:sz w:val="21"/>
                <w:lang w:val="fr-FR"/>
              </w:rPr>
            </w:pPr>
            <w:r>
              <w:rPr>
                <w:lang w:val="fr-FR"/>
              </w:rPr>
              <w:t>Liste</w:t>
            </w:r>
            <w:r w:rsidRPr="00FE3A13">
              <w:rPr>
                <w:lang w:val="fr-FR"/>
              </w:rPr>
              <w:t xml:space="preserve"> de</w:t>
            </w:r>
            <w:r>
              <w:rPr>
                <w:lang w:val="fr-FR"/>
              </w:rPr>
              <w:t>s</w:t>
            </w:r>
            <w:r w:rsidRPr="00FE3A13">
              <w:rPr>
                <w:lang w:val="fr-FR"/>
              </w:rPr>
              <w:t xml:space="preserve"> mesures de la compétence du Grand Conseil</w:t>
            </w:r>
            <w:r w:rsidR="00B70FF2">
              <w:rPr>
                <w:lang w:val="fr-FR"/>
              </w:rPr>
              <w:t xml:space="preserve"> </w:t>
            </w:r>
            <w:r w:rsidRPr="00FE3A13">
              <w:rPr>
                <w:lang w:val="fr-FR"/>
              </w:rPr>
              <w:t>en matière de subventionnement</w:t>
            </w:r>
          </w:p>
        </w:tc>
      </w:tr>
      <w:tr w:rsidR="00E31F9D" w:rsidRPr="00FE3A13" w14:paraId="48ABE39A" w14:textId="77777777" w:rsidTr="004F092C">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6FAE259F" w14:textId="77777777" w:rsidR="00E31F9D" w:rsidRPr="00FE3A13" w:rsidRDefault="00E31F9D" w:rsidP="004F092C">
            <w:pPr>
              <w:pStyle w:val="NIVtableau"/>
              <w:rPr>
                <w:lang w:val="fr-FR"/>
              </w:rPr>
            </w:pPr>
            <w:r w:rsidRPr="00FE3A13">
              <w:rPr>
                <w:lang w:val="fr-FR"/>
              </w:rPr>
              <w:t>Libellé de la mesure</w:t>
            </w:r>
          </w:p>
        </w:tc>
        <w:tc>
          <w:tcPr>
            <w:tcW w:w="2286" w:type="pct"/>
            <w:gridSpan w:val="2"/>
          </w:tcPr>
          <w:p w14:paraId="06E635D5"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Base légale à modifier</w:t>
            </w:r>
          </w:p>
        </w:tc>
      </w:tr>
      <w:tr w:rsidR="00E31F9D" w:rsidRPr="00FE3A13" w14:paraId="58013DF0"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05475FC5" w14:textId="77777777" w:rsidR="00E31F9D" w:rsidRPr="00FE3A13" w:rsidRDefault="00E31F9D" w:rsidP="004F092C">
            <w:pPr>
              <w:pStyle w:val="NIVtableau"/>
              <w:rPr>
                <w:lang w:val="fr-FR"/>
              </w:rPr>
            </w:pPr>
          </w:p>
        </w:tc>
        <w:tc>
          <w:tcPr>
            <w:tcW w:w="500" w:type="pct"/>
          </w:tcPr>
          <w:p w14:paraId="1E31AD5C"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N°RSF</w:t>
            </w:r>
          </w:p>
        </w:tc>
        <w:tc>
          <w:tcPr>
            <w:tcW w:w="1786" w:type="pct"/>
          </w:tcPr>
          <w:p w14:paraId="72D45D03"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Titre</w:t>
            </w:r>
          </w:p>
        </w:tc>
      </w:tr>
      <w:tr w:rsidR="00E31F9D" w:rsidRPr="00FE3A13" w14:paraId="44978740"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42B21826" w14:textId="77777777" w:rsidR="00E31F9D" w:rsidRPr="00FE3A13" w:rsidRDefault="00E31F9D" w:rsidP="004F092C">
            <w:pPr>
              <w:pStyle w:val="NIVtableau"/>
              <w:spacing w:before="100" w:after="100" w:line="280" w:lineRule="atLeast"/>
              <w:rPr>
                <w:lang w:val="fr-FR"/>
              </w:rPr>
            </w:pPr>
            <w:r w:rsidRPr="00FE3A13">
              <w:rPr>
                <w:b/>
                <w:bCs w:val="0"/>
              </w:rPr>
              <w:t>a) Mesures nécessaires pour respecter le plan financier</w:t>
            </w:r>
            <w:r w:rsidRPr="00FE3A13">
              <w:br/>
              <w:t>- Facturation du coût des soins à charge des personnes augmenté à 23.-/jour</w:t>
            </w:r>
            <w:r w:rsidRPr="00FE3A13">
              <w:br/>
            </w:r>
            <w:r w:rsidRPr="00FE3A13">
              <w:lastRenderedPageBreak/>
              <w:br/>
              <w:t>- Suspendre l’adaptation au renchérissement dans les EMS</w:t>
            </w:r>
          </w:p>
        </w:tc>
        <w:tc>
          <w:tcPr>
            <w:tcW w:w="500" w:type="pct"/>
          </w:tcPr>
          <w:p w14:paraId="45553C3A"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lastRenderedPageBreak/>
              <w:br/>
              <w:t>820.6</w:t>
            </w:r>
            <w:r w:rsidRPr="00FE3A13">
              <w:rPr>
                <w:lang w:val="fr-FR"/>
              </w:rPr>
              <w:br/>
            </w:r>
            <w:r w:rsidRPr="00FE3A13">
              <w:rPr>
                <w:lang w:val="fr-FR"/>
              </w:rPr>
              <w:br/>
            </w:r>
            <w:r w:rsidRPr="00FE3A13">
              <w:rPr>
                <w:lang w:val="fr-FR"/>
              </w:rPr>
              <w:lastRenderedPageBreak/>
              <w:br/>
              <w:t>841.3.11.</w:t>
            </w:r>
          </w:p>
        </w:tc>
        <w:tc>
          <w:tcPr>
            <w:tcW w:w="1786" w:type="pct"/>
          </w:tcPr>
          <w:p w14:paraId="71F44F6A"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lastRenderedPageBreak/>
              <w:br/>
              <w:t xml:space="preserve">Loi du 9 décembre 2010 d’application de la loi fédérale sur le nouveau régime de financement </w:t>
            </w:r>
            <w:r w:rsidRPr="00FE3A13">
              <w:rPr>
                <w:lang w:val="fr-FR"/>
              </w:rPr>
              <w:lastRenderedPageBreak/>
              <w:t>des soins</w:t>
            </w:r>
            <w:r w:rsidRPr="00FE3A13">
              <w:rPr>
                <w:lang w:val="fr-FR"/>
              </w:rPr>
              <w:br/>
              <w:t xml:space="preserve">Arrêté d'exécution de la loi du 16 novembre 1965 sur les prestations complémentaires à l'assurance-vieillesse, survivants et invalidité, modifiée par celle du 11 novembre 1970 (AEPC) </w:t>
            </w:r>
            <w:r w:rsidRPr="00FE3A13">
              <w:rPr>
                <w:lang w:val="fr-FR"/>
              </w:rPr>
              <w:br/>
            </w:r>
          </w:p>
        </w:tc>
      </w:tr>
      <w:tr w:rsidR="00E31F9D" w:rsidRPr="00FE3A13" w14:paraId="46680479"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042C71E7" w14:textId="671CD37B" w:rsidR="00E31F9D" w:rsidRPr="00FE3A13" w:rsidRDefault="00E31F9D" w:rsidP="004F092C">
            <w:pPr>
              <w:pStyle w:val="NIVtableau"/>
              <w:spacing w:before="100" w:after="100" w:line="280" w:lineRule="atLeast"/>
              <w:rPr>
                <w:b w:val="0"/>
                <w:bCs w:val="0"/>
              </w:rPr>
            </w:pPr>
            <w:r w:rsidRPr="00FE3A13">
              <w:lastRenderedPageBreak/>
              <w:t>b)</w:t>
            </w:r>
            <w:r w:rsidRPr="00FE3A13">
              <w:rPr>
                <w:b w:val="0"/>
                <w:bCs w:val="0"/>
              </w:rPr>
              <w:t xml:space="preserve"> </w:t>
            </w:r>
            <w:r w:rsidRPr="00FE3A13">
              <w:rPr>
                <w:bCs w:val="0"/>
              </w:rPr>
              <w:t>Mesures du PAFE</w:t>
            </w:r>
            <w:r w:rsidRPr="00FE3A13">
              <w:rPr>
                <w:b w:val="0"/>
                <w:bCs w:val="0"/>
              </w:rPr>
              <w:br/>
              <w:t>- Mieux considérer la fortune pour la participation aux frais des résidents d'EMS</w:t>
            </w:r>
            <w:r w:rsidRPr="00FE3A13">
              <w:br/>
            </w:r>
            <w:r w:rsidRPr="00FE3A13">
              <w:rPr>
                <w:b w:val="0"/>
                <w:bCs w:val="0"/>
              </w:rPr>
              <w:t>- Augmentation du revenu considéré dans le calcul des bourses d'étude et considérer le revenu de l'autre parent en cas de concubinage avec un enfant</w:t>
            </w:r>
            <w:r w:rsidRPr="00FE3A13">
              <w:rPr>
                <w:b w:val="0"/>
                <w:bCs w:val="0"/>
              </w:rPr>
              <w:br/>
              <w:t>- Modifier et simplifier la répartition des subventions dans le domaine de l'aide sociale</w:t>
            </w:r>
            <w:r w:rsidRPr="00FE3A13">
              <w:rPr>
                <w:b w:val="0"/>
                <w:bCs w:val="0"/>
              </w:rPr>
              <w:br/>
            </w:r>
            <w:r w:rsidRPr="00FE3A13">
              <w:rPr>
                <w:b w:val="0"/>
                <w:bCs w:val="0"/>
              </w:rPr>
              <w:br/>
            </w:r>
            <w:r w:rsidRPr="00FE3A13">
              <w:rPr>
                <w:b w:val="0"/>
                <w:bCs w:val="0"/>
              </w:rPr>
              <w:br/>
            </w:r>
            <w:r w:rsidRPr="00FE3A13">
              <w:rPr>
                <w:b w:val="0"/>
                <w:bCs w:val="0"/>
              </w:rPr>
              <w:br/>
            </w:r>
            <w:r w:rsidRPr="00FE3A13">
              <w:rPr>
                <w:b w:val="0"/>
                <w:bCs w:val="0"/>
              </w:rPr>
              <w:br/>
            </w:r>
            <w:r w:rsidRPr="00FE3A13">
              <w:rPr>
                <w:b w:val="0"/>
                <w:bCs w:val="0"/>
              </w:rPr>
              <w:br/>
            </w:r>
            <w:r w:rsidR="00862EBB">
              <w:rPr>
                <w:b w:val="0"/>
                <w:bCs w:val="0"/>
              </w:rPr>
              <w:br/>
            </w:r>
            <w:r w:rsidRPr="00FE3A13">
              <w:rPr>
                <w:b w:val="0"/>
                <w:bCs w:val="0"/>
              </w:rPr>
              <w:t>- Limitation du soutien financier pour les places d'accueil extrafamilial</w:t>
            </w:r>
            <w:r w:rsidRPr="00FE3A13">
              <w:rPr>
                <w:b w:val="0"/>
                <w:bCs w:val="0"/>
              </w:rPr>
              <w:br/>
            </w:r>
            <w:r w:rsidRPr="00FE3A13">
              <w:rPr>
                <w:b w:val="0"/>
                <w:bCs w:val="0"/>
              </w:rPr>
              <w:br/>
              <w:t>- Réévaluation du soutien à la construction de bâtiments scolaires</w:t>
            </w:r>
            <w:r w:rsidRPr="00FE3A13">
              <w:rPr>
                <w:b w:val="0"/>
                <w:bCs w:val="0"/>
              </w:rPr>
              <w:br/>
            </w:r>
            <w:r w:rsidRPr="00FE3A13">
              <w:rPr>
                <w:b w:val="0"/>
                <w:bCs w:val="0"/>
              </w:rPr>
              <w:br/>
            </w:r>
            <w:r w:rsidRPr="00FE3A13">
              <w:rPr>
                <w:b w:val="0"/>
                <w:bCs w:val="0"/>
              </w:rPr>
              <w:br/>
              <w:t>- Réduction des subventions sylvicoles</w:t>
            </w:r>
            <w:r w:rsidRPr="00FE3A13">
              <w:rPr>
                <w:b w:val="0"/>
                <w:bCs w:val="0"/>
              </w:rPr>
              <w:br/>
            </w:r>
            <w:r w:rsidRPr="00FE3A13">
              <w:rPr>
                <w:b w:val="0"/>
                <w:bCs w:val="0"/>
              </w:rPr>
              <w:br/>
              <w:t>- Réduction de la participation de l'Etat aux frais de campagne électorale</w:t>
            </w:r>
          </w:p>
        </w:tc>
        <w:tc>
          <w:tcPr>
            <w:tcW w:w="500" w:type="pct"/>
          </w:tcPr>
          <w:p w14:paraId="381A619E" w14:textId="4E06C46B"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FE3A13">
              <w:rPr>
                <w:b w:val="0"/>
                <w:bCs w:val="0"/>
              </w:rPr>
              <w:br/>
              <w:t>820.2</w:t>
            </w:r>
            <w:r w:rsidRPr="00FE3A13">
              <w:rPr>
                <w:b w:val="0"/>
                <w:bCs w:val="0"/>
              </w:rPr>
              <w:br/>
            </w:r>
            <w:r w:rsidRPr="00FE3A13">
              <w:rPr>
                <w:b w:val="0"/>
                <w:bCs w:val="0"/>
              </w:rPr>
              <w:br/>
              <w:t>44.1</w:t>
            </w:r>
            <w:r w:rsidRPr="00FE3A13">
              <w:rPr>
                <w:b w:val="0"/>
                <w:bCs w:val="0"/>
              </w:rPr>
              <w:br/>
            </w:r>
            <w:r w:rsidRPr="00FE3A13">
              <w:rPr>
                <w:b w:val="0"/>
                <w:bCs w:val="0"/>
              </w:rPr>
              <w:br/>
            </w:r>
            <w:r w:rsidRPr="00FE3A13">
              <w:rPr>
                <w:b w:val="0"/>
                <w:bCs w:val="0"/>
              </w:rPr>
              <w:br/>
              <w:t>831.0.1</w:t>
            </w:r>
            <w:r w:rsidRPr="00FE3A13">
              <w:rPr>
                <w:b w:val="0"/>
                <w:bCs w:val="0"/>
              </w:rPr>
              <w:br/>
              <w:t>et</w:t>
            </w:r>
            <w:r w:rsidRPr="00FE3A13">
              <w:rPr>
                <w:b w:val="0"/>
                <w:bCs w:val="0"/>
              </w:rPr>
              <w:br/>
              <w:t>130.5</w:t>
            </w:r>
            <w:r w:rsidRPr="00FE3A13">
              <w:rPr>
                <w:b w:val="0"/>
                <w:bCs w:val="0"/>
              </w:rPr>
              <w:br/>
              <w:t>et</w:t>
            </w:r>
            <w:r w:rsidRPr="00FE3A13">
              <w:rPr>
                <w:b w:val="0"/>
                <w:bCs w:val="0"/>
              </w:rPr>
              <w:br/>
            </w:r>
            <w:r w:rsidRPr="00FE3A13">
              <w:rPr>
                <w:b w:val="0"/>
                <w:bCs w:val="0"/>
              </w:rPr>
              <w:br/>
              <w:t>212.4.1</w:t>
            </w:r>
            <w:r w:rsidRPr="00FE3A13">
              <w:rPr>
                <w:b w:val="0"/>
                <w:bCs w:val="0"/>
              </w:rPr>
              <w:br/>
            </w:r>
            <w:r w:rsidRPr="00FE3A13">
              <w:rPr>
                <w:b w:val="0"/>
                <w:bCs w:val="0"/>
              </w:rPr>
              <w:br/>
            </w:r>
            <w:r w:rsidR="00706E50">
              <w:rPr>
                <w:b w:val="0"/>
                <w:bCs w:val="0"/>
              </w:rPr>
              <w:br/>
            </w:r>
            <w:r w:rsidRPr="00FE3A13">
              <w:rPr>
                <w:b w:val="0"/>
                <w:bCs w:val="0"/>
              </w:rPr>
              <w:t>835.1</w:t>
            </w:r>
            <w:r w:rsidRPr="00FE3A13">
              <w:rPr>
                <w:b w:val="0"/>
                <w:bCs w:val="0"/>
              </w:rPr>
              <w:br/>
            </w:r>
            <w:r w:rsidRPr="00FE3A13">
              <w:rPr>
                <w:b w:val="0"/>
                <w:bCs w:val="0"/>
              </w:rPr>
              <w:br/>
              <w:t>414.4</w:t>
            </w:r>
            <w:r w:rsidRPr="00FE3A13">
              <w:rPr>
                <w:b w:val="0"/>
                <w:bCs w:val="0"/>
              </w:rPr>
              <w:br/>
            </w:r>
            <w:r w:rsidRPr="00FE3A13">
              <w:rPr>
                <w:b w:val="0"/>
                <w:bCs w:val="0"/>
              </w:rPr>
              <w:br/>
            </w:r>
            <w:r w:rsidRPr="00FE3A13">
              <w:rPr>
                <w:b w:val="0"/>
                <w:bCs w:val="0"/>
              </w:rPr>
              <w:br/>
              <w:t>921.1</w:t>
            </w:r>
            <w:r w:rsidRPr="00FE3A13">
              <w:rPr>
                <w:b w:val="0"/>
                <w:bCs w:val="0"/>
              </w:rPr>
              <w:br/>
            </w:r>
            <w:r w:rsidRPr="00FE3A13">
              <w:rPr>
                <w:b w:val="0"/>
                <w:bCs w:val="0"/>
              </w:rPr>
              <w:br/>
              <w:t>115.6</w:t>
            </w:r>
          </w:p>
        </w:tc>
        <w:tc>
          <w:tcPr>
            <w:tcW w:w="1786" w:type="pct"/>
          </w:tcPr>
          <w:p w14:paraId="671FB4CD" w14:textId="6776CAD3"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FE3A13">
              <w:br/>
            </w:r>
            <w:r w:rsidRPr="00FE3A13">
              <w:rPr>
                <w:b w:val="0"/>
                <w:bCs w:val="0"/>
              </w:rPr>
              <w:t>Loi du 12 mai 2016 sur les prestations médico-sociales (LPMS)</w:t>
            </w:r>
            <w:r w:rsidRPr="00FE3A13">
              <w:rPr>
                <w:b w:val="0"/>
                <w:bCs w:val="0"/>
              </w:rPr>
              <w:br/>
              <w:t xml:space="preserve">Loi du 14 février 2008 sur les bourses et les prêts d'études (LBPE) </w:t>
            </w:r>
            <w:r w:rsidRPr="00FE3A13">
              <w:rPr>
                <w:b w:val="0"/>
                <w:bCs w:val="0"/>
              </w:rPr>
              <w:br/>
            </w:r>
            <w:r w:rsidR="00862EBB">
              <w:rPr>
                <w:b w:val="0"/>
                <w:bCs w:val="0"/>
              </w:rPr>
              <w:br/>
            </w:r>
            <w:r w:rsidRPr="00FE3A13">
              <w:rPr>
                <w:b w:val="0"/>
                <w:bCs w:val="0"/>
              </w:rPr>
              <w:t>Loi du 14 novembre 1991 sur l’aide sociale (LASoc),</w:t>
            </w:r>
            <w:r w:rsidRPr="00FE3A13">
              <w:rPr>
                <w:b w:val="0"/>
                <w:bCs w:val="0"/>
              </w:rPr>
              <w:br/>
              <w:t xml:space="preserve">Loi du 8 octobre 1992 d’application de la législation fédérale sur l’aide aux victimes d’infractions (LALAVI) et </w:t>
            </w:r>
            <w:r w:rsidRPr="00FE3A13">
              <w:rPr>
                <w:b w:val="0"/>
                <w:bCs w:val="0"/>
              </w:rPr>
              <w:br/>
              <w:t>Loi du 8 septembre 2021 sur l’aide au recouvrement et l’avance de contributions d’entretien (LARACE)</w:t>
            </w:r>
            <w:r w:rsidRPr="00FE3A13">
              <w:rPr>
                <w:b w:val="0"/>
                <w:bCs w:val="0"/>
              </w:rPr>
              <w:br/>
              <w:t>Loi 9 juin 2011 sur les structures d’accueil extrafamilial de jour (LStE)</w:t>
            </w:r>
            <w:r w:rsidRPr="00FE3A13">
              <w:rPr>
                <w:b w:val="0"/>
                <w:bCs w:val="0"/>
              </w:rPr>
              <w:br/>
              <w:t>Loi du 11 octobre 2005 relative aux subventions pour les constructions d’écoles enfantines, primaires et du cycle d’orientation</w:t>
            </w:r>
            <w:r w:rsidRPr="00FE3A13">
              <w:rPr>
                <w:b w:val="0"/>
                <w:bCs w:val="0"/>
              </w:rPr>
              <w:br/>
              <w:t xml:space="preserve">Loi du 2 mars 1999 sur les forêts et la protection contre les catastrophes naturelles (LFCN) </w:t>
            </w:r>
            <w:r w:rsidRPr="00FE3A13">
              <w:rPr>
                <w:b w:val="0"/>
                <w:bCs w:val="0"/>
              </w:rPr>
              <w:br/>
              <w:t>Loi du 22 juin 2001 sur la participation de l’Etat aux frais de campagne électorale (LPFC)</w:t>
            </w:r>
          </w:p>
        </w:tc>
      </w:tr>
    </w:tbl>
    <w:p w14:paraId="1F80744B" w14:textId="77777777" w:rsidR="00E31F9D" w:rsidRPr="00FE3A13" w:rsidRDefault="00E31F9D" w:rsidP="00E31F9D">
      <w:pPr>
        <w:pStyle w:val="Listealphabtique"/>
        <w:numPr>
          <w:ilvl w:val="0"/>
          <w:numId w:val="25"/>
        </w:numPr>
        <w:ind w:left="426" w:hanging="426"/>
        <w:rPr>
          <w:b/>
          <w:bCs/>
        </w:rPr>
      </w:pPr>
      <w:r w:rsidRPr="00FE3A13">
        <w:rPr>
          <w:b/>
          <w:bCs/>
        </w:rPr>
        <w:t>Mesures nécessaires pour respecter le plan financier</w:t>
      </w:r>
    </w:p>
    <w:p w14:paraId="1DFA2F06" w14:textId="77777777" w:rsidR="00E31F9D" w:rsidRPr="00FE3A13" w:rsidRDefault="00E31F9D" w:rsidP="00E31F9D">
      <w:pPr>
        <w:pStyle w:val="Corpsdetexte"/>
      </w:pPr>
      <w:r w:rsidRPr="00FE3A13">
        <w:t xml:space="preserve">&gt; </w:t>
      </w:r>
      <w:r w:rsidRPr="00FE3A13">
        <w:tab/>
      </w:r>
      <w:r w:rsidRPr="00FE3A13">
        <w:rPr>
          <w:b/>
          <w:bCs/>
        </w:rPr>
        <w:t>Facturation du coût des soins à charge des personnes augmenté à 23.-/jour</w:t>
      </w:r>
    </w:p>
    <w:p w14:paraId="21EAC17D" w14:textId="4D8D8121" w:rsidR="00E31F9D" w:rsidRPr="00FE3A13" w:rsidRDefault="00E31F9D" w:rsidP="00E31F9D">
      <w:pPr>
        <w:pStyle w:val="Corpsdetexte"/>
      </w:pPr>
      <w:r w:rsidRPr="00FE3A13">
        <w:t>La mesure propose d’augmenter la facturation des soins aux personnes à charge. Conformément au montant maximal autorisé par la LAMAL, chaque personne en EMS se verrait facturer le montant de 23</w:t>
      </w:r>
      <w:r w:rsidR="00ED0D18">
        <w:t xml:space="preserve"> francs</w:t>
      </w:r>
      <w:r w:rsidRPr="00FE3A13">
        <w:t xml:space="preserve"> par jour contre, en moyenne 13 francs, actuellement. La clé de répartition entre l’Etat et les communes ne serait pas modifiée. L’Etat prendrait en charge 45% des frais et les communes 55%.</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63D70F97"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60D96C0"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125D226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9FCF34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80CBC70"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BA5D48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1769032A"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C7DF7CF" w14:textId="77777777" w:rsidR="00E31F9D" w:rsidRPr="00FE3A13" w:rsidRDefault="00E31F9D" w:rsidP="004F092C">
            <w:pPr>
              <w:pStyle w:val="NIVtableau"/>
              <w:rPr>
                <w:lang w:val="en-US"/>
              </w:rPr>
            </w:pPr>
            <w:r w:rsidRPr="00FE3A13">
              <w:rPr>
                <w:lang w:val="en-US"/>
              </w:rPr>
              <w:t>Etat</w:t>
            </w:r>
          </w:p>
        </w:tc>
        <w:tc>
          <w:tcPr>
            <w:tcW w:w="833" w:type="pct"/>
          </w:tcPr>
          <w:p w14:paraId="1798A5E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1 145 000</w:t>
            </w:r>
          </w:p>
        </w:tc>
        <w:tc>
          <w:tcPr>
            <w:tcW w:w="833" w:type="pct"/>
          </w:tcPr>
          <w:p w14:paraId="56206ED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1 145 000</w:t>
            </w:r>
          </w:p>
        </w:tc>
        <w:tc>
          <w:tcPr>
            <w:tcW w:w="833" w:type="pct"/>
          </w:tcPr>
          <w:p w14:paraId="354A3B73"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1 145 000</w:t>
            </w:r>
          </w:p>
        </w:tc>
        <w:tc>
          <w:tcPr>
            <w:tcW w:w="833" w:type="pct"/>
          </w:tcPr>
          <w:p w14:paraId="7BD78DD4"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3 435 000</w:t>
            </w:r>
          </w:p>
        </w:tc>
      </w:tr>
      <w:tr w:rsidR="00E31F9D" w:rsidRPr="00FE3A13" w14:paraId="68BF92B4"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2AB338E"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CE5AB7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1 400 000</w:t>
            </w:r>
          </w:p>
        </w:tc>
        <w:tc>
          <w:tcPr>
            <w:tcW w:w="833" w:type="pct"/>
          </w:tcPr>
          <w:p w14:paraId="41F109F8"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1 400 000</w:t>
            </w:r>
          </w:p>
        </w:tc>
        <w:tc>
          <w:tcPr>
            <w:tcW w:w="833" w:type="pct"/>
          </w:tcPr>
          <w:p w14:paraId="5718390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1 400 000</w:t>
            </w:r>
          </w:p>
        </w:tc>
        <w:tc>
          <w:tcPr>
            <w:tcW w:w="833" w:type="pct"/>
          </w:tcPr>
          <w:p w14:paraId="575165E9"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4 200 000</w:t>
            </w:r>
          </w:p>
        </w:tc>
      </w:tr>
    </w:tbl>
    <w:p w14:paraId="186BF549" w14:textId="77777777" w:rsidR="00E31F9D" w:rsidRPr="00FE3A13" w:rsidRDefault="00E31F9D" w:rsidP="00E31F9D">
      <w:pPr>
        <w:pStyle w:val="Corpsdetexte"/>
      </w:pPr>
      <w:r w:rsidRPr="00FE3A13">
        <w:t xml:space="preserve">&gt; </w:t>
      </w:r>
      <w:r w:rsidRPr="00FE3A13">
        <w:tab/>
      </w:r>
      <w:r w:rsidRPr="00FE3A13">
        <w:rPr>
          <w:b/>
          <w:bCs/>
        </w:rPr>
        <w:t>Suspendre l’adaptation au renchérissement dans les EMS</w:t>
      </w:r>
    </w:p>
    <w:p w14:paraId="00ADA899" w14:textId="77777777" w:rsidR="00E31F9D" w:rsidRPr="00FE3A13" w:rsidRDefault="00E31F9D" w:rsidP="00E31F9D">
      <w:pPr>
        <w:pStyle w:val="Corpsdetexte"/>
      </w:pPr>
      <w:r w:rsidRPr="00FE3A13">
        <w:t>La mesure demande de surseoir à l'adaptation au renchérissement pour le prix de pension dans les EMS pour la durée du PAFE. Actuellement aucun montant n’est prévu dans le plan financier. La décision du Grand Conseil serait donc appliquée dès 2029 et non avant. Les incidences financières sont calculées sur la base d’une augmentation théorique du prix de pension de 1 franc par année.</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56553EBD"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129961A" w14:textId="77777777" w:rsidR="00E31F9D" w:rsidRPr="00FE3A13" w:rsidRDefault="00E31F9D" w:rsidP="004F092C">
            <w:pPr>
              <w:pStyle w:val="NIVtableau"/>
              <w:rPr>
                <w:color w:val="auto"/>
                <w:sz w:val="21"/>
                <w:lang w:val="en-US"/>
              </w:rPr>
            </w:pPr>
            <w:r w:rsidRPr="00FE3A13">
              <w:rPr>
                <w:lang w:val="en-US"/>
              </w:rPr>
              <w:lastRenderedPageBreak/>
              <w:t xml:space="preserve">Incidences </w:t>
            </w:r>
            <w:r w:rsidRPr="00FE3A13">
              <w:rPr>
                <w:lang w:val="fr-FR"/>
              </w:rPr>
              <w:t>financières</w:t>
            </w:r>
            <w:r w:rsidRPr="00FE3A13">
              <w:rPr>
                <w:lang w:val="en-US"/>
              </w:rPr>
              <w:t xml:space="preserve"> en francs</w:t>
            </w:r>
          </w:p>
        </w:tc>
        <w:tc>
          <w:tcPr>
            <w:tcW w:w="833" w:type="pct"/>
          </w:tcPr>
          <w:p w14:paraId="537036D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2F4C1D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2BC39B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9FE92D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3B0D7A54"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F54CEAD" w14:textId="77777777" w:rsidR="00E31F9D" w:rsidRPr="00FE3A13" w:rsidRDefault="00E31F9D" w:rsidP="004F092C">
            <w:pPr>
              <w:pStyle w:val="NIVtableau"/>
              <w:rPr>
                <w:lang w:val="en-US"/>
              </w:rPr>
            </w:pPr>
            <w:r w:rsidRPr="00FE3A13">
              <w:rPr>
                <w:lang w:val="en-US"/>
              </w:rPr>
              <w:t>Etat</w:t>
            </w:r>
          </w:p>
        </w:tc>
        <w:tc>
          <w:tcPr>
            <w:tcW w:w="833" w:type="pct"/>
          </w:tcPr>
          <w:p w14:paraId="1389798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325 000</w:t>
            </w:r>
          </w:p>
        </w:tc>
        <w:tc>
          <w:tcPr>
            <w:tcW w:w="833" w:type="pct"/>
          </w:tcPr>
          <w:p w14:paraId="1C08BA44"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650 000</w:t>
            </w:r>
          </w:p>
        </w:tc>
        <w:tc>
          <w:tcPr>
            <w:tcW w:w="833" w:type="pct"/>
          </w:tcPr>
          <w:p w14:paraId="15DE845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975 000</w:t>
            </w:r>
          </w:p>
        </w:tc>
        <w:tc>
          <w:tcPr>
            <w:tcW w:w="833" w:type="pct"/>
          </w:tcPr>
          <w:p w14:paraId="1487DBF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1 950 000</w:t>
            </w:r>
          </w:p>
        </w:tc>
      </w:tr>
      <w:tr w:rsidR="00E31F9D" w:rsidRPr="00FE3A13" w14:paraId="07434EF7"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F1AB0D3"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0DFE4CF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400’000</w:t>
            </w:r>
          </w:p>
        </w:tc>
        <w:tc>
          <w:tcPr>
            <w:tcW w:w="833" w:type="pct"/>
          </w:tcPr>
          <w:p w14:paraId="6FDC8AE8"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795 000</w:t>
            </w:r>
          </w:p>
        </w:tc>
        <w:tc>
          <w:tcPr>
            <w:tcW w:w="833" w:type="pct"/>
          </w:tcPr>
          <w:p w14:paraId="7AC9CFE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1 190 000</w:t>
            </w:r>
          </w:p>
        </w:tc>
        <w:tc>
          <w:tcPr>
            <w:tcW w:w="833" w:type="pct"/>
          </w:tcPr>
          <w:p w14:paraId="2B3ABBC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2 385 000</w:t>
            </w:r>
          </w:p>
        </w:tc>
      </w:tr>
    </w:tbl>
    <w:p w14:paraId="3C3902A4" w14:textId="77777777" w:rsidR="00E31F9D" w:rsidRPr="00FE3A13" w:rsidRDefault="00E31F9D" w:rsidP="00E31F9D">
      <w:pPr>
        <w:pStyle w:val="Listealphabtique"/>
        <w:numPr>
          <w:ilvl w:val="0"/>
          <w:numId w:val="25"/>
        </w:numPr>
        <w:ind w:left="426" w:hanging="426"/>
        <w:rPr>
          <w:b/>
          <w:bCs/>
        </w:rPr>
      </w:pPr>
      <w:r w:rsidRPr="00FE3A13">
        <w:rPr>
          <w:b/>
          <w:bCs/>
        </w:rPr>
        <w:t>Mesures du PAFE</w:t>
      </w:r>
    </w:p>
    <w:p w14:paraId="72272E28" w14:textId="77777777" w:rsidR="00E31F9D" w:rsidRPr="00FE3A13" w:rsidRDefault="00E31F9D" w:rsidP="00E31F9D">
      <w:pPr>
        <w:pStyle w:val="Listealphabtique"/>
        <w:numPr>
          <w:ilvl w:val="0"/>
          <w:numId w:val="0"/>
        </w:numPr>
      </w:pPr>
      <w:r w:rsidRPr="00FE3A13">
        <w:t xml:space="preserve">&gt; </w:t>
      </w:r>
      <w:r w:rsidRPr="00FE3A13">
        <w:tab/>
      </w:r>
      <w:r w:rsidRPr="00FE3A13">
        <w:rPr>
          <w:b/>
          <w:bCs/>
        </w:rPr>
        <w:t>Mieux considérer la fortune pour la participation aux frais des résidents d'EMS</w:t>
      </w:r>
    </w:p>
    <w:p w14:paraId="6422B9E7" w14:textId="77777777" w:rsidR="00E31F9D" w:rsidRPr="00FE3A13" w:rsidRDefault="00E31F9D" w:rsidP="00E31F9D">
      <w:r w:rsidRPr="00FE3A13">
        <w:t>La mesure souhaite diminuer la franchise de 200'000 francs pour la fortune des résidents, à l'instar d'autres cantons. La variante retenue impliquerait une baisse de la franchise pour les subventions aux frais d’accompagnement à 100'000 francs.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08533944"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342B90C"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51C1CAF0"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293414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63B8CA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58F5F99"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48F9296C"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BC8A085" w14:textId="77777777" w:rsidR="00E31F9D" w:rsidRPr="00FE3A13" w:rsidRDefault="00E31F9D" w:rsidP="004F092C">
            <w:pPr>
              <w:pStyle w:val="NIVtableau"/>
              <w:rPr>
                <w:lang w:val="en-US"/>
              </w:rPr>
            </w:pPr>
            <w:r w:rsidRPr="00FE3A13">
              <w:rPr>
                <w:lang w:val="en-US"/>
              </w:rPr>
              <w:t>Etat</w:t>
            </w:r>
          </w:p>
        </w:tc>
        <w:tc>
          <w:tcPr>
            <w:tcW w:w="833" w:type="pct"/>
          </w:tcPr>
          <w:p w14:paraId="5AC2FEB5"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1 125 000</w:t>
            </w:r>
          </w:p>
        </w:tc>
        <w:tc>
          <w:tcPr>
            <w:tcW w:w="833" w:type="pct"/>
          </w:tcPr>
          <w:p w14:paraId="05B2514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1 125 000</w:t>
            </w:r>
          </w:p>
        </w:tc>
        <w:tc>
          <w:tcPr>
            <w:tcW w:w="833" w:type="pct"/>
          </w:tcPr>
          <w:p w14:paraId="24E4DD5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1 125 000</w:t>
            </w:r>
          </w:p>
        </w:tc>
        <w:tc>
          <w:tcPr>
            <w:tcW w:w="833" w:type="pct"/>
          </w:tcPr>
          <w:p w14:paraId="7B0D516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3 375 000</w:t>
            </w:r>
          </w:p>
        </w:tc>
      </w:tr>
      <w:tr w:rsidR="00E31F9D" w:rsidRPr="00FE3A13" w14:paraId="20122218"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9B6ECE1"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19AA22A5"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1 375 000</w:t>
            </w:r>
          </w:p>
        </w:tc>
        <w:tc>
          <w:tcPr>
            <w:tcW w:w="833" w:type="pct"/>
          </w:tcPr>
          <w:p w14:paraId="2EFFE28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1 375 000</w:t>
            </w:r>
          </w:p>
        </w:tc>
        <w:tc>
          <w:tcPr>
            <w:tcW w:w="833" w:type="pct"/>
          </w:tcPr>
          <w:p w14:paraId="29A2B6B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1 375 000</w:t>
            </w:r>
          </w:p>
        </w:tc>
        <w:tc>
          <w:tcPr>
            <w:tcW w:w="833" w:type="pct"/>
          </w:tcPr>
          <w:p w14:paraId="6248DB4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4 125 000</w:t>
            </w:r>
          </w:p>
        </w:tc>
      </w:tr>
    </w:tbl>
    <w:p w14:paraId="72B2B5A0" w14:textId="77777777" w:rsidR="00E31F9D" w:rsidRPr="00FE3A13" w:rsidRDefault="00E31F9D" w:rsidP="00E31F9D">
      <w:pPr>
        <w:pStyle w:val="Corpsdetexte"/>
      </w:pPr>
      <w:r w:rsidRPr="00FE3A13">
        <w:t xml:space="preserve">&gt; </w:t>
      </w:r>
      <w:r w:rsidRPr="00FE3A13">
        <w:tab/>
      </w:r>
      <w:r w:rsidRPr="00FE3A13">
        <w:rPr>
          <w:b/>
          <w:bCs/>
        </w:rPr>
        <w:t>Augmentation du revenu considéré dans le calcul des bourses d'étude et considérer le revenu de l'autre parent en cas de concubinage avec un enfant</w:t>
      </w:r>
    </w:p>
    <w:p w14:paraId="4CEEC332" w14:textId="0F02FD8D" w:rsidR="00E31F9D" w:rsidRPr="00FE3A13" w:rsidRDefault="00E31F9D" w:rsidP="00E31F9D">
      <w:r w:rsidRPr="00FE3A13">
        <w:t>La mesure indique une augmentation du revenu considéré dans le calcul des bourses d’étude. Actuellement, les revenus des autres personnes légalement tenues à l'entretien de la personne en formation, les revenus du conjoint et les revenus des parents imposés à la source ne sont retenus qu'à raison de 65 %. Le nouveau taux serait désormais fixé à 70%. De plus, lorsque la personne en formation a au moins un enfant, les revenus bruts de l'autre parent, en cas de ménage commun, serait aussi considéré</w:t>
      </w:r>
      <w:r w:rsidR="00ED0D18">
        <w:t>s</w:t>
      </w:r>
      <w:r w:rsidRPr="00FE3A13">
        <w:t xml:space="preserve"> au taux de 70 %. Une partie seulement de cette mesure nécessite une adaptation légale. Afin qu’une mise en œuvre soit possible dès la rentrée scolaire 2025/2026, cette adaptation sera proposée dans le cadre d’un projet plus large de modification de la loi sur les bourses et prêts d’études (LBPE) qui devrait être soumise au Grand Conseil pour sa session de juin.</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6C170412"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EC3299B"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20201459"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9B969A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9181FC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D8756B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5FF732F8"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A0412F6" w14:textId="77777777" w:rsidR="00E31F9D" w:rsidRPr="00FE3A13" w:rsidRDefault="00E31F9D" w:rsidP="004F092C">
            <w:pPr>
              <w:pStyle w:val="NIVtableau"/>
              <w:rPr>
                <w:lang w:val="en-US"/>
              </w:rPr>
            </w:pPr>
            <w:r w:rsidRPr="00FE3A13">
              <w:rPr>
                <w:lang w:val="en-US"/>
              </w:rPr>
              <w:t>Etat</w:t>
            </w:r>
          </w:p>
        </w:tc>
        <w:tc>
          <w:tcPr>
            <w:tcW w:w="833" w:type="pct"/>
          </w:tcPr>
          <w:p w14:paraId="19583AE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c>
          <w:tcPr>
            <w:tcW w:w="833" w:type="pct"/>
          </w:tcPr>
          <w:p w14:paraId="68D8EAC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c>
          <w:tcPr>
            <w:tcW w:w="833" w:type="pct"/>
          </w:tcPr>
          <w:p w14:paraId="64B421AB"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c>
          <w:tcPr>
            <w:tcW w:w="833" w:type="pct"/>
          </w:tcPr>
          <w:p w14:paraId="6D7C989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675 000</w:t>
            </w:r>
          </w:p>
        </w:tc>
      </w:tr>
      <w:tr w:rsidR="00E31F9D" w:rsidRPr="00FE3A13" w14:paraId="0DC0670B"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96B4B02"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14294952"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EEE8E1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0CE67F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97662F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93DD063" w14:textId="77777777" w:rsidR="00E31F9D" w:rsidRPr="00FE3A13" w:rsidRDefault="00E31F9D" w:rsidP="00E31F9D">
      <w:pPr>
        <w:pStyle w:val="Corpsdetexte"/>
        <w:rPr>
          <w:b/>
          <w:bCs/>
        </w:rPr>
      </w:pPr>
      <w:r w:rsidRPr="00FE3A13">
        <w:t xml:space="preserve">&gt; </w:t>
      </w:r>
      <w:r w:rsidRPr="00FE3A13">
        <w:tab/>
      </w:r>
      <w:r w:rsidRPr="00FE3A13">
        <w:rPr>
          <w:b/>
          <w:bCs/>
        </w:rPr>
        <w:t>Modifier et simplifier la répartition des subventions dans le domaine de l'aide sociale</w:t>
      </w:r>
    </w:p>
    <w:p w14:paraId="43703311" w14:textId="77777777" w:rsidR="00E31F9D" w:rsidRPr="00FE3A13" w:rsidRDefault="00E31F9D" w:rsidP="00E31F9D">
      <w:r w:rsidRPr="00FE3A13">
        <w:t>Cette mesure propose de changer la répartition LASoc entre l’Etat et les communes. Actuellement l’Etat assume 40% du financement et les communes 60%. Selon cette nouvelle répartition, l’Etat assumerait 20% des coûts et les communes 80%. En contrepartie le système de subventionnement serait simplifié. L'Etat prendrait en charge les coûts de la LAVI et de la LARACE à 100%, ce qui concorde avec la logique des compétences.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07DF091C"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263E97E"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0E016A3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754282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2954326"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533DE09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1DF55A30"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26D2661" w14:textId="77777777" w:rsidR="00E31F9D" w:rsidRPr="00FE3A13" w:rsidRDefault="00E31F9D" w:rsidP="004F092C">
            <w:pPr>
              <w:pStyle w:val="NIVtableau"/>
              <w:rPr>
                <w:lang w:val="en-US"/>
              </w:rPr>
            </w:pPr>
            <w:r w:rsidRPr="00FE3A13">
              <w:rPr>
                <w:lang w:val="en-US"/>
              </w:rPr>
              <w:t>Etat</w:t>
            </w:r>
          </w:p>
        </w:tc>
        <w:tc>
          <w:tcPr>
            <w:tcW w:w="833" w:type="pct"/>
          </w:tcPr>
          <w:p w14:paraId="00661B5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3 932 000</w:t>
            </w:r>
          </w:p>
        </w:tc>
        <w:tc>
          <w:tcPr>
            <w:tcW w:w="833" w:type="pct"/>
          </w:tcPr>
          <w:p w14:paraId="6834037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4 091 500</w:t>
            </w:r>
          </w:p>
        </w:tc>
        <w:tc>
          <w:tcPr>
            <w:tcW w:w="833" w:type="pct"/>
          </w:tcPr>
          <w:p w14:paraId="2E74E54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4 127 500</w:t>
            </w:r>
          </w:p>
        </w:tc>
        <w:tc>
          <w:tcPr>
            <w:tcW w:w="833" w:type="pct"/>
          </w:tcPr>
          <w:p w14:paraId="558D0493"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12 151 000</w:t>
            </w:r>
          </w:p>
        </w:tc>
      </w:tr>
      <w:tr w:rsidR="00E31F9D" w:rsidRPr="00FE3A13" w14:paraId="5A9A457E"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891B4A8"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38CC8D5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-3 932 000</w:t>
            </w:r>
          </w:p>
        </w:tc>
        <w:tc>
          <w:tcPr>
            <w:tcW w:w="833" w:type="pct"/>
          </w:tcPr>
          <w:p w14:paraId="1A570332"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-4 091 500</w:t>
            </w:r>
          </w:p>
        </w:tc>
        <w:tc>
          <w:tcPr>
            <w:tcW w:w="833" w:type="pct"/>
          </w:tcPr>
          <w:p w14:paraId="17225EA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-4 127 500</w:t>
            </w:r>
          </w:p>
        </w:tc>
        <w:tc>
          <w:tcPr>
            <w:tcW w:w="833" w:type="pct"/>
          </w:tcPr>
          <w:p w14:paraId="1C96A73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-12 151 000</w:t>
            </w:r>
          </w:p>
        </w:tc>
      </w:tr>
    </w:tbl>
    <w:p w14:paraId="6B68E26A" w14:textId="77777777" w:rsidR="00E31F9D" w:rsidRPr="00FE3A13" w:rsidRDefault="00E31F9D" w:rsidP="00E31F9D">
      <w:pPr>
        <w:pStyle w:val="Corpsdetexte"/>
        <w:rPr>
          <w:b/>
          <w:bCs/>
        </w:rPr>
      </w:pPr>
      <w:r w:rsidRPr="00FE3A13">
        <w:t xml:space="preserve">&gt; </w:t>
      </w:r>
      <w:r w:rsidRPr="00FE3A13">
        <w:tab/>
      </w:r>
      <w:r w:rsidRPr="00FE3A13">
        <w:rPr>
          <w:b/>
          <w:bCs/>
        </w:rPr>
        <w:t>Limitation du soutien financier pour les places d'accueil extrafamilial</w:t>
      </w:r>
    </w:p>
    <w:p w14:paraId="31C2EF13" w14:textId="7A0E5646" w:rsidR="00E31F9D" w:rsidRPr="00FE3A13" w:rsidRDefault="00E31F9D" w:rsidP="00E31F9D">
      <w:r w:rsidRPr="00FE3A13">
        <w:t>La base légale actuelle prévoit que l’Etat accorde un soutien financier aux structures d’accueil préscolaire sous la forme d’un forfait accordé en fonction des heures de garde effectives et du type de la structure d’accueil. Elle ajoute qu’avec son soutien l’Etat prend en charge 10 % du coût moyen des structures subventionnées. Il est proposé de renforcer le caractère forfaitaire de l’aide en renonçant à établir un lien avec le coût des prestations subventionnées.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0F653CD2"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E5A7B67" w14:textId="77777777" w:rsidR="00E31F9D" w:rsidRPr="00FE3A13" w:rsidRDefault="00E31F9D" w:rsidP="004F092C">
            <w:pPr>
              <w:pStyle w:val="NIVtableau"/>
              <w:rPr>
                <w:color w:val="auto"/>
                <w:sz w:val="21"/>
                <w:lang w:val="en-US"/>
              </w:rPr>
            </w:pPr>
            <w:r w:rsidRPr="00FE3A13">
              <w:rPr>
                <w:lang w:val="en-US"/>
              </w:rPr>
              <w:lastRenderedPageBreak/>
              <w:t xml:space="preserve">Incidences </w:t>
            </w:r>
            <w:r w:rsidRPr="00FE3A13">
              <w:rPr>
                <w:lang w:val="fr-FR"/>
              </w:rPr>
              <w:t>financières</w:t>
            </w:r>
            <w:r w:rsidRPr="00FE3A13">
              <w:rPr>
                <w:lang w:val="en-US"/>
              </w:rPr>
              <w:t xml:space="preserve"> en francs</w:t>
            </w:r>
          </w:p>
        </w:tc>
        <w:tc>
          <w:tcPr>
            <w:tcW w:w="833" w:type="pct"/>
          </w:tcPr>
          <w:p w14:paraId="103CED8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C71C02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2E50C5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816D7E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676F5F4F"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9DAF97D" w14:textId="77777777" w:rsidR="00E31F9D" w:rsidRPr="00FE3A13" w:rsidRDefault="00E31F9D" w:rsidP="004F092C">
            <w:pPr>
              <w:pStyle w:val="NIVtableau"/>
              <w:rPr>
                <w:lang w:val="en-US"/>
              </w:rPr>
            </w:pPr>
            <w:r w:rsidRPr="00FE3A13">
              <w:rPr>
                <w:lang w:val="en-US"/>
              </w:rPr>
              <w:t>Etat</w:t>
            </w:r>
          </w:p>
        </w:tc>
        <w:tc>
          <w:tcPr>
            <w:tcW w:w="833" w:type="pct"/>
          </w:tcPr>
          <w:p w14:paraId="20A208E7"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700 000</w:t>
            </w:r>
          </w:p>
        </w:tc>
        <w:tc>
          <w:tcPr>
            <w:tcW w:w="833" w:type="pct"/>
          </w:tcPr>
          <w:p w14:paraId="033C4D4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750 000</w:t>
            </w:r>
          </w:p>
        </w:tc>
        <w:tc>
          <w:tcPr>
            <w:tcW w:w="833" w:type="pct"/>
          </w:tcPr>
          <w:p w14:paraId="3B6C671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800 000</w:t>
            </w:r>
          </w:p>
        </w:tc>
        <w:tc>
          <w:tcPr>
            <w:tcW w:w="831" w:type="pct"/>
          </w:tcPr>
          <w:p w14:paraId="48BBCB34"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2 250 000</w:t>
            </w:r>
          </w:p>
        </w:tc>
      </w:tr>
      <w:tr w:rsidR="00E31F9D" w:rsidRPr="00FE3A13" w14:paraId="2B60D649"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6A8363D"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E358225"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5CECA4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93354A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01441185"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D09867D" w14:textId="77777777" w:rsidR="00E31F9D" w:rsidRPr="00FE3A13" w:rsidRDefault="00E31F9D" w:rsidP="00E31F9D">
      <w:pPr>
        <w:rPr>
          <w:b/>
          <w:bCs/>
        </w:rPr>
      </w:pPr>
      <w:r w:rsidRPr="00FE3A13">
        <w:t xml:space="preserve">&gt; </w:t>
      </w:r>
      <w:r w:rsidRPr="00FE3A13">
        <w:tab/>
      </w:r>
      <w:r w:rsidRPr="00FE3A13">
        <w:rPr>
          <w:b/>
          <w:bCs/>
        </w:rPr>
        <w:t>Réévaluation du soutien à la construction de bâtiments scolaires</w:t>
      </w:r>
    </w:p>
    <w:p w14:paraId="11796E08" w14:textId="0BC255E2" w:rsidR="00E31F9D" w:rsidRPr="00FE3A13" w:rsidRDefault="00E31F9D" w:rsidP="00E31F9D">
      <w:r w:rsidRPr="00FE3A13">
        <w:t xml:space="preserve">La mesure propose de renoncer à la prise en charge du soutien à la construction de bâtiments scolaires pour l’école primaire et enfantine. Ce renoncement concerne aussi les accueils extrascolaires qui sont financés par le même canal. Les taux effectifs de subvention pour ce genre de programme sont relativement faibles. L’aide pour les constructions de cycle d’orientation est maintenue. </w:t>
      </w:r>
      <w:r>
        <w:t>Cette mesure allégera l’application des normes dans le domaine des constructions scolaires.</w:t>
      </w:r>
      <w:r w:rsidRPr="00A10F3C">
        <w:t xml:space="preserve"> </w:t>
      </w:r>
      <w:r w:rsidRPr="00FE3A13">
        <w:t>L’économie générée par cet</w:t>
      </w:r>
      <w:r>
        <w:t xml:space="preserve">te mesure </w:t>
      </w:r>
      <w:r w:rsidRPr="00FE3A13">
        <w:t>est estimée à environ 5 millions de francs par an</w:t>
      </w:r>
      <w:r w:rsidR="00B46448">
        <w:t xml:space="preserve"> à terme</w:t>
      </w:r>
      <w:r w:rsidRPr="00FE3A13">
        <w:t xml:space="preserve">. </w:t>
      </w:r>
      <w:r>
        <w:t>L’</w:t>
      </w:r>
      <w:r w:rsidRPr="00FE3A13">
        <w:t>effet ne sera</w:t>
      </w:r>
      <w:r>
        <w:t xml:space="preserve"> toutefois</w:t>
      </w:r>
      <w:r w:rsidRPr="00FE3A13">
        <w:t xml:space="preserve"> pas immédiat. </w:t>
      </w:r>
      <w:r>
        <w:t>Il est prévu en effet que l</w:t>
      </w:r>
      <w:r w:rsidRPr="00FE3A13">
        <w:t>es projets</w:t>
      </w:r>
      <w:r>
        <w:t xml:space="preserve"> </w:t>
      </w:r>
      <w:r w:rsidRPr="00FE3A13">
        <w:t xml:space="preserve">qui, au moment de l’entrée en vigueur de la modification législative, ont déjà fait l’objet d’une approbation du programme des locaux demeureront soumis à l’ancien droit et pourront donc encore bénéficier d’une subvention. Les effets financiers de cette mesure se feront ainsi ressentir de manière progressive et à plus long terme. </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7B504F8E"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A7EDE7A"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7029E9A6"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2F584E9"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FF89F0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FF8EAB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04484612"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308F0D2" w14:textId="77777777" w:rsidR="00E31F9D" w:rsidRPr="00FE3A13" w:rsidRDefault="00E31F9D" w:rsidP="004F092C">
            <w:pPr>
              <w:pStyle w:val="NIVtableau"/>
              <w:rPr>
                <w:lang w:val="en-US"/>
              </w:rPr>
            </w:pPr>
            <w:r w:rsidRPr="00FE3A13">
              <w:rPr>
                <w:lang w:val="en-US"/>
              </w:rPr>
              <w:t>Etat</w:t>
            </w:r>
          </w:p>
        </w:tc>
        <w:tc>
          <w:tcPr>
            <w:tcW w:w="833" w:type="pct"/>
          </w:tcPr>
          <w:p w14:paraId="190B9A6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6D2F53C2" w14:textId="4FAB36AE" w:rsidR="00E31F9D" w:rsidRPr="00FE3A13" w:rsidRDefault="00B46448"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200 000</w:t>
            </w:r>
          </w:p>
        </w:tc>
        <w:tc>
          <w:tcPr>
            <w:tcW w:w="833" w:type="pct"/>
          </w:tcPr>
          <w:p w14:paraId="4BAD1A5C" w14:textId="6AD6913E" w:rsidR="00E31F9D" w:rsidRPr="00FE3A13" w:rsidRDefault="00B46448"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400 000</w:t>
            </w:r>
          </w:p>
        </w:tc>
        <w:tc>
          <w:tcPr>
            <w:tcW w:w="833" w:type="pct"/>
          </w:tcPr>
          <w:p w14:paraId="4AD91004" w14:textId="3604CAF5" w:rsidR="00E31F9D" w:rsidRPr="00FE3A13" w:rsidRDefault="00B46448"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600 000</w:t>
            </w:r>
          </w:p>
        </w:tc>
      </w:tr>
      <w:tr w:rsidR="00E31F9D" w:rsidRPr="00FE3A13" w14:paraId="51855049"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3B4C122"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28620FB8"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501BB91" w14:textId="5D293244" w:rsidR="00E31F9D" w:rsidRPr="00FE3A13" w:rsidRDefault="00B46448"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-200 000</w:t>
            </w:r>
          </w:p>
        </w:tc>
        <w:tc>
          <w:tcPr>
            <w:tcW w:w="833" w:type="pct"/>
          </w:tcPr>
          <w:p w14:paraId="3E858C95" w14:textId="5BA4B0C8" w:rsidR="00E31F9D" w:rsidRPr="00FE3A13" w:rsidRDefault="00B46448"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-400 000</w:t>
            </w:r>
          </w:p>
        </w:tc>
        <w:tc>
          <w:tcPr>
            <w:tcW w:w="833" w:type="pct"/>
          </w:tcPr>
          <w:p w14:paraId="246F00FB" w14:textId="03B66801" w:rsidR="00E31F9D" w:rsidRPr="00FE3A13" w:rsidRDefault="00B46448"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-600 000</w:t>
            </w:r>
          </w:p>
        </w:tc>
      </w:tr>
    </w:tbl>
    <w:p w14:paraId="0265D5B8" w14:textId="4DB83D56" w:rsidR="00E31F9D" w:rsidRPr="00FE3A13" w:rsidRDefault="00E31F9D" w:rsidP="00E31F9D">
      <w:pPr>
        <w:rPr>
          <w:b/>
          <w:bCs/>
        </w:rPr>
      </w:pPr>
      <w:r w:rsidRPr="00FE3A13">
        <w:t xml:space="preserve">&gt; </w:t>
      </w:r>
      <w:r w:rsidRPr="00FE3A13">
        <w:tab/>
      </w:r>
      <w:r w:rsidRPr="00FE3A13">
        <w:rPr>
          <w:b/>
          <w:bCs/>
        </w:rPr>
        <w:t>Réduction des subventions sylvicoles</w:t>
      </w:r>
    </w:p>
    <w:p w14:paraId="17C4951D" w14:textId="77777777" w:rsidR="00E31F9D" w:rsidRPr="00FE3A13" w:rsidRDefault="00E31F9D" w:rsidP="00E31F9D">
      <w:r w:rsidRPr="00FE3A13">
        <w:t>La mesure vise à réduire l’enveloppe pour la régénération et les soins aux jeunes forêts. L’enveloppe devait passablement augmenter en 2026 pour donner suite à une motion (2022-GC-182). Le montant à disposition serait réduit pour correspondre à celui de 2025 soit 425'000 francs. Les prestations actuelles ne seraient ainsi pas réduites.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1B569A19"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B9945E3"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721B09D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254E74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E3A545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EC309A9"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4CC6852F"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46274BE" w14:textId="77777777" w:rsidR="00E31F9D" w:rsidRPr="00FE3A13" w:rsidRDefault="00E31F9D" w:rsidP="004F092C">
            <w:pPr>
              <w:pStyle w:val="NIVtableau"/>
              <w:rPr>
                <w:lang w:val="en-US"/>
              </w:rPr>
            </w:pPr>
            <w:r w:rsidRPr="00FE3A13">
              <w:rPr>
                <w:lang w:val="en-US"/>
              </w:rPr>
              <w:t>Etat</w:t>
            </w:r>
          </w:p>
        </w:tc>
        <w:tc>
          <w:tcPr>
            <w:tcW w:w="833" w:type="pct"/>
          </w:tcPr>
          <w:p w14:paraId="302577B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425 000</w:t>
            </w:r>
          </w:p>
        </w:tc>
        <w:tc>
          <w:tcPr>
            <w:tcW w:w="833" w:type="pct"/>
          </w:tcPr>
          <w:p w14:paraId="286D6C8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425 000</w:t>
            </w:r>
          </w:p>
        </w:tc>
        <w:tc>
          <w:tcPr>
            <w:tcW w:w="833" w:type="pct"/>
          </w:tcPr>
          <w:p w14:paraId="08E99632"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425 000</w:t>
            </w:r>
          </w:p>
        </w:tc>
        <w:tc>
          <w:tcPr>
            <w:tcW w:w="833" w:type="pct"/>
          </w:tcPr>
          <w:p w14:paraId="0433A827"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1 275 000</w:t>
            </w:r>
          </w:p>
        </w:tc>
      </w:tr>
      <w:tr w:rsidR="00E31F9D" w:rsidRPr="00FE3A13" w14:paraId="57880F97"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6F02B92"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76C47586"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-140 000</w:t>
            </w:r>
          </w:p>
        </w:tc>
        <w:tc>
          <w:tcPr>
            <w:tcW w:w="833" w:type="pct"/>
          </w:tcPr>
          <w:p w14:paraId="69DD8EB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-140 000</w:t>
            </w:r>
          </w:p>
        </w:tc>
        <w:tc>
          <w:tcPr>
            <w:tcW w:w="833" w:type="pct"/>
          </w:tcPr>
          <w:p w14:paraId="73B7DD4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-140 000</w:t>
            </w:r>
          </w:p>
        </w:tc>
        <w:tc>
          <w:tcPr>
            <w:tcW w:w="833" w:type="pct"/>
          </w:tcPr>
          <w:p w14:paraId="6FB03FA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-420 000</w:t>
            </w:r>
          </w:p>
        </w:tc>
      </w:tr>
    </w:tbl>
    <w:p w14:paraId="19CAE6CE" w14:textId="77777777" w:rsidR="00E31F9D" w:rsidRPr="00FE3A13" w:rsidRDefault="00E31F9D" w:rsidP="00E31F9D">
      <w:pPr>
        <w:rPr>
          <w:b/>
          <w:bCs/>
        </w:rPr>
      </w:pPr>
      <w:r w:rsidRPr="00FE3A13">
        <w:t xml:space="preserve">&gt; </w:t>
      </w:r>
      <w:r w:rsidRPr="00FE3A13">
        <w:tab/>
      </w:r>
      <w:r w:rsidRPr="00FE3A13">
        <w:rPr>
          <w:b/>
          <w:bCs/>
        </w:rPr>
        <w:t>Réduction de la participation de l'Etat aux frais de campagne électorale</w:t>
      </w:r>
    </w:p>
    <w:p w14:paraId="1805233D" w14:textId="0D5B29EA" w:rsidR="00E31F9D" w:rsidRPr="00FE3A13" w:rsidRDefault="00E31F9D" w:rsidP="00E31F9D">
      <w:r w:rsidRPr="00FE3A13">
        <w:t>La mesure consiste à réduire la participation de l’Etat dans les frais de campagne électorale des partis lors des élections cantonales et fédérales. Le montant fixe serait proportionnellement diminué au total des derniers décomptes finals des frais de campagne publiés. Les élections cantonales bénéficieraient d’une aide de 10% et non plus de 20%. Les élections nationales seraient soutenues à hauteur de 10% et non plus de 15%. Cette mesure va dans le sens du mandat 2025-GC-94 présenté dans le cadre de la section 5.2.</w:t>
      </w:r>
      <w:r w:rsidR="00AC5E01">
        <w:t>6</w:t>
      </w:r>
      <w:r w:rsidRPr="00FE3A13">
        <w:t xml:space="preserve"> ci-dessous.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6693DFF9"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82589B2"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73201D6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2159512"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104AF7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BCCB04A"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1A287B4D"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20437AC" w14:textId="77777777" w:rsidR="00E31F9D" w:rsidRPr="00FE3A13" w:rsidRDefault="00E31F9D" w:rsidP="004F092C">
            <w:pPr>
              <w:pStyle w:val="NIVtableau"/>
              <w:rPr>
                <w:lang w:val="en-US"/>
              </w:rPr>
            </w:pPr>
            <w:r w:rsidRPr="00FE3A13">
              <w:rPr>
                <w:lang w:val="en-US"/>
              </w:rPr>
              <w:t>Etat</w:t>
            </w:r>
          </w:p>
        </w:tc>
        <w:tc>
          <w:tcPr>
            <w:tcW w:w="833" w:type="pct"/>
          </w:tcPr>
          <w:p w14:paraId="06D8AC56"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235 291</w:t>
            </w:r>
          </w:p>
        </w:tc>
        <w:tc>
          <w:tcPr>
            <w:tcW w:w="833" w:type="pct"/>
          </w:tcPr>
          <w:p w14:paraId="4158137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117 550</w:t>
            </w:r>
          </w:p>
        </w:tc>
        <w:tc>
          <w:tcPr>
            <w:tcW w:w="833" w:type="pct"/>
          </w:tcPr>
          <w:p w14:paraId="6AEFAD3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07D53A4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352 841</w:t>
            </w:r>
          </w:p>
        </w:tc>
      </w:tr>
      <w:tr w:rsidR="00E31F9D" w:rsidRPr="00FE3A13" w14:paraId="12CF756E"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E0EE87B"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3CF9704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8562DF6"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D2E171A"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C39070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BD8C74A" w14:textId="77777777" w:rsidR="00E31F9D" w:rsidRPr="00FE3A13" w:rsidRDefault="00E31F9D" w:rsidP="00E31F9D">
      <w:pPr>
        <w:pStyle w:val="Titre3"/>
      </w:pPr>
      <w:bookmarkStart w:id="24" w:name="_Toc195714686"/>
      <w:r w:rsidRPr="00FE3A13">
        <w:t>Projets et réformes</w:t>
      </w:r>
      <w:bookmarkEnd w:id="24"/>
    </w:p>
    <w:tbl>
      <w:tblPr>
        <w:tblStyle w:val="TableauEtatFR"/>
        <w:tblW w:w="5000" w:type="pct"/>
        <w:tblLook w:val="04E0" w:firstRow="1" w:lastRow="1" w:firstColumn="1" w:lastColumn="0" w:noHBand="0" w:noVBand="1"/>
      </w:tblPr>
      <w:tblGrid>
        <w:gridCol w:w="5385"/>
        <w:gridCol w:w="992"/>
        <w:gridCol w:w="3543"/>
      </w:tblGrid>
      <w:tr w:rsidR="00E31F9D" w:rsidRPr="00FE3A13" w14:paraId="02ADED78" w14:textId="77777777" w:rsidTr="004F092C">
        <w:trPr>
          <w:cnfStyle w:val="100000000000" w:firstRow="1" w:lastRow="0" w:firstColumn="0" w:lastColumn="0" w:oddVBand="0" w:evenVBand="0" w:oddHBand="0" w:evenHBand="0" w:firstRowFirstColumn="0" w:firstRowLastColumn="0" w:lastRowFirstColumn="0" w:lastRowLastColumn="0"/>
          <w:trHeight w:val="343"/>
          <w:tblHeader w:val="0"/>
        </w:trPr>
        <w:tc>
          <w:tcPr>
            <w:cnfStyle w:val="001000000000" w:firstRow="0" w:lastRow="0" w:firstColumn="1" w:lastColumn="0" w:oddVBand="0" w:evenVBand="0" w:oddHBand="0" w:evenHBand="0" w:firstRowFirstColumn="0" w:firstRowLastColumn="0" w:lastRowFirstColumn="0" w:lastRowLastColumn="0"/>
            <w:tcW w:w="5000" w:type="pct"/>
            <w:gridSpan w:val="3"/>
          </w:tcPr>
          <w:p w14:paraId="066242EB" w14:textId="50B4ABEB" w:rsidR="00E31F9D" w:rsidRPr="00FE3A13" w:rsidRDefault="00E31F9D" w:rsidP="004F092C">
            <w:pPr>
              <w:pStyle w:val="NIVtableau"/>
              <w:rPr>
                <w:b w:val="0"/>
                <w:color w:val="auto"/>
                <w:sz w:val="21"/>
                <w:lang w:val="fr-FR"/>
              </w:rPr>
            </w:pPr>
            <w:r>
              <w:rPr>
                <w:lang w:val="fr-FR"/>
              </w:rPr>
              <w:t>Liste</w:t>
            </w:r>
            <w:r w:rsidRPr="00FE3A13">
              <w:rPr>
                <w:lang w:val="fr-FR"/>
              </w:rPr>
              <w:t xml:space="preserve"> de</w:t>
            </w:r>
            <w:r>
              <w:rPr>
                <w:lang w:val="fr-FR"/>
              </w:rPr>
              <w:t>s</w:t>
            </w:r>
            <w:r w:rsidRPr="00FE3A13">
              <w:rPr>
                <w:lang w:val="fr-FR"/>
              </w:rPr>
              <w:t xml:space="preserve"> mesures de la compétence du Grand Conseil en matière de projets et réformes</w:t>
            </w:r>
          </w:p>
        </w:tc>
      </w:tr>
      <w:tr w:rsidR="00E31F9D" w:rsidRPr="00FE3A13" w14:paraId="047F5A2A" w14:textId="77777777" w:rsidTr="004F092C">
        <w:tblPrEx>
          <w:tblCellMar>
            <w:bottom w:w="28" w:type="dxa"/>
          </w:tblCellMar>
        </w:tblPrEx>
        <w:trPr>
          <w:trHeight w:val="323"/>
        </w:trPr>
        <w:tc>
          <w:tcPr>
            <w:cnfStyle w:val="001000000000" w:firstRow="0" w:lastRow="0" w:firstColumn="1" w:lastColumn="0" w:oddVBand="0" w:evenVBand="0" w:oddHBand="0" w:evenHBand="0" w:firstRowFirstColumn="0" w:firstRowLastColumn="0" w:lastRowFirstColumn="0" w:lastRowLastColumn="0"/>
            <w:tcW w:w="2714" w:type="pct"/>
            <w:vMerge w:val="restart"/>
          </w:tcPr>
          <w:p w14:paraId="657BBBA1" w14:textId="77777777" w:rsidR="00E31F9D" w:rsidRPr="00FE3A13" w:rsidRDefault="00E31F9D" w:rsidP="004F092C">
            <w:pPr>
              <w:pStyle w:val="NIVtableau"/>
              <w:rPr>
                <w:lang w:val="fr-FR"/>
              </w:rPr>
            </w:pPr>
            <w:r w:rsidRPr="00FE3A13">
              <w:rPr>
                <w:lang w:val="fr-FR"/>
              </w:rPr>
              <w:t>Libellé de la mesure</w:t>
            </w:r>
          </w:p>
        </w:tc>
        <w:tc>
          <w:tcPr>
            <w:tcW w:w="2286" w:type="pct"/>
            <w:gridSpan w:val="2"/>
          </w:tcPr>
          <w:p w14:paraId="56DA01AE"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Base légale à modifier</w:t>
            </w:r>
          </w:p>
        </w:tc>
      </w:tr>
      <w:tr w:rsidR="00E31F9D" w:rsidRPr="00FE3A13" w14:paraId="143FDEB9"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vMerge/>
          </w:tcPr>
          <w:p w14:paraId="24B2AA97" w14:textId="77777777" w:rsidR="00E31F9D" w:rsidRPr="00FE3A13" w:rsidRDefault="00E31F9D" w:rsidP="004F092C">
            <w:pPr>
              <w:pStyle w:val="NIVtableau"/>
              <w:rPr>
                <w:lang w:val="fr-FR"/>
              </w:rPr>
            </w:pPr>
          </w:p>
        </w:tc>
        <w:tc>
          <w:tcPr>
            <w:tcW w:w="500" w:type="pct"/>
          </w:tcPr>
          <w:p w14:paraId="75473892"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N°RSF</w:t>
            </w:r>
          </w:p>
        </w:tc>
        <w:tc>
          <w:tcPr>
            <w:tcW w:w="1786" w:type="pct"/>
          </w:tcPr>
          <w:p w14:paraId="48523173" w14:textId="77777777" w:rsidR="00E31F9D" w:rsidRPr="00FE3A13" w:rsidRDefault="00E31F9D" w:rsidP="004F092C">
            <w:pPr>
              <w:pStyle w:val="NIVtableau"/>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t>Titre</w:t>
            </w:r>
          </w:p>
        </w:tc>
      </w:tr>
      <w:tr w:rsidR="00E31F9D" w:rsidRPr="00FE3A13" w14:paraId="76C1045F" w14:textId="77777777" w:rsidTr="004F092C">
        <w:tblPrEx>
          <w:tblCellMar>
            <w:bottom w:w="28" w:type="dxa"/>
          </w:tblCellMar>
        </w:tblPrEx>
        <w:trPr>
          <w:trHeight w:val="322"/>
        </w:trPr>
        <w:tc>
          <w:tcPr>
            <w:cnfStyle w:val="001000000000" w:firstRow="0" w:lastRow="0" w:firstColumn="1" w:lastColumn="0" w:oddVBand="0" w:evenVBand="0" w:oddHBand="0" w:evenHBand="0" w:firstRowFirstColumn="0" w:firstRowLastColumn="0" w:lastRowFirstColumn="0" w:lastRowLastColumn="0"/>
            <w:tcW w:w="2714" w:type="pct"/>
          </w:tcPr>
          <w:p w14:paraId="71501FCB" w14:textId="77777777" w:rsidR="00E31F9D" w:rsidRPr="00FE3A13" w:rsidRDefault="00E31F9D" w:rsidP="004F092C">
            <w:pPr>
              <w:pStyle w:val="NIVtableau"/>
              <w:spacing w:before="100" w:after="100" w:line="280" w:lineRule="atLeast"/>
              <w:rPr>
                <w:lang w:val="fr-FR"/>
              </w:rPr>
            </w:pPr>
            <w:r w:rsidRPr="00FE3A13">
              <w:rPr>
                <w:b/>
                <w:bCs w:val="0"/>
              </w:rPr>
              <w:lastRenderedPageBreak/>
              <w:t>a) Mesure nécessaire pour respecter le plan financier</w:t>
            </w:r>
            <w:r w:rsidRPr="00FE3A13">
              <w:br/>
              <w:t>- Refacturation aux communes des mandats cantonaux des EMS</w:t>
            </w:r>
          </w:p>
        </w:tc>
        <w:tc>
          <w:tcPr>
            <w:tcW w:w="500" w:type="pct"/>
          </w:tcPr>
          <w:p w14:paraId="29E09E9E"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br/>
              <w:t>820.2</w:t>
            </w:r>
          </w:p>
        </w:tc>
        <w:tc>
          <w:tcPr>
            <w:tcW w:w="1786" w:type="pct"/>
          </w:tcPr>
          <w:p w14:paraId="2931CE38" w14:textId="77777777" w:rsidR="00E31F9D" w:rsidRPr="00FE3A13" w:rsidRDefault="00E31F9D" w:rsidP="004F092C">
            <w:pPr>
              <w:pStyle w:val="NIVtableau"/>
              <w:spacing w:before="100" w:after="100" w:line="280" w:lineRule="atLeast"/>
              <w:cnfStyle w:val="000000000000" w:firstRow="0" w:lastRow="0" w:firstColumn="0" w:lastColumn="0" w:oddVBand="0" w:evenVBand="0" w:oddHBand="0" w:evenHBand="0" w:firstRowFirstColumn="0" w:firstRowLastColumn="0" w:lastRowFirstColumn="0" w:lastRowLastColumn="0"/>
              <w:rPr>
                <w:lang w:val="fr-FR"/>
              </w:rPr>
            </w:pPr>
            <w:r w:rsidRPr="00FE3A13">
              <w:rPr>
                <w:lang w:val="fr-FR"/>
              </w:rPr>
              <w:br/>
              <w:t>Loi du 12 mai 2016 sur les prestations médico-sociales (LPMS)</w:t>
            </w:r>
          </w:p>
        </w:tc>
      </w:tr>
      <w:tr w:rsidR="00E31F9D" w:rsidRPr="00FE3A13" w14:paraId="4029991A"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714" w:type="pct"/>
          </w:tcPr>
          <w:p w14:paraId="65D19C08" w14:textId="21CC38E0" w:rsidR="00E31F9D" w:rsidRPr="00FE3A13" w:rsidRDefault="00E31F9D" w:rsidP="004F092C">
            <w:pPr>
              <w:pStyle w:val="NIVtableau"/>
              <w:spacing w:before="100" w:after="100" w:line="280" w:lineRule="atLeast"/>
              <w:rPr>
                <w:bCs w:val="0"/>
              </w:rPr>
            </w:pPr>
            <w:r w:rsidRPr="00FE3A13">
              <w:t>b)</w:t>
            </w:r>
            <w:r w:rsidRPr="00FE3A13">
              <w:rPr>
                <w:b w:val="0"/>
                <w:bCs w:val="0"/>
              </w:rPr>
              <w:t xml:space="preserve"> </w:t>
            </w:r>
            <w:r w:rsidRPr="00FE3A13">
              <w:rPr>
                <w:bCs w:val="0"/>
              </w:rPr>
              <w:t>Mesures du PAFE</w:t>
            </w:r>
            <w:r w:rsidRPr="00FE3A13">
              <w:rPr>
                <w:b w:val="0"/>
                <w:bCs w:val="0"/>
              </w:rPr>
              <w:br/>
              <w:t>- Renoncement à la future prise en charge par l’Etat des frais d’expédition du vote par correspondance</w:t>
            </w:r>
            <w:r w:rsidRPr="00FE3A13">
              <w:rPr>
                <w:b w:val="0"/>
                <w:bCs w:val="0"/>
              </w:rPr>
              <w:br/>
              <w:t>- Suppression de l’envoi du matériel de propagande électorale aux Suisses de l’Etranger</w:t>
            </w:r>
            <w:r w:rsidRPr="00FE3A13">
              <w:rPr>
                <w:b w:val="0"/>
                <w:bCs w:val="0"/>
              </w:rPr>
              <w:br/>
              <w:t>- Modification de la procédure de naturalisation ordinaire</w:t>
            </w:r>
            <w:r w:rsidRPr="00FE3A13">
              <w:rPr>
                <w:b w:val="0"/>
                <w:bCs w:val="0"/>
              </w:rPr>
              <w:br/>
            </w:r>
            <w:r w:rsidRPr="00FE3A13">
              <w:rPr>
                <w:b w:val="0"/>
                <w:bCs w:val="0"/>
              </w:rPr>
              <w:br/>
              <w:t>- Participation des communes à la rémunération des familles d'accueil non-professionnelles</w:t>
            </w:r>
            <w:r w:rsidRPr="00FE3A13">
              <w:rPr>
                <w:b w:val="0"/>
                <w:bCs w:val="0"/>
              </w:rPr>
              <w:br/>
            </w:r>
            <w:r w:rsidRPr="00FE3A13">
              <w:rPr>
                <w:b w:val="0"/>
                <w:bCs w:val="0"/>
              </w:rPr>
              <w:br/>
              <w:t>- Plafonnement de la péréquation financière intercommunale des besoins au niveau de 2025</w:t>
            </w:r>
            <w:r w:rsidRPr="00FE3A13">
              <w:rPr>
                <w:b w:val="0"/>
                <w:bCs w:val="0"/>
              </w:rPr>
              <w:br/>
              <w:t xml:space="preserve">- </w:t>
            </w:r>
            <w:r w:rsidR="00944A98">
              <w:rPr>
                <w:b w:val="0"/>
                <w:bCs w:val="0"/>
              </w:rPr>
              <w:t>Suppression du régime transitoire</w:t>
            </w:r>
            <w:r w:rsidR="00DF4A74">
              <w:rPr>
                <w:b w:val="0"/>
                <w:bCs w:val="0"/>
              </w:rPr>
              <w:t xml:space="preserve"> de la prise en charge par le canton de la part communale </w:t>
            </w:r>
            <w:r w:rsidRPr="00FE3A13">
              <w:rPr>
                <w:b w:val="0"/>
                <w:bCs w:val="0"/>
              </w:rPr>
              <w:t>aux prestations complémentaires AVS/AI</w:t>
            </w:r>
            <w:r w:rsidRPr="00FE3A13">
              <w:rPr>
                <w:b w:val="0"/>
                <w:bCs w:val="0"/>
              </w:rPr>
              <w:br/>
            </w:r>
            <w:r w:rsidRPr="00FE3A13">
              <w:rPr>
                <w:b w:val="0"/>
                <w:bCs w:val="0"/>
              </w:rPr>
              <w:br/>
              <w:t>- Introduire une part communale aux prestations complémentaires pour familles</w:t>
            </w:r>
            <w:r w:rsidRPr="00FE3A13">
              <w:rPr>
                <w:b w:val="0"/>
                <w:bCs w:val="0"/>
              </w:rPr>
              <w:br/>
              <w:t>- Adaptation de la part des communes pour le financement du trafic local de voyageur</w:t>
            </w:r>
            <w:r w:rsidRPr="00FE3A13">
              <w:rPr>
                <w:b w:val="0"/>
                <w:bCs w:val="0"/>
              </w:rPr>
              <w:br/>
              <w:t>- Adaptation de la part des communes pour le financement du trafic régional de voyageur</w:t>
            </w:r>
            <w:r w:rsidRPr="00FE3A13">
              <w:rPr>
                <w:b w:val="0"/>
                <w:bCs w:val="0"/>
              </w:rPr>
              <w:br/>
              <w:t>- Transfert des coûts d'entretien du RCC empruntant les routes communales aux communes</w:t>
            </w:r>
            <w:r w:rsidRPr="00FE3A13">
              <w:rPr>
                <w:bCs w:val="0"/>
              </w:rPr>
              <w:br/>
            </w:r>
            <w:r w:rsidRPr="00FE3A13">
              <w:rPr>
                <w:b w:val="0"/>
                <w:bCs w:val="0"/>
              </w:rPr>
              <w:t>- Report dans la mise en vigueur du projet ENEO</w:t>
            </w:r>
            <w:r w:rsidRPr="00FE3A13">
              <w:rPr>
                <w:bCs w:val="0"/>
              </w:rPr>
              <w:br/>
            </w:r>
          </w:p>
        </w:tc>
        <w:tc>
          <w:tcPr>
            <w:tcW w:w="500" w:type="pct"/>
          </w:tcPr>
          <w:p w14:paraId="355BD1EC" w14:textId="77777777"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FE3A13">
              <w:rPr>
                <w:b w:val="0"/>
                <w:bCs w:val="0"/>
              </w:rPr>
              <w:br/>
              <w:t>115.1</w:t>
            </w:r>
            <w:r w:rsidRPr="00FE3A13">
              <w:rPr>
                <w:b w:val="0"/>
                <w:bCs w:val="0"/>
              </w:rPr>
              <w:br/>
            </w:r>
            <w:r w:rsidRPr="00FE3A13">
              <w:rPr>
                <w:b w:val="0"/>
                <w:bCs w:val="0"/>
              </w:rPr>
              <w:br/>
              <w:t>115.6</w:t>
            </w:r>
            <w:r w:rsidRPr="00FE3A13">
              <w:rPr>
                <w:b w:val="0"/>
                <w:bCs w:val="0"/>
              </w:rPr>
              <w:br/>
            </w:r>
            <w:r w:rsidRPr="00FE3A13">
              <w:rPr>
                <w:b w:val="0"/>
                <w:bCs w:val="0"/>
              </w:rPr>
              <w:br/>
              <w:t>114.1.1</w:t>
            </w:r>
            <w:r w:rsidRPr="00FE3A13">
              <w:rPr>
                <w:b w:val="0"/>
                <w:bCs w:val="0"/>
              </w:rPr>
              <w:br/>
            </w:r>
            <w:r w:rsidRPr="00FE3A13">
              <w:rPr>
                <w:b w:val="0"/>
                <w:bCs w:val="0"/>
              </w:rPr>
              <w:br/>
              <w:t>834.1.2</w:t>
            </w:r>
            <w:r w:rsidRPr="00FE3A13">
              <w:rPr>
                <w:b w:val="0"/>
                <w:bCs w:val="0"/>
              </w:rPr>
              <w:br/>
            </w:r>
            <w:r w:rsidRPr="00FE3A13">
              <w:rPr>
                <w:b w:val="0"/>
                <w:bCs w:val="0"/>
              </w:rPr>
              <w:br/>
            </w:r>
            <w:r w:rsidRPr="00FE3A13">
              <w:rPr>
                <w:b w:val="0"/>
                <w:bCs w:val="0"/>
              </w:rPr>
              <w:br/>
              <w:t>142.1</w:t>
            </w:r>
            <w:r w:rsidRPr="00FE3A13">
              <w:rPr>
                <w:b w:val="0"/>
                <w:bCs w:val="0"/>
              </w:rPr>
              <w:br/>
            </w:r>
            <w:r w:rsidRPr="00FE3A13">
              <w:rPr>
                <w:b w:val="0"/>
                <w:bCs w:val="0"/>
              </w:rPr>
              <w:br/>
              <w:t>841.3.1</w:t>
            </w:r>
            <w:r w:rsidRPr="00FE3A13">
              <w:rPr>
                <w:b w:val="0"/>
                <w:bCs w:val="0"/>
              </w:rPr>
              <w:br/>
            </w:r>
            <w:r w:rsidRPr="00FE3A13">
              <w:rPr>
                <w:b w:val="0"/>
                <w:bCs w:val="0"/>
              </w:rPr>
              <w:br/>
            </w:r>
            <w:r w:rsidRPr="00FE3A13">
              <w:rPr>
                <w:b w:val="0"/>
                <w:bCs w:val="0"/>
              </w:rPr>
              <w:br/>
              <w:t>836.4</w:t>
            </w:r>
            <w:r w:rsidRPr="00FE3A13">
              <w:rPr>
                <w:b w:val="0"/>
                <w:bCs w:val="0"/>
              </w:rPr>
              <w:br/>
            </w:r>
            <w:r w:rsidRPr="00FE3A13">
              <w:rPr>
                <w:b w:val="0"/>
                <w:bCs w:val="0"/>
              </w:rPr>
              <w:br/>
              <w:t>780.1</w:t>
            </w:r>
            <w:r w:rsidRPr="00FE3A13">
              <w:rPr>
                <w:b w:val="0"/>
                <w:bCs w:val="0"/>
              </w:rPr>
              <w:br/>
            </w:r>
            <w:r w:rsidRPr="00FE3A13">
              <w:rPr>
                <w:b w:val="0"/>
                <w:bCs w:val="0"/>
              </w:rPr>
              <w:br/>
              <w:t>780.1</w:t>
            </w:r>
            <w:r w:rsidRPr="00FE3A13">
              <w:rPr>
                <w:b w:val="0"/>
                <w:bCs w:val="0"/>
              </w:rPr>
              <w:br/>
            </w:r>
            <w:r w:rsidRPr="00FE3A13">
              <w:rPr>
                <w:b w:val="0"/>
                <w:bCs w:val="0"/>
              </w:rPr>
              <w:br/>
              <w:t>780.1</w:t>
            </w:r>
            <w:r w:rsidRPr="00FE3A13">
              <w:rPr>
                <w:b w:val="0"/>
                <w:bCs w:val="0"/>
              </w:rPr>
              <w:br/>
            </w:r>
            <w:r w:rsidRPr="00FE3A13">
              <w:rPr>
                <w:b w:val="0"/>
                <w:bCs w:val="0"/>
              </w:rPr>
              <w:br/>
              <w:t>A définir</w:t>
            </w:r>
          </w:p>
        </w:tc>
        <w:tc>
          <w:tcPr>
            <w:tcW w:w="1786" w:type="pct"/>
          </w:tcPr>
          <w:p w14:paraId="1E911D9C" w14:textId="77777777" w:rsidR="00E31F9D" w:rsidRPr="00FE3A13" w:rsidRDefault="00E31F9D" w:rsidP="004F092C">
            <w:pPr>
              <w:pStyle w:val="NIVtableau"/>
              <w:spacing w:before="100" w:after="100" w:line="280" w:lineRule="atLeast"/>
              <w:cnfStyle w:val="010000000000" w:firstRow="0" w:lastRow="1" w:firstColumn="0" w:lastColumn="0" w:oddVBand="0" w:evenVBand="0" w:oddHBand="0" w:evenHBand="0" w:firstRowFirstColumn="0" w:firstRowLastColumn="0" w:lastRowFirstColumn="0" w:lastRowLastColumn="0"/>
              <w:rPr>
                <w:b w:val="0"/>
                <w:bCs w:val="0"/>
              </w:rPr>
            </w:pPr>
            <w:r w:rsidRPr="00FE3A13">
              <w:br/>
            </w:r>
            <w:r w:rsidRPr="00FE3A13">
              <w:rPr>
                <w:b w:val="0"/>
                <w:bCs w:val="0"/>
              </w:rPr>
              <w:t>Loi du 6 avril 2001 sur l’exercice des droits politiques (LEDP)</w:t>
            </w:r>
            <w:r w:rsidRPr="00FE3A13">
              <w:rPr>
                <w:b w:val="0"/>
                <w:bCs w:val="0"/>
              </w:rPr>
              <w:br/>
              <w:t>Loi du 22 juin 2001 sur la participation de l’Etat aux frais de campagne électorale (LPFC)</w:t>
            </w:r>
            <w:r w:rsidRPr="00FE3A13">
              <w:rPr>
                <w:b w:val="0"/>
                <w:bCs w:val="0"/>
              </w:rPr>
              <w:br/>
              <w:t>Loi du 14 décembre 2017 sur le droit de cité fribourgeois (LDCF)</w:t>
            </w:r>
            <w:r w:rsidRPr="00FE3A13">
              <w:rPr>
                <w:b w:val="0"/>
                <w:bCs w:val="0"/>
              </w:rPr>
              <w:br/>
              <w:t>Loi du 16 novembre 2017 sur les institutions spécialisées et les familles d’accueil professionnelles (LIFAP)</w:t>
            </w:r>
            <w:r w:rsidRPr="00FE3A13">
              <w:rPr>
                <w:b w:val="0"/>
                <w:bCs w:val="0"/>
              </w:rPr>
              <w:br/>
              <w:t>Loi du 16 novembre 2009 sur la péréquation financière intercommunale (LPFI)</w:t>
            </w:r>
            <w:r w:rsidRPr="00FE3A13">
              <w:rPr>
                <w:b w:val="0"/>
                <w:bCs w:val="0"/>
              </w:rPr>
              <w:br/>
              <w:t>Loi du 16 novembre 1965 sur les prestations complémentaires à l’assurances vieillesse, survivants et invalidité</w:t>
            </w:r>
            <w:r w:rsidRPr="00FE3A13">
              <w:rPr>
                <w:b w:val="0"/>
                <w:bCs w:val="0"/>
              </w:rPr>
              <w:br/>
              <w:t>Loi du 8 février 2024 sur les prestations complémentaires pour les familles (LPCFam)</w:t>
            </w:r>
            <w:r w:rsidRPr="00FE3A13">
              <w:rPr>
                <w:b w:val="0"/>
                <w:bCs w:val="0"/>
              </w:rPr>
              <w:br/>
              <w:t>Loi du 5 novembre 2021 sur la mobilité (LMob)</w:t>
            </w:r>
            <w:r w:rsidRPr="00FE3A13">
              <w:rPr>
                <w:b w:val="0"/>
                <w:bCs w:val="0"/>
              </w:rPr>
              <w:br/>
            </w:r>
            <w:r w:rsidRPr="00FE3A13">
              <w:rPr>
                <w:b w:val="0"/>
                <w:bCs w:val="0"/>
              </w:rPr>
              <w:br/>
              <w:t>Loi du 5 novembre 2021 sur la mobilité (LMob)</w:t>
            </w:r>
            <w:r w:rsidRPr="00FE3A13">
              <w:rPr>
                <w:b w:val="0"/>
                <w:bCs w:val="0"/>
              </w:rPr>
              <w:br/>
            </w:r>
            <w:r w:rsidRPr="00FE3A13">
              <w:rPr>
                <w:b w:val="0"/>
                <w:bCs w:val="0"/>
              </w:rPr>
              <w:br/>
              <w:t>Loi du 5 novembre 2021 sur la mobilité (LMob)</w:t>
            </w:r>
            <w:r w:rsidRPr="00FE3A13">
              <w:rPr>
                <w:b w:val="0"/>
                <w:bCs w:val="0"/>
              </w:rPr>
              <w:br/>
            </w:r>
            <w:r w:rsidRPr="00FE3A13">
              <w:rPr>
                <w:b w:val="0"/>
                <w:bCs w:val="0"/>
              </w:rPr>
              <w:br/>
              <w:t>A définir</w:t>
            </w:r>
          </w:p>
        </w:tc>
      </w:tr>
    </w:tbl>
    <w:p w14:paraId="16E35377" w14:textId="77777777" w:rsidR="00E31F9D" w:rsidRPr="00FE3A13" w:rsidRDefault="00E31F9D" w:rsidP="00E31F9D">
      <w:pPr>
        <w:pStyle w:val="Listealphabtique"/>
        <w:numPr>
          <w:ilvl w:val="0"/>
          <w:numId w:val="37"/>
        </w:numPr>
        <w:ind w:left="426" w:hanging="426"/>
        <w:rPr>
          <w:b/>
        </w:rPr>
      </w:pPr>
      <w:r w:rsidRPr="00FE3A13">
        <w:rPr>
          <w:b/>
        </w:rPr>
        <w:t>Mesure nécessaire pour respecter le plan financier</w:t>
      </w:r>
    </w:p>
    <w:p w14:paraId="2A05A79E" w14:textId="77777777" w:rsidR="00E31F9D" w:rsidRPr="00FE3A13" w:rsidRDefault="00E31F9D" w:rsidP="00E31F9D">
      <w:pPr>
        <w:rPr>
          <w:b/>
          <w:bCs/>
        </w:rPr>
      </w:pPr>
      <w:r w:rsidRPr="00FE3A13">
        <w:t xml:space="preserve">&gt; </w:t>
      </w:r>
      <w:r w:rsidRPr="00FE3A13">
        <w:tab/>
      </w:r>
      <w:r w:rsidRPr="00FE3A13">
        <w:rPr>
          <w:b/>
          <w:bCs/>
        </w:rPr>
        <w:t>Refacturation aux communes des mandats cantonaux des EMS</w:t>
      </w:r>
    </w:p>
    <w:p w14:paraId="35FC1265" w14:textId="77777777" w:rsidR="00E31F9D" w:rsidRPr="00FE3A13" w:rsidRDefault="00E31F9D" w:rsidP="00E31F9D">
      <w:r w:rsidRPr="00FE3A13">
        <w:t>La mesure consiste à refacturer aux communes les mandats cantonaux des EMS. Par rapport aux besoins évoqués dans le rapport de planification des soins de longue durée et notamment en raison de retards dans les constructions d’EMS, certaines personnes doivent prolonger leur séjour à l’hôpital. Les hôpitaux et autres structures se verront attribuer, pour ce type de placement, un mandat cantonal dont le surcoût sera refacturé intégralement aux réseaux médico-sociaux des districts concernés.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3A837E8F"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25A76CC"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038C3C3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5EFB89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88A51AD"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D6C303D"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12F2A862"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19B0B17" w14:textId="77777777" w:rsidR="00E31F9D" w:rsidRPr="00FE3A13" w:rsidRDefault="00E31F9D" w:rsidP="004F092C">
            <w:pPr>
              <w:pStyle w:val="NIVtableau"/>
              <w:rPr>
                <w:lang w:val="en-US"/>
              </w:rPr>
            </w:pPr>
            <w:r w:rsidRPr="00FE3A13">
              <w:rPr>
                <w:lang w:val="en-US"/>
              </w:rPr>
              <w:t>Etat</w:t>
            </w:r>
          </w:p>
        </w:tc>
        <w:tc>
          <w:tcPr>
            <w:tcW w:w="833" w:type="pct"/>
          </w:tcPr>
          <w:p w14:paraId="140554B7"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2B8F9E6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3FBD093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52188D54"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1 500 000</w:t>
            </w:r>
          </w:p>
        </w:tc>
      </w:tr>
      <w:tr w:rsidR="00E31F9D" w:rsidRPr="00FE3A13" w14:paraId="2DCC9C6E"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2327B6A"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5B553B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-500 000</w:t>
            </w:r>
          </w:p>
        </w:tc>
        <w:tc>
          <w:tcPr>
            <w:tcW w:w="833" w:type="pct"/>
          </w:tcPr>
          <w:p w14:paraId="785A8FB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-500 000</w:t>
            </w:r>
          </w:p>
        </w:tc>
        <w:tc>
          <w:tcPr>
            <w:tcW w:w="833" w:type="pct"/>
          </w:tcPr>
          <w:p w14:paraId="45495632"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-500 000</w:t>
            </w:r>
          </w:p>
        </w:tc>
        <w:tc>
          <w:tcPr>
            <w:tcW w:w="833" w:type="pct"/>
          </w:tcPr>
          <w:p w14:paraId="297CA4D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-1 500 000</w:t>
            </w:r>
          </w:p>
        </w:tc>
      </w:tr>
    </w:tbl>
    <w:p w14:paraId="1D99F703" w14:textId="77777777" w:rsidR="00E31F9D" w:rsidRPr="00FE3A13" w:rsidRDefault="00E31F9D" w:rsidP="00E31F9D">
      <w:pPr>
        <w:pStyle w:val="Listealphabtique"/>
        <w:numPr>
          <w:ilvl w:val="0"/>
          <w:numId w:val="37"/>
        </w:numPr>
        <w:ind w:left="426" w:hanging="426"/>
        <w:rPr>
          <w:b/>
          <w:bCs/>
        </w:rPr>
      </w:pPr>
      <w:r w:rsidRPr="00FE3A13">
        <w:rPr>
          <w:b/>
          <w:bCs/>
        </w:rPr>
        <w:t>Mesures du PAFE</w:t>
      </w:r>
    </w:p>
    <w:p w14:paraId="36A5F9C5" w14:textId="77777777" w:rsidR="00E31F9D" w:rsidRPr="00FE3A13" w:rsidRDefault="00E31F9D" w:rsidP="00E31F9D">
      <w:pPr>
        <w:rPr>
          <w:b/>
          <w:bCs/>
        </w:rPr>
      </w:pPr>
      <w:r w:rsidRPr="00FE3A13">
        <w:t xml:space="preserve">&gt; </w:t>
      </w:r>
      <w:r w:rsidRPr="00FE3A13">
        <w:tab/>
      </w:r>
      <w:r w:rsidRPr="00FE3A13">
        <w:rPr>
          <w:b/>
          <w:bCs/>
        </w:rPr>
        <w:t>Renoncement à la future prise en charge par l’Etat des frais d’expédition du vote par correspondance</w:t>
      </w:r>
    </w:p>
    <w:p w14:paraId="186BBF94" w14:textId="77777777" w:rsidR="00E31F9D" w:rsidRPr="00FE3A13" w:rsidRDefault="00E31F9D" w:rsidP="00E31F9D">
      <w:r w:rsidRPr="00FE3A13">
        <w:t xml:space="preserve">La mesure suggère de renoncer à la prise en charge par l’Etat des frais d’expédition du vote par correspondance. La population a la possibilité de déposer son matériel de vote sans l’affranchir auprès de toutes les administrations communales. Il est donc raisonnable que l’Etat ne prenne pas en charge les frais postaux. Bien que cette mesure fasse partie du PAFE, le Conseil d’Etat a dû anticiper les démarches dans la mesure ou le Grand Conseil traitait, le 25 et 27 </w:t>
      </w:r>
      <w:r w:rsidRPr="00FE3A13">
        <w:lastRenderedPageBreak/>
        <w:t xml:space="preserve">mars 2025, directement d’une modification de la Loi sur l’exercice des droits politiques qui </w:t>
      </w:r>
      <w:r>
        <w:t xml:space="preserve">aurait été l’occasion d’introduire </w:t>
      </w:r>
      <w:r w:rsidRPr="00FE3A13">
        <w:t>une prise en charge par l’Etat. Le Grand Conseil a déjà refusé cette prise en charge.</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3FC0AB68"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8A14F67"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5F701CED"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B128956"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12B8EE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F15BB56"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40A324FB"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D7C9477" w14:textId="77777777" w:rsidR="00E31F9D" w:rsidRPr="00FE3A13" w:rsidRDefault="00E31F9D" w:rsidP="004F092C">
            <w:pPr>
              <w:pStyle w:val="NIVtableau"/>
              <w:rPr>
                <w:lang w:val="en-US"/>
              </w:rPr>
            </w:pPr>
            <w:r w:rsidRPr="00FE3A13">
              <w:rPr>
                <w:lang w:val="en-US"/>
              </w:rPr>
              <w:t>Etat</w:t>
            </w:r>
          </w:p>
        </w:tc>
        <w:tc>
          <w:tcPr>
            <w:tcW w:w="833" w:type="pct"/>
          </w:tcPr>
          <w:p w14:paraId="0F58715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F012E2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3" w:type="pct"/>
          </w:tcPr>
          <w:p w14:paraId="7B55AC85"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480 000</w:t>
            </w:r>
          </w:p>
        </w:tc>
        <w:tc>
          <w:tcPr>
            <w:tcW w:w="833" w:type="pct"/>
          </w:tcPr>
          <w:p w14:paraId="20C8564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1 080 000</w:t>
            </w:r>
          </w:p>
        </w:tc>
      </w:tr>
      <w:tr w:rsidR="00E31F9D" w:rsidRPr="00FE3A13" w14:paraId="434C543C"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DCE91B1"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08B80B58"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797F2D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B4C84C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18E1871"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62484994" w14:textId="77777777" w:rsidR="00E31F9D" w:rsidRPr="00FE3A13" w:rsidRDefault="00E31F9D" w:rsidP="00E31F9D">
      <w:pPr>
        <w:rPr>
          <w:b/>
          <w:bCs/>
        </w:rPr>
      </w:pPr>
      <w:r w:rsidRPr="00FE3A13">
        <w:t xml:space="preserve">&gt; </w:t>
      </w:r>
      <w:r w:rsidRPr="00FE3A13">
        <w:tab/>
      </w:r>
      <w:r w:rsidRPr="00FE3A13">
        <w:rPr>
          <w:b/>
          <w:bCs/>
        </w:rPr>
        <w:t>Suppression de l’envoi du matériel de propagande électorale aux Suisses de l’Etranger</w:t>
      </w:r>
    </w:p>
    <w:p w14:paraId="0A3B9886" w14:textId="77777777" w:rsidR="00E31F9D" w:rsidRPr="00FE3A13" w:rsidRDefault="00E31F9D" w:rsidP="00E31F9D">
      <w:r w:rsidRPr="00FE3A13">
        <w:t>La mesure propose de supprimer l’envoi du matériel de propagande électorale aux Suisses de l’Etranger. Cet envoi est coûteux. Il serait remplacé par l’ajout au matériel électoral d’un flyer indiquant l’ensemble des informations relatives à la publicité des partis politiques (disponible sur le site internet de l’Etat de Fribourg). L’accès à la page spécifique peut être simplifié par un code QR à scanner qui ouvre directement la page en question sur le site de l’Etat.</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104C0C05"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B56F36B"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41C52630"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356E2D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74A39E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759C829F"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6C36D441"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075D1D7" w14:textId="77777777" w:rsidR="00E31F9D" w:rsidRPr="00FE3A13" w:rsidRDefault="00E31F9D" w:rsidP="004F092C">
            <w:pPr>
              <w:pStyle w:val="NIVtableau"/>
              <w:rPr>
                <w:lang w:val="en-US"/>
              </w:rPr>
            </w:pPr>
            <w:r w:rsidRPr="00FE3A13">
              <w:rPr>
                <w:lang w:val="en-US"/>
              </w:rPr>
              <w:t>Etat</w:t>
            </w:r>
          </w:p>
        </w:tc>
        <w:tc>
          <w:tcPr>
            <w:tcW w:w="833" w:type="pct"/>
          </w:tcPr>
          <w:p w14:paraId="52FFFD85"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34 000</w:t>
            </w:r>
          </w:p>
        </w:tc>
        <w:tc>
          <w:tcPr>
            <w:tcW w:w="833" w:type="pct"/>
          </w:tcPr>
          <w:p w14:paraId="41ADBE0B"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55 000</w:t>
            </w:r>
          </w:p>
        </w:tc>
        <w:tc>
          <w:tcPr>
            <w:tcW w:w="833" w:type="pct"/>
          </w:tcPr>
          <w:p w14:paraId="416086F6"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1" w:type="pct"/>
          </w:tcPr>
          <w:p w14:paraId="2F26527A"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89 000</w:t>
            </w:r>
          </w:p>
        </w:tc>
      </w:tr>
      <w:tr w:rsidR="00E31F9D" w:rsidRPr="00FE3A13" w14:paraId="3EB0A221"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E79BBD3"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F274B0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175CF9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FA9A681"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1A6563C1"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9489C9D" w14:textId="77777777" w:rsidR="00E31F9D" w:rsidRPr="00FE3A13" w:rsidRDefault="00E31F9D" w:rsidP="00E31F9D">
      <w:pPr>
        <w:rPr>
          <w:b/>
          <w:bCs/>
        </w:rPr>
      </w:pPr>
      <w:r w:rsidRPr="00FE3A13">
        <w:t xml:space="preserve">&gt; </w:t>
      </w:r>
      <w:r w:rsidRPr="00FE3A13">
        <w:tab/>
      </w:r>
      <w:r w:rsidRPr="00FE3A13">
        <w:rPr>
          <w:b/>
          <w:bCs/>
        </w:rPr>
        <w:t>Modification de la procédure de naturalisation ordinaire</w:t>
      </w:r>
    </w:p>
    <w:p w14:paraId="11ACF799" w14:textId="77777777" w:rsidR="00E31F9D" w:rsidRPr="00FE3A13" w:rsidRDefault="00E31F9D" w:rsidP="00E31F9D">
      <w:r w:rsidRPr="00FE3A13">
        <w:t>La mesure induit une modification de la procédure de naturalisation ordinaire. La procédure pourrait être simplifiée. Ainsi, après l’obtention de l’AFN, les dossiers pourraient, après actualisation et vérification finale, être soumis au C</w:t>
      </w:r>
      <w:r>
        <w:t>onseil d’Etat</w:t>
      </w:r>
      <w:r w:rsidRPr="00FE3A13">
        <w:t>. Ainsi c’est le C</w:t>
      </w:r>
      <w:r>
        <w:t>onseil d’Etat</w:t>
      </w:r>
      <w:r w:rsidRPr="00FE3A13">
        <w:t xml:space="preserve"> qui rendrait la décision cantonale au lieu du Grand Conseil</w:t>
      </w:r>
      <w:r>
        <w:t>, comme cela se pratique déjà dans la quasi-totalité des cantons romands</w:t>
      </w:r>
      <w:r w:rsidRPr="00FE3A13">
        <w:t>. L’économie est constituée de la diminution des jetons de présence de la commission du G</w:t>
      </w:r>
      <w:r>
        <w:t>rand Conseil</w:t>
      </w:r>
      <w:r w:rsidRPr="00FE3A13">
        <w:t xml:space="preserve"> qui traite actuellement de ces affaires.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258A1E42"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33A363C7"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1E378FC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494826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05B04C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1ED326F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39BEC633"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EB7859F" w14:textId="77777777" w:rsidR="00E31F9D" w:rsidRPr="00FE3A13" w:rsidRDefault="00E31F9D" w:rsidP="004F092C">
            <w:pPr>
              <w:pStyle w:val="NIVtableau"/>
              <w:rPr>
                <w:lang w:val="en-US"/>
              </w:rPr>
            </w:pPr>
            <w:r w:rsidRPr="00FE3A13">
              <w:rPr>
                <w:lang w:val="en-US"/>
              </w:rPr>
              <w:t>Etat</w:t>
            </w:r>
          </w:p>
        </w:tc>
        <w:tc>
          <w:tcPr>
            <w:tcW w:w="833" w:type="pct"/>
          </w:tcPr>
          <w:p w14:paraId="218DEEB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88 000</w:t>
            </w:r>
          </w:p>
        </w:tc>
        <w:tc>
          <w:tcPr>
            <w:tcW w:w="833" w:type="pct"/>
          </w:tcPr>
          <w:p w14:paraId="5D0BC70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88 000</w:t>
            </w:r>
          </w:p>
        </w:tc>
        <w:tc>
          <w:tcPr>
            <w:tcW w:w="833" w:type="pct"/>
          </w:tcPr>
          <w:p w14:paraId="27DF74F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88 000</w:t>
            </w:r>
          </w:p>
        </w:tc>
        <w:tc>
          <w:tcPr>
            <w:tcW w:w="831" w:type="pct"/>
          </w:tcPr>
          <w:p w14:paraId="4297199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264 000</w:t>
            </w:r>
          </w:p>
        </w:tc>
      </w:tr>
      <w:tr w:rsidR="00E31F9D" w:rsidRPr="00FE3A13" w14:paraId="337730B3"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6C65968"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260E48A"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A2C625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3C5862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5BB7C115"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E941658" w14:textId="77777777" w:rsidR="00E31F9D" w:rsidRPr="00FE3A13" w:rsidRDefault="00E31F9D" w:rsidP="00E31F9D">
      <w:pPr>
        <w:rPr>
          <w:b/>
          <w:bCs/>
        </w:rPr>
      </w:pPr>
      <w:r w:rsidRPr="00FE3A13">
        <w:t xml:space="preserve">&gt; </w:t>
      </w:r>
      <w:r w:rsidRPr="00FE3A13">
        <w:tab/>
      </w:r>
      <w:r w:rsidRPr="00FE3A13">
        <w:rPr>
          <w:b/>
          <w:bCs/>
        </w:rPr>
        <w:t>Participation des communes à la rémunération des familles d'accueil non-professionnelles</w:t>
      </w:r>
    </w:p>
    <w:p w14:paraId="122A2D93" w14:textId="77777777" w:rsidR="00E31F9D" w:rsidRPr="00FE3A13" w:rsidRDefault="00E31F9D" w:rsidP="00E31F9D">
      <w:r w:rsidRPr="00FE3A13">
        <w:t>La mesure requi</w:t>
      </w:r>
      <w:r>
        <w:t>ert</w:t>
      </w:r>
      <w:r w:rsidRPr="00FE3A13">
        <w:t xml:space="preserve"> la participation des communes à la rémunération des familles d’accueil non-professionnelles. Les communes participeraient à la rémunération prévue des familles d'accueil (FAC) non-professionnelles, en cohérence avec la répartition prévue pour les placements d’enfants sous le régime de la Loi sur les institutions spécialisées et les familles d'accueil professionnelles (LIFAP). La répartition serait donc de 45% à charge de l’Etat et de 55% à charge des communes. La dépense n’existe que depuis 2027.</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3AAA2C9F"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72320C3"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19ACDA2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73A6AE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723099D"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563497A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3418DB27"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D7E9286" w14:textId="77777777" w:rsidR="00E31F9D" w:rsidRPr="00FE3A13" w:rsidRDefault="00E31F9D" w:rsidP="004F092C">
            <w:pPr>
              <w:pStyle w:val="NIVtableau"/>
              <w:rPr>
                <w:lang w:val="en-US"/>
              </w:rPr>
            </w:pPr>
            <w:r w:rsidRPr="00FE3A13">
              <w:rPr>
                <w:lang w:val="en-US"/>
              </w:rPr>
              <w:t>Etat</w:t>
            </w:r>
          </w:p>
        </w:tc>
        <w:tc>
          <w:tcPr>
            <w:tcW w:w="833" w:type="pct"/>
          </w:tcPr>
          <w:p w14:paraId="6BC7F272"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70AD0276"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420 000</w:t>
            </w:r>
          </w:p>
        </w:tc>
        <w:tc>
          <w:tcPr>
            <w:tcW w:w="833" w:type="pct"/>
          </w:tcPr>
          <w:p w14:paraId="38445D3B"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470 000</w:t>
            </w:r>
          </w:p>
        </w:tc>
        <w:tc>
          <w:tcPr>
            <w:tcW w:w="831" w:type="pct"/>
          </w:tcPr>
          <w:p w14:paraId="31B97DB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890 000</w:t>
            </w:r>
          </w:p>
        </w:tc>
      </w:tr>
      <w:tr w:rsidR="00E31F9D" w:rsidRPr="00FE3A13" w14:paraId="00B3E1B1"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89C42CE"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5DBBB84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599FED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-420 000</w:t>
            </w:r>
          </w:p>
        </w:tc>
        <w:tc>
          <w:tcPr>
            <w:tcW w:w="833" w:type="pct"/>
          </w:tcPr>
          <w:p w14:paraId="7FD19581"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-470 000</w:t>
            </w:r>
          </w:p>
        </w:tc>
        <w:tc>
          <w:tcPr>
            <w:tcW w:w="831" w:type="pct"/>
          </w:tcPr>
          <w:p w14:paraId="2661603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-890 000</w:t>
            </w:r>
          </w:p>
        </w:tc>
      </w:tr>
    </w:tbl>
    <w:p w14:paraId="0FE5E506" w14:textId="77777777" w:rsidR="00E31F9D" w:rsidRPr="00FE3A13" w:rsidRDefault="00E31F9D" w:rsidP="00E31F9D">
      <w:pPr>
        <w:rPr>
          <w:b/>
          <w:bCs/>
        </w:rPr>
      </w:pPr>
      <w:r w:rsidRPr="00FE3A13">
        <w:t xml:space="preserve">&gt; </w:t>
      </w:r>
      <w:r w:rsidRPr="00FE3A13">
        <w:tab/>
      </w:r>
      <w:r w:rsidRPr="00FE3A13">
        <w:rPr>
          <w:b/>
          <w:bCs/>
        </w:rPr>
        <w:t>Plafonnement de la péréquation financière intercommunale des besoins au niveau de 2025</w:t>
      </w:r>
    </w:p>
    <w:p w14:paraId="018FC09F" w14:textId="77777777" w:rsidR="00E31F9D" w:rsidRPr="00FE3A13" w:rsidRDefault="00E31F9D" w:rsidP="00E31F9D">
      <w:r w:rsidRPr="00FE3A13">
        <w:t>La mesure introduit un plafonnement temporaire de la péréquation financière intercommunale des besoins. Les montants payés par l’Etat aux communes au titre de la péréquation des besoins seraient plafonnés sur la période du PAFE (2026-2028) au niveau des montants de 2025. Dès 2029, la situation normale serait à nouveau appliquée.</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25A0E1A5"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2DD3D8A" w14:textId="77777777" w:rsidR="00E31F9D" w:rsidRPr="00FE3A13" w:rsidRDefault="00E31F9D" w:rsidP="004F092C">
            <w:pPr>
              <w:pStyle w:val="NIVtableau"/>
              <w:rPr>
                <w:color w:val="auto"/>
                <w:sz w:val="21"/>
                <w:lang w:val="en-US"/>
              </w:rPr>
            </w:pPr>
            <w:r w:rsidRPr="00FE3A13">
              <w:rPr>
                <w:lang w:val="en-US"/>
              </w:rPr>
              <w:lastRenderedPageBreak/>
              <w:t xml:space="preserve">Incidences </w:t>
            </w:r>
            <w:r w:rsidRPr="00FE3A13">
              <w:rPr>
                <w:lang w:val="fr-FR"/>
              </w:rPr>
              <w:t>financières</w:t>
            </w:r>
            <w:r w:rsidRPr="00FE3A13">
              <w:rPr>
                <w:lang w:val="en-US"/>
              </w:rPr>
              <w:t xml:space="preserve"> en francs</w:t>
            </w:r>
          </w:p>
        </w:tc>
        <w:tc>
          <w:tcPr>
            <w:tcW w:w="833" w:type="pct"/>
          </w:tcPr>
          <w:p w14:paraId="7C8E819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20DFF6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E0CDAD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7E33D5E0"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349B98B3"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7FD46BE" w14:textId="77777777" w:rsidR="00E31F9D" w:rsidRPr="00FE3A13" w:rsidRDefault="00E31F9D" w:rsidP="004F092C">
            <w:pPr>
              <w:pStyle w:val="NIVtableau"/>
              <w:rPr>
                <w:lang w:val="en-US"/>
              </w:rPr>
            </w:pPr>
            <w:r w:rsidRPr="00FE3A13">
              <w:rPr>
                <w:lang w:val="en-US"/>
              </w:rPr>
              <w:t>Etat</w:t>
            </w:r>
          </w:p>
        </w:tc>
        <w:tc>
          <w:tcPr>
            <w:tcW w:w="833" w:type="pct"/>
          </w:tcPr>
          <w:p w14:paraId="3A8FABA9"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800 000</w:t>
            </w:r>
          </w:p>
        </w:tc>
        <w:tc>
          <w:tcPr>
            <w:tcW w:w="833" w:type="pct"/>
          </w:tcPr>
          <w:p w14:paraId="34B9348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1 400 000</w:t>
            </w:r>
          </w:p>
        </w:tc>
        <w:tc>
          <w:tcPr>
            <w:tcW w:w="833" w:type="pct"/>
          </w:tcPr>
          <w:p w14:paraId="40221456"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2 000 000</w:t>
            </w:r>
          </w:p>
        </w:tc>
        <w:tc>
          <w:tcPr>
            <w:tcW w:w="831" w:type="pct"/>
          </w:tcPr>
          <w:p w14:paraId="7672FE8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4 200 000</w:t>
            </w:r>
          </w:p>
        </w:tc>
      </w:tr>
      <w:tr w:rsidR="00E31F9D" w:rsidRPr="00FE3A13" w14:paraId="6C6631A2"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03DD714"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F71021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-800 000</w:t>
            </w:r>
          </w:p>
        </w:tc>
        <w:tc>
          <w:tcPr>
            <w:tcW w:w="833" w:type="pct"/>
          </w:tcPr>
          <w:p w14:paraId="5D6B094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-1 400 000</w:t>
            </w:r>
          </w:p>
        </w:tc>
        <w:tc>
          <w:tcPr>
            <w:tcW w:w="833" w:type="pct"/>
          </w:tcPr>
          <w:p w14:paraId="6E507EB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-2 000 000</w:t>
            </w:r>
          </w:p>
        </w:tc>
        <w:tc>
          <w:tcPr>
            <w:tcW w:w="831" w:type="pct"/>
          </w:tcPr>
          <w:p w14:paraId="21198DEB"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-4 200 000</w:t>
            </w:r>
          </w:p>
        </w:tc>
      </w:tr>
    </w:tbl>
    <w:p w14:paraId="278AF5B6" w14:textId="77777777" w:rsidR="00E31F9D" w:rsidRPr="00FE3A13" w:rsidRDefault="00E31F9D" w:rsidP="00E31F9D">
      <w:pPr>
        <w:rPr>
          <w:b/>
          <w:bCs/>
        </w:rPr>
      </w:pPr>
      <w:r w:rsidRPr="00FE3A13">
        <w:t xml:space="preserve">&gt; </w:t>
      </w:r>
      <w:r w:rsidRPr="00FE3A13">
        <w:tab/>
      </w:r>
      <w:r w:rsidRPr="004F092C">
        <w:rPr>
          <w:b/>
          <w:bCs/>
        </w:rPr>
        <w:t>Suppression du régime transitoire de la prise en charge par le canton de la</w:t>
      </w:r>
      <w:r>
        <w:t xml:space="preserve"> </w:t>
      </w:r>
      <w:r w:rsidRPr="00FE3A13">
        <w:rPr>
          <w:b/>
          <w:bCs/>
        </w:rPr>
        <w:t>part communale aux prestations complémentaires AVS/AI</w:t>
      </w:r>
    </w:p>
    <w:p w14:paraId="1901034A" w14:textId="77777777" w:rsidR="00E31F9D" w:rsidRPr="00FE3A13" w:rsidRDefault="00E31F9D" w:rsidP="00E31F9D">
      <w:r w:rsidRPr="00FE3A13">
        <w:t>La mesure renonce au régime transitoire accordé aux communes dans les prestations complémentaires AVS/AI. Selon la loi sur les prestations complémentaires à l’assurances vieillesse, survivants et invalidité, les communes doivent participer à hauteur de 25% aux prestations complémentaires. Cependant en raison d'un régime transitoire lié à l’origine à la RPT puis au DETTEC, les communes bénéficient d'une exonération temporaire. Dans la mesure ou le DETTEC n'a pas abouti, le régime transitoire sera abrogé et une part communale aux prestations complémentaires AVS/AI serait réintroduite.</w:t>
      </w:r>
    </w:p>
    <w:p w14:paraId="56E7DBE3" w14:textId="77777777" w:rsidR="00E31F9D" w:rsidRPr="00FE3A13" w:rsidRDefault="00E31F9D" w:rsidP="00E31F9D">
      <w:r w:rsidRPr="00FE3A13">
        <w:t>Le Conseil d’Etat souligne que l’Etat a assumé beaucoup plus longtemps que prévu le financement de cette prestation. Au vu des montants annuels, il s’agit d’un soutien conséquent de l’Etat envers les communes.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5B73FF07"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7EB818A"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40D5381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ED5A39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4F1E4DE"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7EE6130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002FD05A"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C0B9E84" w14:textId="77777777" w:rsidR="00E31F9D" w:rsidRPr="00FE3A13" w:rsidRDefault="00E31F9D" w:rsidP="004F092C">
            <w:pPr>
              <w:pStyle w:val="NIVtableau"/>
              <w:rPr>
                <w:lang w:val="en-US"/>
              </w:rPr>
            </w:pPr>
            <w:r w:rsidRPr="00FE3A13">
              <w:rPr>
                <w:lang w:val="en-US"/>
              </w:rPr>
              <w:t>Etat</w:t>
            </w:r>
          </w:p>
        </w:tc>
        <w:tc>
          <w:tcPr>
            <w:tcW w:w="833" w:type="pct"/>
          </w:tcPr>
          <w:p w14:paraId="34CCE1CE"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28 847 000</w:t>
            </w:r>
          </w:p>
        </w:tc>
        <w:tc>
          <w:tcPr>
            <w:tcW w:w="833" w:type="pct"/>
          </w:tcPr>
          <w:p w14:paraId="32FF69FD"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29 557 000</w:t>
            </w:r>
          </w:p>
        </w:tc>
        <w:tc>
          <w:tcPr>
            <w:tcW w:w="833" w:type="pct"/>
          </w:tcPr>
          <w:p w14:paraId="0B91D3B3"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30 180 000</w:t>
            </w:r>
          </w:p>
        </w:tc>
        <w:tc>
          <w:tcPr>
            <w:tcW w:w="831" w:type="pct"/>
          </w:tcPr>
          <w:p w14:paraId="747323C2"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88 584 000</w:t>
            </w:r>
          </w:p>
        </w:tc>
      </w:tr>
      <w:tr w:rsidR="00E31F9D" w:rsidRPr="00FE3A13" w14:paraId="257A78CF"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558BE5F"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788C2CC2"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 xml:space="preserve">-28 </w:t>
            </w:r>
            <w:r>
              <w:rPr>
                <w:b w:val="0"/>
                <w:bCs w:val="0"/>
                <w:lang w:val="en-US"/>
              </w:rPr>
              <w:t>8</w:t>
            </w:r>
            <w:r w:rsidRPr="00FE3A13">
              <w:rPr>
                <w:b w:val="0"/>
                <w:bCs w:val="0"/>
                <w:lang w:val="en-US"/>
              </w:rPr>
              <w:t>47 000</w:t>
            </w:r>
          </w:p>
        </w:tc>
        <w:tc>
          <w:tcPr>
            <w:tcW w:w="833" w:type="pct"/>
          </w:tcPr>
          <w:p w14:paraId="349E0C6F"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-29 557 000</w:t>
            </w:r>
          </w:p>
        </w:tc>
        <w:tc>
          <w:tcPr>
            <w:tcW w:w="833" w:type="pct"/>
          </w:tcPr>
          <w:p w14:paraId="2E4FBED7"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-30 180 000</w:t>
            </w:r>
          </w:p>
        </w:tc>
        <w:tc>
          <w:tcPr>
            <w:tcW w:w="831" w:type="pct"/>
          </w:tcPr>
          <w:p w14:paraId="445900A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 xml:space="preserve">-88 </w:t>
            </w:r>
            <w:r>
              <w:rPr>
                <w:b w:val="0"/>
                <w:bCs w:val="0"/>
                <w:lang w:val="en-US"/>
              </w:rPr>
              <w:t>5</w:t>
            </w:r>
            <w:r w:rsidRPr="00FE3A13">
              <w:rPr>
                <w:b w:val="0"/>
                <w:bCs w:val="0"/>
                <w:lang w:val="en-US"/>
              </w:rPr>
              <w:t>84 000</w:t>
            </w:r>
          </w:p>
        </w:tc>
      </w:tr>
    </w:tbl>
    <w:p w14:paraId="66795FE2" w14:textId="77777777" w:rsidR="00E31F9D" w:rsidRPr="00FE3A13" w:rsidRDefault="00E31F9D" w:rsidP="00E31F9D">
      <w:r w:rsidRPr="00FE3A13">
        <w:t xml:space="preserve">&gt; </w:t>
      </w:r>
      <w:r w:rsidRPr="00FE3A13">
        <w:tab/>
      </w:r>
      <w:r w:rsidRPr="00FE3A13">
        <w:rPr>
          <w:b/>
          <w:bCs/>
        </w:rPr>
        <w:t>Introduire une part communale aux prestations complémentaires pour familles</w:t>
      </w:r>
    </w:p>
    <w:p w14:paraId="59605444" w14:textId="05B39778" w:rsidR="00E31F9D" w:rsidRPr="00FE3A13" w:rsidRDefault="00E31F9D" w:rsidP="00E31F9D">
      <w:r w:rsidRPr="00FE3A13">
        <w:t>La mesure vise à introduire une part communale aux prestations complémentaire</w:t>
      </w:r>
      <w:r w:rsidR="00AC5E01">
        <w:t>s</w:t>
      </w:r>
      <w:r w:rsidRPr="00FE3A13">
        <w:t xml:space="preserve"> pour familles. Le Conseil d’Etat souhaite fixer cette part à 25% pour être en adéquation avec le taux de la mesure précédente (</w:t>
      </w:r>
      <w:r w:rsidR="00275F77" w:rsidRPr="00275F77">
        <w:t>Suppression du régime transitoire de la prise en charge par le canton de la part communale aux prestations complémentaires AVS/AI</w:t>
      </w:r>
      <w:r w:rsidRPr="00FE3A13">
        <w:t>). La participation des communes entrerait en vigueur dès l’entrée en vigueur de la nouvelle loi, c’est-à-dire dès 2026.</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42BA2DEF"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5F8D9582"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55AD902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E7F8ED7"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E97BF2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1E8DD892"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7C309639"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B80FBF1" w14:textId="77777777" w:rsidR="00E31F9D" w:rsidRPr="00FE3A13" w:rsidRDefault="00E31F9D" w:rsidP="004F092C">
            <w:pPr>
              <w:pStyle w:val="NIVtableau"/>
              <w:rPr>
                <w:lang w:val="en-US"/>
              </w:rPr>
            </w:pPr>
            <w:r w:rsidRPr="00FE3A13">
              <w:rPr>
                <w:lang w:val="en-US"/>
              </w:rPr>
              <w:t>Etat</w:t>
            </w:r>
          </w:p>
        </w:tc>
        <w:tc>
          <w:tcPr>
            <w:tcW w:w="833" w:type="pct"/>
          </w:tcPr>
          <w:p w14:paraId="1E4E4FC1"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3 987 500</w:t>
            </w:r>
          </w:p>
        </w:tc>
        <w:tc>
          <w:tcPr>
            <w:tcW w:w="833" w:type="pct"/>
          </w:tcPr>
          <w:p w14:paraId="3D5654B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4 096 500</w:t>
            </w:r>
          </w:p>
        </w:tc>
        <w:tc>
          <w:tcPr>
            <w:tcW w:w="833" w:type="pct"/>
          </w:tcPr>
          <w:p w14:paraId="33FBB8E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4 105 750</w:t>
            </w:r>
          </w:p>
        </w:tc>
        <w:tc>
          <w:tcPr>
            <w:tcW w:w="831" w:type="pct"/>
          </w:tcPr>
          <w:p w14:paraId="5AF1755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12 189 750</w:t>
            </w:r>
          </w:p>
        </w:tc>
      </w:tr>
      <w:tr w:rsidR="00E31F9D" w:rsidRPr="00FE3A13" w14:paraId="634C1F0D"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F000B4E"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FBEA04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-4 087 500</w:t>
            </w:r>
          </w:p>
        </w:tc>
        <w:tc>
          <w:tcPr>
            <w:tcW w:w="833" w:type="pct"/>
          </w:tcPr>
          <w:p w14:paraId="7F16AD42"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- 4 096 500</w:t>
            </w:r>
          </w:p>
        </w:tc>
        <w:tc>
          <w:tcPr>
            <w:tcW w:w="833" w:type="pct"/>
          </w:tcPr>
          <w:p w14:paraId="2401C07A"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- 4 105 750</w:t>
            </w:r>
          </w:p>
        </w:tc>
        <w:tc>
          <w:tcPr>
            <w:tcW w:w="831" w:type="pct"/>
          </w:tcPr>
          <w:p w14:paraId="7241D9C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-12 289 750</w:t>
            </w:r>
          </w:p>
        </w:tc>
      </w:tr>
    </w:tbl>
    <w:p w14:paraId="7A501075" w14:textId="77777777" w:rsidR="00E31F9D" w:rsidRPr="00FE3A13" w:rsidRDefault="00E31F9D" w:rsidP="00E31F9D">
      <w:r w:rsidRPr="00FE3A13">
        <w:t xml:space="preserve">&gt; </w:t>
      </w:r>
      <w:r w:rsidRPr="00FE3A13">
        <w:tab/>
      </w:r>
      <w:r w:rsidRPr="00FE3A13">
        <w:rPr>
          <w:b/>
          <w:bCs/>
        </w:rPr>
        <w:t>Adaptation de la part des communes pour le financement du trafic local de voyageurs</w:t>
      </w:r>
    </w:p>
    <w:p w14:paraId="6C94576E" w14:textId="77777777" w:rsidR="00E31F9D" w:rsidRPr="00FE3A13" w:rsidRDefault="00E31F9D" w:rsidP="00E31F9D">
      <w:r w:rsidRPr="00FE3A13">
        <w:t>La mesure conduit à une adaptation de la part des communes dans le financement du trafic local de voyageur. Lorsque l’Etat participe à la commande de trafic local de voyageur, il accorde aux entreprises de transport une contribution financière de 57,5%, le solde étant à la charge des communes et/ou des communautés concernées (42,5%). Avec cette mesure le pourcentage de participation des communes et/ou des communautés régionales serait augmenté afin de correspondre à celui de l’Etat. Il en résulterait une participation équivalente de l’Etat et des communes et/ou des communautés régionales à hauteur de 50%.</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0D319898"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1EB0BC7"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012F8BAB"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80DBF5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2724A7D"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55A0999A"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36EF8AE6"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2B7A50F" w14:textId="77777777" w:rsidR="00E31F9D" w:rsidRPr="00FE3A13" w:rsidRDefault="00E31F9D" w:rsidP="004F092C">
            <w:pPr>
              <w:pStyle w:val="NIVtableau"/>
              <w:rPr>
                <w:lang w:val="en-US"/>
              </w:rPr>
            </w:pPr>
            <w:r w:rsidRPr="00FE3A13">
              <w:rPr>
                <w:lang w:val="en-US"/>
              </w:rPr>
              <w:t>Etat</w:t>
            </w:r>
          </w:p>
        </w:tc>
        <w:tc>
          <w:tcPr>
            <w:tcW w:w="833" w:type="pct"/>
          </w:tcPr>
          <w:p w14:paraId="1A43FFE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3 310 000</w:t>
            </w:r>
          </w:p>
        </w:tc>
        <w:tc>
          <w:tcPr>
            <w:tcW w:w="833" w:type="pct"/>
          </w:tcPr>
          <w:p w14:paraId="3DBBFC88"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3 195 000</w:t>
            </w:r>
          </w:p>
        </w:tc>
        <w:tc>
          <w:tcPr>
            <w:tcW w:w="833" w:type="pct"/>
          </w:tcPr>
          <w:p w14:paraId="6FD3C42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3 380 000</w:t>
            </w:r>
          </w:p>
        </w:tc>
        <w:tc>
          <w:tcPr>
            <w:tcW w:w="831" w:type="pct"/>
          </w:tcPr>
          <w:p w14:paraId="2A19B2DD"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9 885 000</w:t>
            </w:r>
          </w:p>
        </w:tc>
      </w:tr>
      <w:tr w:rsidR="00E31F9D" w:rsidRPr="00FE3A13" w14:paraId="49000145"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EB05F64"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6F483DE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-3 310 000</w:t>
            </w:r>
          </w:p>
        </w:tc>
        <w:tc>
          <w:tcPr>
            <w:tcW w:w="833" w:type="pct"/>
          </w:tcPr>
          <w:p w14:paraId="417B475E"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-3 195 000</w:t>
            </w:r>
          </w:p>
        </w:tc>
        <w:tc>
          <w:tcPr>
            <w:tcW w:w="833" w:type="pct"/>
          </w:tcPr>
          <w:p w14:paraId="316DBE96"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-3 380 000</w:t>
            </w:r>
          </w:p>
        </w:tc>
        <w:tc>
          <w:tcPr>
            <w:tcW w:w="831" w:type="pct"/>
          </w:tcPr>
          <w:p w14:paraId="5A35476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-9 885 000</w:t>
            </w:r>
          </w:p>
        </w:tc>
      </w:tr>
    </w:tbl>
    <w:p w14:paraId="203D9447" w14:textId="77777777" w:rsidR="00E31F9D" w:rsidRPr="00FE3A13" w:rsidRDefault="00E31F9D" w:rsidP="00E31F9D">
      <w:r w:rsidRPr="00FE3A13">
        <w:t xml:space="preserve">&gt; </w:t>
      </w:r>
      <w:r w:rsidRPr="00FE3A13">
        <w:tab/>
      </w:r>
      <w:r w:rsidRPr="00FE3A13">
        <w:rPr>
          <w:b/>
          <w:bCs/>
        </w:rPr>
        <w:t xml:space="preserve">Adaptation de la part des communes pour le financement du trafic régional de voyageurs </w:t>
      </w:r>
    </w:p>
    <w:p w14:paraId="756E23F5" w14:textId="77777777" w:rsidR="00E31F9D" w:rsidRPr="00FE3A13" w:rsidRDefault="00E31F9D" w:rsidP="00E31F9D">
      <w:r w:rsidRPr="00FE3A13">
        <w:t xml:space="preserve">La mesure veut adapter la part des communes pour le financement du trafic régional de voyageur. Les communes participent pour 45% aux indemnités d’exploitation octroyées par l’Etat au titre du trafic régional et du trafic de </w:t>
      </w:r>
      <w:r w:rsidRPr="00FE3A13">
        <w:lastRenderedPageBreak/>
        <w:t>voyageurs d’intérêt cantonal. Le pourcentage de participation des communes serait adapté à celui de l’Etat, soit 50% à charge des communes.</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6FCA566B"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D6668BD"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7CCCE28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B1AC335"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CBFBFC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532C912D"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355F6D76"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062365D" w14:textId="77777777" w:rsidR="00E31F9D" w:rsidRPr="00FE3A13" w:rsidRDefault="00E31F9D" w:rsidP="004F092C">
            <w:pPr>
              <w:pStyle w:val="NIVtableau"/>
              <w:rPr>
                <w:lang w:val="en-US"/>
              </w:rPr>
            </w:pPr>
            <w:r w:rsidRPr="00FE3A13">
              <w:rPr>
                <w:lang w:val="en-US"/>
              </w:rPr>
              <w:t>Etat</w:t>
            </w:r>
          </w:p>
        </w:tc>
        <w:tc>
          <w:tcPr>
            <w:tcW w:w="833" w:type="pct"/>
          </w:tcPr>
          <w:p w14:paraId="12CC726B"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3 757 000</w:t>
            </w:r>
          </w:p>
        </w:tc>
        <w:tc>
          <w:tcPr>
            <w:tcW w:w="833" w:type="pct"/>
          </w:tcPr>
          <w:p w14:paraId="484E242C"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3 965 000</w:t>
            </w:r>
          </w:p>
        </w:tc>
        <w:tc>
          <w:tcPr>
            <w:tcW w:w="833" w:type="pct"/>
          </w:tcPr>
          <w:p w14:paraId="78CE99C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4 213 000</w:t>
            </w:r>
          </w:p>
        </w:tc>
        <w:tc>
          <w:tcPr>
            <w:tcW w:w="831" w:type="pct"/>
          </w:tcPr>
          <w:p w14:paraId="28ED5EED"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11 935 000</w:t>
            </w:r>
          </w:p>
        </w:tc>
      </w:tr>
      <w:tr w:rsidR="00E31F9D" w:rsidRPr="00FE3A13" w14:paraId="0CB8BC59"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8F706A9"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27C73D1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-3 757 000</w:t>
            </w:r>
          </w:p>
        </w:tc>
        <w:tc>
          <w:tcPr>
            <w:tcW w:w="833" w:type="pct"/>
          </w:tcPr>
          <w:p w14:paraId="21805276"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Cs w:val="0"/>
                <w:lang w:val="en-US"/>
              </w:rPr>
            </w:pPr>
            <w:r w:rsidRPr="00FE3A13">
              <w:rPr>
                <w:b w:val="0"/>
                <w:bCs w:val="0"/>
                <w:lang w:val="en-US"/>
              </w:rPr>
              <w:t>-3 965 000</w:t>
            </w:r>
          </w:p>
        </w:tc>
        <w:tc>
          <w:tcPr>
            <w:tcW w:w="833" w:type="pct"/>
          </w:tcPr>
          <w:p w14:paraId="52E832F0"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-4 213 000</w:t>
            </w:r>
          </w:p>
        </w:tc>
        <w:tc>
          <w:tcPr>
            <w:tcW w:w="831" w:type="pct"/>
          </w:tcPr>
          <w:p w14:paraId="30F6F24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-11 935 000</w:t>
            </w:r>
          </w:p>
        </w:tc>
      </w:tr>
    </w:tbl>
    <w:p w14:paraId="261E6B2A" w14:textId="77777777" w:rsidR="00E31F9D" w:rsidRPr="00FE3A13" w:rsidRDefault="00E31F9D" w:rsidP="00E31F9D">
      <w:r w:rsidRPr="00FE3A13">
        <w:t xml:space="preserve">&gt; </w:t>
      </w:r>
      <w:r w:rsidRPr="00FE3A13">
        <w:tab/>
      </w:r>
      <w:r w:rsidRPr="00FE3A13">
        <w:rPr>
          <w:b/>
        </w:rPr>
        <w:t>Transfert des coûts d'entretien du RCC empruntant les routes communales aux communes</w:t>
      </w:r>
    </w:p>
    <w:p w14:paraId="7801F303" w14:textId="77777777" w:rsidR="00E31F9D" w:rsidRPr="00FE3A13" w:rsidRDefault="00E31F9D" w:rsidP="00E31F9D">
      <w:r w:rsidRPr="00FE3A13">
        <w:t xml:space="preserve">La mesure conduit à transférer les coûts d’entretien du réseau cyclable cantonal (RCC) empruntant les routes communales aux communes. Les coûts d’entretien des tronçons du futur (dès 2026) RCC empruntant des routes communales seraient transférés de l’Etat aux communes. Cette proposition permettrait de réduire des coûts que l’Etat devra assumer depuis 2026. </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06699A6A"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DD4A23D"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6160EA94"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E1429A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68F99A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E058FC8"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17FDE8D6"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C55952C" w14:textId="77777777" w:rsidR="00E31F9D" w:rsidRPr="00FE3A13" w:rsidRDefault="00E31F9D" w:rsidP="004F092C">
            <w:pPr>
              <w:pStyle w:val="NIVtableau"/>
              <w:rPr>
                <w:lang w:val="en-US"/>
              </w:rPr>
            </w:pPr>
            <w:r w:rsidRPr="00FE3A13">
              <w:rPr>
                <w:lang w:val="en-US"/>
              </w:rPr>
              <w:t>Etat</w:t>
            </w:r>
          </w:p>
        </w:tc>
        <w:tc>
          <w:tcPr>
            <w:tcW w:w="833" w:type="pct"/>
          </w:tcPr>
          <w:p w14:paraId="1A488976"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1 050 000</w:t>
            </w:r>
          </w:p>
        </w:tc>
        <w:tc>
          <w:tcPr>
            <w:tcW w:w="833" w:type="pct"/>
          </w:tcPr>
          <w:p w14:paraId="6BCE2A7D"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1 050 000</w:t>
            </w:r>
          </w:p>
        </w:tc>
        <w:tc>
          <w:tcPr>
            <w:tcW w:w="833" w:type="pct"/>
          </w:tcPr>
          <w:p w14:paraId="5F40E735"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1 050 000</w:t>
            </w:r>
          </w:p>
        </w:tc>
        <w:tc>
          <w:tcPr>
            <w:tcW w:w="831" w:type="pct"/>
          </w:tcPr>
          <w:p w14:paraId="57F2C860"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3 150 000</w:t>
            </w:r>
          </w:p>
        </w:tc>
      </w:tr>
      <w:tr w:rsidR="00E31F9D" w:rsidRPr="00FE3A13" w14:paraId="16A551BB"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2DA2B0B"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06B1FB8C"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-1 050 000</w:t>
            </w:r>
          </w:p>
        </w:tc>
        <w:tc>
          <w:tcPr>
            <w:tcW w:w="833" w:type="pct"/>
          </w:tcPr>
          <w:p w14:paraId="750BE65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-1 050 000</w:t>
            </w:r>
          </w:p>
        </w:tc>
        <w:tc>
          <w:tcPr>
            <w:tcW w:w="833" w:type="pct"/>
          </w:tcPr>
          <w:p w14:paraId="6490056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-1 050 000</w:t>
            </w:r>
          </w:p>
        </w:tc>
        <w:tc>
          <w:tcPr>
            <w:tcW w:w="831" w:type="pct"/>
          </w:tcPr>
          <w:p w14:paraId="042B92A4"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-3 150 000</w:t>
            </w:r>
          </w:p>
        </w:tc>
      </w:tr>
    </w:tbl>
    <w:p w14:paraId="5F3D3698" w14:textId="77777777" w:rsidR="00E31F9D" w:rsidRPr="00FE3A13" w:rsidRDefault="00E31F9D" w:rsidP="00E31F9D">
      <w:r w:rsidRPr="00FE3A13">
        <w:t xml:space="preserve">&gt; </w:t>
      </w:r>
      <w:r w:rsidRPr="00FE3A13">
        <w:tab/>
      </w:r>
      <w:r w:rsidRPr="00FE3A13">
        <w:rPr>
          <w:b/>
        </w:rPr>
        <w:t>Report dans la mise en vigueur du projet ENEO</w:t>
      </w:r>
    </w:p>
    <w:p w14:paraId="4A643FE2" w14:textId="77777777" w:rsidR="00E31F9D" w:rsidRPr="00FE3A13" w:rsidRDefault="00E31F9D" w:rsidP="00E31F9D">
      <w:r w:rsidRPr="00FE3A13">
        <w:t>La mesure propose de repousser la mise en vigueur du projet ENEO. Au moment de la rédaction de ce rapport, ce projet était encore en cours de traitement par la commission parlementaire spécialisée. Des précisions quant aux modalités d’application de la mesure et à ses incidences financières seront apportées après la période de consultation.</w:t>
      </w:r>
    </w:p>
    <w:tbl>
      <w:tblPr>
        <w:tblStyle w:val="TableauEtatFR"/>
        <w:tblW w:w="5000" w:type="pct"/>
        <w:tblLook w:val="04E0" w:firstRow="1" w:lastRow="1" w:firstColumn="1" w:lastColumn="0" w:noHBand="0" w:noVBand="1"/>
      </w:tblPr>
      <w:tblGrid>
        <w:gridCol w:w="3312"/>
        <w:gridCol w:w="1653"/>
        <w:gridCol w:w="1653"/>
        <w:gridCol w:w="1653"/>
        <w:gridCol w:w="1649"/>
      </w:tblGrid>
      <w:tr w:rsidR="00E31F9D" w:rsidRPr="00FE3A13" w14:paraId="21FC7EB7" w14:textId="77777777" w:rsidTr="004F09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2F392B4" w14:textId="77777777" w:rsidR="00E31F9D" w:rsidRPr="00FE3A13" w:rsidRDefault="00E31F9D" w:rsidP="004F092C">
            <w:pPr>
              <w:pStyle w:val="NIVtableau"/>
              <w:rPr>
                <w:color w:val="auto"/>
                <w:sz w:val="21"/>
                <w:lang w:val="en-US"/>
              </w:rPr>
            </w:pPr>
            <w:r w:rsidRPr="00FE3A13">
              <w:rPr>
                <w:lang w:val="en-US"/>
              </w:rPr>
              <w:t xml:space="preserve">Incidences </w:t>
            </w:r>
            <w:r w:rsidRPr="00FE3A13">
              <w:rPr>
                <w:lang w:val="fr-FR"/>
              </w:rPr>
              <w:t>financières</w:t>
            </w:r>
            <w:r w:rsidRPr="00FE3A13">
              <w:rPr>
                <w:lang w:val="en-US"/>
              </w:rPr>
              <w:t xml:space="preserve"> en francs</w:t>
            </w:r>
          </w:p>
        </w:tc>
        <w:tc>
          <w:tcPr>
            <w:tcW w:w="833" w:type="pct"/>
          </w:tcPr>
          <w:p w14:paraId="554FAF73"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D0AA120"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BD42B01"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582B23C" w14:textId="77777777" w:rsidR="00E31F9D" w:rsidRPr="00FE3A13" w:rsidRDefault="00E31F9D" w:rsidP="004F092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31F9D" w:rsidRPr="00FE3A13" w14:paraId="2AEE7B8C" w14:textId="77777777" w:rsidTr="004F092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E9600EE" w14:textId="77777777" w:rsidR="00E31F9D" w:rsidRPr="00FE3A13" w:rsidRDefault="00E31F9D" w:rsidP="004F092C">
            <w:pPr>
              <w:pStyle w:val="NIVtableau"/>
              <w:rPr>
                <w:lang w:val="en-US"/>
              </w:rPr>
            </w:pPr>
            <w:r w:rsidRPr="00FE3A13">
              <w:rPr>
                <w:lang w:val="en-US"/>
              </w:rPr>
              <w:t>Etat</w:t>
            </w:r>
          </w:p>
        </w:tc>
        <w:tc>
          <w:tcPr>
            <w:tcW w:w="833" w:type="pct"/>
          </w:tcPr>
          <w:p w14:paraId="0BAE8B1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21BE407"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307AA1F"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1" w:type="pct"/>
          </w:tcPr>
          <w:p w14:paraId="18164F57" w14:textId="77777777" w:rsidR="00E31F9D" w:rsidRPr="00FE3A13" w:rsidRDefault="00E31F9D" w:rsidP="004F092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r>
      <w:tr w:rsidR="00E31F9D" w:rsidRPr="00FE3A13" w14:paraId="1E7CE1EE" w14:textId="77777777" w:rsidTr="004F092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A067384" w14:textId="77777777" w:rsidR="00E31F9D" w:rsidRPr="00FE3A13" w:rsidRDefault="00E31F9D" w:rsidP="004F092C">
            <w:pPr>
              <w:pStyle w:val="NIVtableau"/>
              <w:rPr>
                <w:b w:val="0"/>
                <w:bCs w:val="0"/>
                <w:lang w:val="en-US"/>
              </w:rPr>
            </w:pPr>
            <w:r w:rsidRPr="00FE3A13">
              <w:rPr>
                <w:b w:val="0"/>
                <w:bCs w:val="0"/>
                <w:lang w:val="en-US"/>
              </w:rPr>
              <w:t>Commune</w:t>
            </w:r>
          </w:p>
        </w:tc>
        <w:tc>
          <w:tcPr>
            <w:tcW w:w="833" w:type="pct"/>
          </w:tcPr>
          <w:p w14:paraId="048A57A3"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A50C309"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756FA4D"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7ECD2121" w14:textId="77777777" w:rsidR="00E31F9D" w:rsidRPr="00FE3A13" w:rsidRDefault="00E31F9D" w:rsidP="004F092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90D4A44" w14:textId="77777777" w:rsidR="00E31F9D" w:rsidRPr="00FE3A13" w:rsidRDefault="00E31F9D" w:rsidP="00431C6C">
      <w:pPr>
        <w:pStyle w:val="Corpsdetexte"/>
      </w:pPr>
    </w:p>
    <w:p w14:paraId="2606728D" w14:textId="23F0D41E" w:rsidR="009877D1" w:rsidRPr="00FE3A13" w:rsidRDefault="009877D1" w:rsidP="009877D1">
      <w:pPr>
        <w:pStyle w:val="Titre2"/>
      </w:pPr>
      <w:bookmarkStart w:id="25" w:name="_Toc195714687"/>
      <w:r w:rsidRPr="00FE3A13">
        <w:t>Mesures de la compétence du Conseil d’Etat</w:t>
      </w:r>
      <w:bookmarkEnd w:id="25"/>
    </w:p>
    <w:p w14:paraId="16769B4B" w14:textId="3086C3ED" w:rsidR="009877D1" w:rsidRPr="00FE3A13" w:rsidRDefault="009877D1" w:rsidP="009877D1">
      <w:pPr>
        <w:pStyle w:val="Titre3"/>
      </w:pPr>
      <w:bookmarkStart w:id="26" w:name="_Toc195714688"/>
      <w:r w:rsidRPr="00FE3A13">
        <w:t>Revenus</w:t>
      </w:r>
      <w:bookmarkEnd w:id="26"/>
    </w:p>
    <w:p w14:paraId="38FA3B3C" w14:textId="5005D0E0" w:rsidR="00B84E83" w:rsidRPr="00FE3A13" w:rsidRDefault="00B84E83" w:rsidP="00B84E83">
      <w:r w:rsidRPr="00FE3A13">
        <w:t>En matière de revenus, les mesures suivantes sont proposées.</w:t>
      </w:r>
    </w:p>
    <w:tbl>
      <w:tblPr>
        <w:tblStyle w:val="TableauEtatFR"/>
        <w:tblW w:w="5000" w:type="pct"/>
        <w:tblLook w:val="04E0" w:firstRow="1" w:lastRow="1" w:firstColumn="1" w:lastColumn="0" w:noHBand="0" w:noVBand="1"/>
      </w:tblPr>
      <w:tblGrid>
        <w:gridCol w:w="9920"/>
      </w:tblGrid>
      <w:tr w:rsidR="00D56F8E" w:rsidRPr="00FE3A13" w14:paraId="1FAE2140" w14:textId="77777777" w:rsidTr="00C66A1D">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5000" w:type="pct"/>
          </w:tcPr>
          <w:p w14:paraId="13D9A57B" w14:textId="4282322D" w:rsidR="00D56F8E" w:rsidRPr="00FE3A13" w:rsidRDefault="00CB35B5" w:rsidP="00D56F8E">
            <w:pPr>
              <w:pStyle w:val="NIVtableau"/>
              <w:rPr>
                <w:b w:val="0"/>
                <w:color w:val="auto"/>
                <w:sz w:val="21"/>
                <w:lang w:val="fr-FR"/>
              </w:rPr>
            </w:pPr>
            <w:r w:rsidRPr="00FE3A13">
              <w:t xml:space="preserve">Liste </w:t>
            </w:r>
            <w:r w:rsidR="00D56F8E" w:rsidRPr="00FE3A13">
              <w:rPr>
                <w:lang w:val="fr-FR"/>
              </w:rPr>
              <w:t>de</w:t>
            </w:r>
            <w:r w:rsidRPr="00FE3A13">
              <w:rPr>
                <w:lang w:val="fr-FR"/>
              </w:rPr>
              <w:t>s</w:t>
            </w:r>
            <w:r w:rsidR="00D56F8E" w:rsidRPr="00FE3A13">
              <w:rPr>
                <w:lang w:val="fr-FR"/>
              </w:rPr>
              <w:t xml:space="preserve"> mesures de la compétence du Conseil d’Etat applicables dès 2026 en matière de </w:t>
            </w:r>
            <w:r w:rsidR="0001197E" w:rsidRPr="00FE3A13">
              <w:rPr>
                <w:lang w:val="fr-FR"/>
              </w:rPr>
              <w:t>revenus</w:t>
            </w:r>
          </w:p>
        </w:tc>
      </w:tr>
      <w:tr w:rsidR="00D56F8E" w:rsidRPr="00FE3A13" w14:paraId="3A3AA47E"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5000" w:type="pct"/>
          </w:tcPr>
          <w:p w14:paraId="0FD35A44" w14:textId="7D3147B1" w:rsidR="0057144E" w:rsidRPr="00FE3A13" w:rsidRDefault="00D56F8E" w:rsidP="0057144E">
            <w:pPr>
              <w:pStyle w:val="NIVtableau"/>
              <w:spacing w:before="100" w:after="100" w:line="280" w:lineRule="atLeast"/>
            </w:pPr>
            <w:r w:rsidRPr="00FE3A13">
              <w:rPr>
                <w:b/>
                <w:bCs w:val="0"/>
              </w:rPr>
              <w:t xml:space="preserve">a) </w:t>
            </w:r>
            <w:r w:rsidR="004634A2" w:rsidRPr="00FE3A13">
              <w:rPr>
                <w:b/>
                <w:bCs w:val="0"/>
              </w:rPr>
              <w:t>E</w:t>
            </w:r>
            <w:r w:rsidRPr="00FE3A13">
              <w:rPr>
                <w:b/>
                <w:bCs w:val="0"/>
              </w:rPr>
              <w:t>moluments, taxes et redevances</w:t>
            </w:r>
            <w:r w:rsidR="0057144E" w:rsidRPr="00FE3A13">
              <w:br/>
              <w:t xml:space="preserve">- </w:t>
            </w:r>
            <w:r w:rsidRPr="00FE3A13">
              <w:t>Augmentation des tarifs et émoluments de la Chancellerie</w:t>
            </w:r>
            <w:r w:rsidRPr="00FE3A13">
              <w:br/>
            </w:r>
            <w:r w:rsidR="0057144E" w:rsidRPr="00FE3A13">
              <w:t xml:space="preserve">- </w:t>
            </w:r>
            <w:r w:rsidRPr="00FE3A13">
              <w:t>Adaptation dans la pratique des émoluments du SAEF pour les procédures d'aménagement et de construction</w:t>
            </w:r>
            <w:r w:rsidR="0057144E" w:rsidRPr="00FE3A13">
              <w:br/>
              <w:t>-</w:t>
            </w:r>
            <w:r w:rsidR="00891258" w:rsidRPr="00FE3A13">
              <w:t xml:space="preserve"> </w:t>
            </w:r>
            <w:r w:rsidRPr="00FE3A13">
              <w:t>Augmentation des émoluments du SBC</w:t>
            </w:r>
            <w:r w:rsidR="0057144E" w:rsidRPr="00FE3A13">
              <w:br/>
              <w:t>- Modification du prix de pension pour les personnes détenues en régime fermé, site Bellechasse</w:t>
            </w:r>
            <w:r w:rsidR="0057144E" w:rsidRPr="00FE3A13">
              <w:br/>
              <w:t>- Adaptation des émoluments de la Police</w:t>
            </w:r>
            <w:r w:rsidR="0057144E" w:rsidRPr="00FE3A13">
              <w:br/>
              <w:t>- Adaptation des émoluments du SMo</w:t>
            </w:r>
            <w:r w:rsidR="0057144E" w:rsidRPr="00FE3A13">
              <w:br/>
              <w:t>-</w:t>
            </w:r>
            <w:r w:rsidR="00891258" w:rsidRPr="00FE3A13">
              <w:t xml:space="preserve"> Adaptation des émoluments du SPC</w:t>
            </w:r>
            <w:r w:rsidR="0057144E" w:rsidRPr="00FE3A13">
              <w:br/>
              <w:t xml:space="preserve">- </w:t>
            </w:r>
            <w:r w:rsidR="00891258" w:rsidRPr="00FE3A13">
              <w:t>Adaptation des émoluments du SPE</w:t>
            </w:r>
            <w:r w:rsidR="0057144E" w:rsidRPr="00FE3A13">
              <w:br/>
              <w:t xml:space="preserve">- </w:t>
            </w:r>
            <w:r w:rsidR="00891258" w:rsidRPr="00FE3A13">
              <w:t>Modification de la pratique concernant les émoluments du SdE</w:t>
            </w:r>
            <w:r w:rsidR="0057144E" w:rsidRPr="00FE3A13">
              <w:br/>
              <w:t xml:space="preserve">- </w:t>
            </w:r>
            <w:r w:rsidR="00891258" w:rsidRPr="00FE3A13">
              <w:t>Augmentation des tarifs des analyses de laboratoires du domaine alimentaire</w:t>
            </w:r>
            <w:r w:rsidR="0057144E" w:rsidRPr="00FE3A13">
              <w:br/>
              <w:t xml:space="preserve">- </w:t>
            </w:r>
            <w:r w:rsidR="00891258" w:rsidRPr="00FE3A13">
              <w:t>Augmentation des émoluments des Préfectures</w:t>
            </w:r>
            <w:r w:rsidR="00891258" w:rsidRPr="00FE3A13">
              <w:br/>
              <w:t>- Révision des taxes et redevances pour l’usage du domaine public</w:t>
            </w:r>
            <w:r w:rsidR="00891258" w:rsidRPr="00FE3A13">
              <w:br/>
              <w:t>- Adaptation des émoluments du SeCA</w:t>
            </w:r>
            <w:r w:rsidR="00891258" w:rsidRPr="00FE3A13">
              <w:br/>
            </w:r>
            <w:r w:rsidR="00891258" w:rsidRPr="00FE3A13">
              <w:lastRenderedPageBreak/>
              <w:t>- Introduction de nouveaux émoluments pour les demandes préalables des permis de construire</w:t>
            </w:r>
            <w:r w:rsidR="00891258" w:rsidRPr="00FE3A13">
              <w:br/>
              <w:t>- Augmentation des émoluments du SEn</w:t>
            </w:r>
          </w:p>
        </w:tc>
      </w:tr>
      <w:tr w:rsidR="00D56F8E" w:rsidRPr="00FE3A13" w14:paraId="34CABCCC"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5000" w:type="pct"/>
          </w:tcPr>
          <w:p w14:paraId="76FF2210" w14:textId="6260BC03" w:rsidR="00D56F8E" w:rsidRPr="00FE3A13" w:rsidRDefault="004634A2" w:rsidP="00891258">
            <w:pPr>
              <w:pStyle w:val="NIVtableau"/>
              <w:spacing w:before="100" w:after="100" w:line="280" w:lineRule="atLeast"/>
            </w:pPr>
            <w:r w:rsidRPr="00FE3A13">
              <w:rPr>
                <w:b/>
                <w:bCs w:val="0"/>
              </w:rPr>
              <w:lastRenderedPageBreak/>
              <w:t>b</w:t>
            </w:r>
            <w:r w:rsidR="00891258" w:rsidRPr="00FE3A13">
              <w:rPr>
                <w:b/>
                <w:bCs w:val="0"/>
              </w:rPr>
              <w:t xml:space="preserve">) </w:t>
            </w:r>
            <w:r w:rsidRPr="00FE3A13">
              <w:rPr>
                <w:b/>
                <w:bCs w:val="0"/>
              </w:rPr>
              <w:t>Impôts</w:t>
            </w:r>
            <w:r w:rsidR="00891258" w:rsidRPr="00FE3A13">
              <w:rPr>
                <w:b/>
                <w:bCs w:val="0"/>
              </w:rPr>
              <w:br/>
            </w:r>
            <w:r w:rsidR="00891258" w:rsidRPr="00FE3A13">
              <w:t xml:space="preserve">- </w:t>
            </w:r>
            <w:r w:rsidRPr="00FE3A13">
              <w:t>Augmentation du nombre de taxateurs au SCC afin de renforcer l’investigation fiscale</w:t>
            </w:r>
          </w:p>
        </w:tc>
      </w:tr>
      <w:tr w:rsidR="004634A2" w:rsidRPr="00FE3A13" w14:paraId="77F2703C"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5000" w:type="pct"/>
          </w:tcPr>
          <w:p w14:paraId="1172B0B9" w14:textId="4AA51715" w:rsidR="004634A2" w:rsidRPr="00FE3A13" w:rsidRDefault="004634A2" w:rsidP="004634A2">
            <w:pPr>
              <w:pStyle w:val="NIVtableau"/>
              <w:spacing w:before="100" w:after="100" w:line="280" w:lineRule="atLeast"/>
              <w:rPr>
                <w:b/>
                <w:bCs w:val="0"/>
              </w:rPr>
            </w:pPr>
            <w:r w:rsidRPr="00FE3A13">
              <w:rPr>
                <w:b/>
                <w:bCs w:val="0"/>
              </w:rPr>
              <w:t>c) Contribution des usagers</w:t>
            </w:r>
            <w:r w:rsidRPr="00FE3A13">
              <w:rPr>
                <w:b/>
                <w:bCs w:val="0"/>
              </w:rPr>
              <w:br/>
            </w:r>
            <w:r w:rsidRPr="00FE3A13">
              <w:t>- Location à l’externe des places de parking inoccupées par l’administration</w:t>
            </w:r>
            <w:r w:rsidRPr="00FE3A13">
              <w:br/>
              <w:t>- Augmentation des frais d’écolage pour le secondaire 2</w:t>
            </w:r>
            <w:r w:rsidRPr="00FE3A13">
              <w:br/>
              <w:t xml:space="preserve">- </w:t>
            </w:r>
            <w:r w:rsidR="00D34E40" w:rsidRPr="00FE3A13">
              <w:t>Augmentation des taxes d’examen final pour les écoles du secondaire 2</w:t>
            </w:r>
            <w:r w:rsidRPr="00FE3A13">
              <w:br/>
              <w:t xml:space="preserve">- </w:t>
            </w:r>
            <w:r w:rsidR="00D34E40" w:rsidRPr="00FE3A13">
              <w:t>Adaptation des tarifs des prestations de comptabilité de Grangeneuve</w:t>
            </w:r>
            <w:r w:rsidR="008C0247" w:rsidRPr="00FE3A13">
              <w:br/>
              <w:t>- Hausse des tarifs des permis de pêche</w:t>
            </w:r>
            <w:r w:rsidR="008C0247" w:rsidRPr="00FE3A13">
              <w:br/>
              <w:t>- Facturation des mandats de chef de projet aux communes pour ce qui concerne les aspects édilitaires</w:t>
            </w:r>
          </w:p>
        </w:tc>
      </w:tr>
      <w:tr w:rsidR="004634A2" w:rsidRPr="00FE3A13" w14:paraId="3A45FB4A"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tcPr>
          <w:p w14:paraId="47DE67EE" w14:textId="412C4284" w:rsidR="004634A2" w:rsidRPr="00FE3A13" w:rsidRDefault="004634A2" w:rsidP="004634A2">
            <w:pPr>
              <w:pStyle w:val="NIVtableau"/>
              <w:spacing w:before="100" w:after="100" w:line="280" w:lineRule="atLeast"/>
              <w:rPr>
                <w:b w:val="0"/>
                <w:bCs w:val="0"/>
              </w:rPr>
            </w:pPr>
            <w:r w:rsidRPr="00FE3A13">
              <w:t>d) Autres revenus</w:t>
            </w:r>
            <w:r w:rsidRPr="00FE3A13">
              <w:rPr>
                <w:b w:val="0"/>
                <w:bCs w:val="0"/>
              </w:rPr>
              <w:br/>
            </w:r>
            <w:r w:rsidR="008C0247" w:rsidRPr="00FE3A13">
              <w:rPr>
                <w:b w:val="0"/>
                <w:bCs w:val="0"/>
              </w:rPr>
              <w:t>- Augmentation de la contribution de la BCF</w:t>
            </w:r>
            <w:r w:rsidR="008C0247" w:rsidRPr="00FE3A13">
              <w:rPr>
                <w:b w:val="0"/>
                <w:bCs w:val="0"/>
              </w:rPr>
              <w:br/>
              <w:t>- Augmentation de la contribution de l’OCN</w:t>
            </w:r>
          </w:p>
        </w:tc>
      </w:tr>
    </w:tbl>
    <w:p w14:paraId="63E04453" w14:textId="77777777" w:rsidR="00D56F8E" w:rsidRPr="00FE3A13" w:rsidRDefault="00D56F8E" w:rsidP="00B84E83">
      <w:pPr>
        <w:rPr>
          <w:i/>
          <w:iCs/>
        </w:rPr>
      </w:pPr>
    </w:p>
    <w:p w14:paraId="69644CCD" w14:textId="77777777" w:rsidR="000B3746" w:rsidRPr="00082EB9" w:rsidRDefault="000B3746" w:rsidP="00354105">
      <w:pPr>
        <w:pStyle w:val="Listealphabtique"/>
        <w:numPr>
          <w:ilvl w:val="0"/>
          <w:numId w:val="39"/>
        </w:numPr>
        <w:ind w:left="426" w:hanging="426"/>
        <w:rPr>
          <w:b/>
          <w:bCs/>
        </w:rPr>
      </w:pPr>
      <w:r w:rsidRPr="00082EB9">
        <w:rPr>
          <w:b/>
          <w:bCs/>
        </w:rPr>
        <w:t>Emoluments, taxes et redevances</w:t>
      </w:r>
    </w:p>
    <w:p w14:paraId="47E3313C" w14:textId="11803AF3" w:rsidR="000B3746" w:rsidRPr="00FE3A13" w:rsidRDefault="000B3746" w:rsidP="000B3746">
      <w:pPr>
        <w:pStyle w:val="Listealphabtique"/>
        <w:numPr>
          <w:ilvl w:val="0"/>
          <w:numId w:val="0"/>
        </w:numPr>
        <w:rPr>
          <w:b/>
          <w:bCs/>
        </w:rPr>
      </w:pPr>
      <w:r w:rsidRPr="00FE3A13">
        <w:rPr>
          <w:b/>
          <w:bCs/>
        </w:rPr>
        <w:t>&gt;</w:t>
      </w:r>
      <w:r w:rsidRPr="00FE3A13">
        <w:rPr>
          <w:b/>
          <w:bCs/>
        </w:rPr>
        <w:tab/>
        <w:t>Augmentation des tarifs et émoluments de la Chancellerie</w:t>
      </w:r>
    </w:p>
    <w:p w14:paraId="299F1499" w14:textId="14F9FA3A" w:rsidR="00B84E83" w:rsidRPr="00FE3A13" w:rsidRDefault="000B3746" w:rsidP="00A130B3">
      <w:pPr>
        <w:pStyle w:val="Corpsdetexte"/>
      </w:pPr>
      <w:r w:rsidRPr="00FE3A13">
        <w:t xml:space="preserve">La mesure consiste à augmenter plusieurs tarifs et émoluments de la Chancellerie qui n'ont pas fait l'objet d'adaptation récente. </w:t>
      </w:r>
      <w:r w:rsidR="00890A58" w:rsidRPr="00FE3A13">
        <w:t>Les émoluments pour les légalisations et les apostilles augmenteront de 5 ou 10 francs en fonction du type de document.</w:t>
      </w:r>
      <w:r w:rsidR="00890A58">
        <w:t xml:space="preserve"> </w:t>
      </w:r>
      <w:r w:rsidRPr="00FE3A13">
        <w:t>Les tarifs des clients externes du SAMI s</w:t>
      </w:r>
      <w:r w:rsidR="0074740A" w:rsidRPr="00FE3A13">
        <w:t>eront</w:t>
      </w:r>
      <w:r w:rsidRPr="00FE3A13">
        <w:t xml:space="preserve"> majorés de 30%. Les travaux des ateliers de reliure </w:t>
      </w:r>
      <w:r w:rsidR="0074740A" w:rsidRPr="00FE3A13">
        <w:t>évolueront à la hausse de</w:t>
      </w:r>
      <w:r w:rsidRPr="00FE3A13">
        <w:t xml:space="preserve"> 10 francs. Les minutes de notaires </w:t>
      </w:r>
      <w:r w:rsidR="0074740A" w:rsidRPr="00FE3A13">
        <w:t>bénéficieront d’une adaptation</w:t>
      </w:r>
      <w:r w:rsidRPr="00FE3A13">
        <w:t xml:space="preserve"> passant de 90 francs/pièces à 130 francs/pièces. Concernant les archives, les tarifs pour la fourniture et livraison des armoiries (physiques et digitales), les recherches généalogiques, les transferts d’actes et les actes notariés s</w:t>
      </w:r>
      <w:r w:rsidR="0074740A" w:rsidRPr="00FE3A13">
        <w:t>eront</w:t>
      </w:r>
      <w:r w:rsidRPr="00FE3A13">
        <w:t xml:space="preserve"> adaptés à la hausse. </w:t>
      </w:r>
    </w:p>
    <w:tbl>
      <w:tblPr>
        <w:tblStyle w:val="TableauEtatFR"/>
        <w:tblW w:w="5000" w:type="pct"/>
        <w:tblLook w:val="04E0" w:firstRow="1" w:lastRow="1" w:firstColumn="1" w:lastColumn="0" w:noHBand="0" w:noVBand="1"/>
      </w:tblPr>
      <w:tblGrid>
        <w:gridCol w:w="3312"/>
        <w:gridCol w:w="1653"/>
        <w:gridCol w:w="1653"/>
        <w:gridCol w:w="1653"/>
        <w:gridCol w:w="1649"/>
      </w:tblGrid>
      <w:tr w:rsidR="0074740A" w:rsidRPr="00FE3A13" w14:paraId="59FF58DD"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B31167F" w14:textId="77777777" w:rsidR="0074740A" w:rsidRPr="00FE3A13" w:rsidRDefault="0074740A" w:rsidP="00D43EDA">
            <w:pPr>
              <w:pStyle w:val="NIVtableau"/>
              <w:rPr>
                <w:color w:val="auto"/>
                <w:sz w:val="21"/>
                <w:lang w:val="fr-FR"/>
              </w:rPr>
            </w:pPr>
            <w:r w:rsidRPr="00FE3A13">
              <w:rPr>
                <w:lang w:val="fr-FR"/>
              </w:rPr>
              <w:t>Incidences financières en francs</w:t>
            </w:r>
          </w:p>
        </w:tc>
        <w:tc>
          <w:tcPr>
            <w:tcW w:w="833" w:type="pct"/>
          </w:tcPr>
          <w:p w14:paraId="1538C634" w14:textId="77777777" w:rsidR="0074740A" w:rsidRPr="00FE3A13" w:rsidRDefault="0074740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E1877FB" w14:textId="77777777" w:rsidR="0074740A" w:rsidRPr="00FE3A13" w:rsidRDefault="0074740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BBFAFC6" w14:textId="77777777" w:rsidR="0074740A" w:rsidRPr="00FE3A13" w:rsidRDefault="0074740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3C725BC" w14:textId="77777777" w:rsidR="0074740A" w:rsidRPr="00FE3A13" w:rsidRDefault="0074740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74740A" w:rsidRPr="00FE3A13" w14:paraId="1301DC44"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400FFA3" w14:textId="77777777" w:rsidR="0074740A" w:rsidRPr="00FE3A13" w:rsidRDefault="0074740A" w:rsidP="00D43EDA">
            <w:pPr>
              <w:pStyle w:val="NIVtableau"/>
              <w:rPr>
                <w:lang w:val="en-US"/>
              </w:rPr>
            </w:pPr>
            <w:r w:rsidRPr="00FE3A13">
              <w:rPr>
                <w:lang w:val="en-US"/>
              </w:rPr>
              <w:t>Etat</w:t>
            </w:r>
          </w:p>
        </w:tc>
        <w:tc>
          <w:tcPr>
            <w:tcW w:w="833" w:type="pct"/>
          </w:tcPr>
          <w:p w14:paraId="255BD287" w14:textId="632BA129" w:rsidR="0074740A" w:rsidRPr="00FE3A13" w:rsidRDefault="0074740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95 000</w:t>
            </w:r>
          </w:p>
        </w:tc>
        <w:tc>
          <w:tcPr>
            <w:tcW w:w="833" w:type="pct"/>
          </w:tcPr>
          <w:p w14:paraId="4EA8555E" w14:textId="263CDDB9" w:rsidR="0074740A" w:rsidRPr="00FE3A13" w:rsidRDefault="0074740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95 000</w:t>
            </w:r>
          </w:p>
        </w:tc>
        <w:tc>
          <w:tcPr>
            <w:tcW w:w="833" w:type="pct"/>
          </w:tcPr>
          <w:p w14:paraId="2ADFC633" w14:textId="1C3B2069" w:rsidR="0074740A" w:rsidRPr="00FE3A13" w:rsidRDefault="0074740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95 000</w:t>
            </w:r>
          </w:p>
        </w:tc>
        <w:tc>
          <w:tcPr>
            <w:tcW w:w="833" w:type="pct"/>
          </w:tcPr>
          <w:p w14:paraId="65C35E34" w14:textId="2966153B" w:rsidR="0074740A" w:rsidRPr="00FE3A13" w:rsidRDefault="0074740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285 000</w:t>
            </w:r>
          </w:p>
        </w:tc>
      </w:tr>
      <w:tr w:rsidR="0074740A" w:rsidRPr="00FE3A13" w14:paraId="53D94885"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96BDB58" w14:textId="77777777" w:rsidR="0074740A" w:rsidRPr="00FE3A13" w:rsidRDefault="0074740A" w:rsidP="00D43EDA">
            <w:pPr>
              <w:pStyle w:val="NIVtableau"/>
              <w:rPr>
                <w:b w:val="0"/>
                <w:lang w:val="en-US"/>
              </w:rPr>
            </w:pPr>
            <w:r w:rsidRPr="00FE3A13">
              <w:rPr>
                <w:b w:val="0"/>
                <w:lang w:val="en-US"/>
              </w:rPr>
              <w:t>Communes</w:t>
            </w:r>
          </w:p>
        </w:tc>
        <w:tc>
          <w:tcPr>
            <w:tcW w:w="833" w:type="pct"/>
          </w:tcPr>
          <w:p w14:paraId="49CA931D" w14:textId="77777777" w:rsidR="0074740A" w:rsidRPr="00FE3A13" w:rsidRDefault="0074740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B7A98B2" w14:textId="77777777" w:rsidR="0074740A" w:rsidRPr="00FE3A13" w:rsidRDefault="0074740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940EAB6" w14:textId="77777777" w:rsidR="0074740A" w:rsidRPr="00FE3A13" w:rsidRDefault="0074740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A79204F" w14:textId="77777777" w:rsidR="0074740A" w:rsidRPr="00FE3A13" w:rsidRDefault="0074740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033EB6A5" w14:textId="3DF0593E" w:rsidR="00383F24" w:rsidRPr="00FE3A13" w:rsidRDefault="0074740A" w:rsidP="005E113B">
      <w:pPr>
        <w:pStyle w:val="Corpsdetexte"/>
        <w:rPr>
          <w:b/>
          <w:bCs/>
        </w:rPr>
      </w:pPr>
      <w:r w:rsidRPr="00FE3A13">
        <w:rPr>
          <w:b/>
          <w:bCs/>
        </w:rPr>
        <w:t>&gt;</w:t>
      </w:r>
      <w:r w:rsidRPr="00FE3A13">
        <w:rPr>
          <w:b/>
          <w:bCs/>
        </w:rPr>
        <w:tab/>
      </w:r>
      <w:r w:rsidR="005E113B" w:rsidRPr="00FE3A13">
        <w:rPr>
          <w:b/>
          <w:bCs/>
        </w:rPr>
        <w:t>Adaptation dans la pratique des émoluments du SAEF pour les procédures d'aménagement et de construction</w:t>
      </w:r>
    </w:p>
    <w:p w14:paraId="05D5B867" w14:textId="33B2B5B4" w:rsidR="005E113B" w:rsidRPr="00FE3A13" w:rsidRDefault="005E113B" w:rsidP="00A130B3">
      <w:pPr>
        <w:pStyle w:val="Corpsdetexte"/>
      </w:pPr>
      <w:r w:rsidRPr="00FE3A13">
        <w:t>La mesure vise à adapter les émoluments du S</w:t>
      </w:r>
      <w:r w:rsidR="009E6C54" w:rsidRPr="00FE3A13">
        <w:t>ervice archéologique de l’Etat de Fribourg</w:t>
      </w:r>
      <w:r w:rsidRPr="00FE3A13">
        <w:t xml:space="preserve">. Ceux-ci seront alignés à la pratique des autres services concernant les procédures d’aménagement et de construction. </w:t>
      </w:r>
      <w:r w:rsidR="00F55CEA" w:rsidRPr="00FE3A13">
        <w:t>Certain</w:t>
      </w:r>
      <w:r w:rsidRPr="00FE3A13">
        <w:t xml:space="preserve">s émoluments perçus par le service </w:t>
      </w:r>
      <w:r w:rsidR="00F55CEA" w:rsidRPr="00FE3A13">
        <w:t xml:space="preserve">seront adaptés et d’autres seront introduits pour se conformer à la pratique usuelle. </w:t>
      </w:r>
    </w:p>
    <w:tbl>
      <w:tblPr>
        <w:tblStyle w:val="TableauEtatFR"/>
        <w:tblW w:w="5000" w:type="pct"/>
        <w:tblLook w:val="04E0" w:firstRow="1" w:lastRow="1" w:firstColumn="1" w:lastColumn="0" w:noHBand="0" w:noVBand="1"/>
      </w:tblPr>
      <w:tblGrid>
        <w:gridCol w:w="3312"/>
        <w:gridCol w:w="1653"/>
        <w:gridCol w:w="1653"/>
        <w:gridCol w:w="1653"/>
        <w:gridCol w:w="1649"/>
      </w:tblGrid>
      <w:tr w:rsidR="00F55CEA" w:rsidRPr="00FE3A13" w14:paraId="31BE1CBA"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450445A" w14:textId="77777777" w:rsidR="00F55CEA" w:rsidRPr="00FE3A13" w:rsidRDefault="00F55CEA" w:rsidP="00D43EDA">
            <w:pPr>
              <w:pStyle w:val="NIVtableau"/>
              <w:rPr>
                <w:color w:val="auto"/>
                <w:sz w:val="21"/>
                <w:lang w:val="fr-FR"/>
              </w:rPr>
            </w:pPr>
            <w:r w:rsidRPr="00FE3A13">
              <w:rPr>
                <w:lang w:val="fr-FR"/>
              </w:rPr>
              <w:t>Incidences financières en francs</w:t>
            </w:r>
          </w:p>
        </w:tc>
        <w:tc>
          <w:tcPr>
            <w:tcW w:w="833" w:type="pct"/>
          </w:tcPr>
          <w:p w14:paraId="265B1B05" w14:textId="77777777" w:rsidR="00F55CEA" w:rsidRPr="00FE3A13" w:rsidRDefault="00F55CE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0285EFE" w14:textId="77777777" w:rsidR="00F55CEA" w:rsidRPr="00FE3A13" w:rsidRDefault="00F55CE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7D0F762" w14:textId="77777777" w:rsidR="00F55CEA" w:rsidRPr="00FE3A13" w:rsidRDefault="00F55CE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6AF64E3" w14:textId="77777777" w:rsidR="00F55CEA" w:rsidRPr="00FE3A13" w:rsidRDefault="00F55CE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F55CEA" w:rsidRPr="00FE3A13" w14:paraId="63732561"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560D140" w14:textId="77777777" w:rsidR="00F55CEA" w:rsidRPr="00FE3A13" w:rsidRDefault="00F55CEA" w:rsidP="00D43EDA">
            <w:pPr>
              <w:pStyle w:val="NIVtableau"/>
              <w:rPr>
                <w:lang w:val="en-US"/>
              </w:rPr>
            </w:pPr>
            <w:r w:rsidRPr="00FE3A13">
              <w:rPr>
                <w:lang w:val="en-US"/>
              </w:rPr>
              <w:t>Etat</w:t>
            </w:r>
          </w:p>
        </w:tc>
        <w:tc>
          <w:tcPr>
            <w:tcW w:w="833" w:type="pct"/>
          </w:tcPr>
          <w:p w14:paraId="4E48819B" w14:textId="444A0A88" w:rsidR="00F55CEA" w:rsidRPr="00FE3A13" w:rsidRDefault="00F55CE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42 000</w:t>
            </w:r>
          </w:p>
        </w:tc>
        <w:tc>
          <w:tcPr>
            <w:tcW w:w="833" w:type="pct"/>
          </w:tcPr>
          <w:p w14:paraId="4EA0ECBA" w14:textId="5D032824" w:rsidR="00F55CEA" w:rsidRPr="00FE3A13" w:rsidRDefault="00F55CE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42 000</w:t>
            </w:r>
          </w:p>
        </w:tc>
        <w:tc>
          <w:tcPr>
            <w:tcW w:w="833" w:type="pct"/>
          </w:tcPr>
          <w:p w14:paraId="0EA6781C" w14:textId="6D895E68" w:rsidR="00F55CEA" w:rsidRPr="00FE3A13" w:rsidRDefault="00F55CE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42 000</w:t>
            </w:r>
          </w:p>
        </w:tc>
        <w:tc>
          <w:tcPr>
            <w:tcW w:w="833" w:type="pct"/>
          </w:tcPr>
          <w:p w14:paraId="235A8A2A" w14:textId="43FCAE22" w:rsidR="00F55CEA" w:rsidRPr="00FE3A13" w:rsidRDefault="00F55CE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126 000</w:t>
            </w:r>
          </w:p>
        </w:tc>
      </w:tr>
      <w:tr w:rsidR="00F55CEA" w:rsidRPr="00FE3A13" w14:paraId="0D5C842F"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36DD5F3" w14:textId="77777777" w:rsidR="00F55CEA" w:rsidRPr="00FE3A13" w:rsidRDefault="00F55CEA" w:rsidP="00D43EDA">
            <w:pPr>
              <w:pStyle w:val="NIVtableau"/>
              <w:rPr>
                <w:b w:val="0"/>
                <w:lang w:val="en-US"/>
              </w:rPr>
            </w:pPr>
            <w:r w:rsidRPr="00FE3A13">
              <w:rPr>
                <w:b w:val="0"/>
                <w:lang w:val="en-US"/>
              </w:rPr>
              <w:t>Communes</w:t>
            </w:r>
          </w:p>
        </w:tc>
        <w:tc>
          <w:tcPr>
            <w:tcW w:w="833" w:type="pct"/>
          </w:tcPr>
          <w:p w14:paraId="37B5B1B5" w14:textId="77777777" w:rsidR="00F55CEA" w:rsidRPr="00FE3A13" w:rsidRDefault="00F55CE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06F2BD8" w14:textId="77777777" w:rsidR="00F55CEA" w:rsidRPr="00FE3A13" w:rsidRDefault="00F55CE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3F1D50F" w14:textId="77777777" w:rsidR="00F55CEA" w:rsidRPr="00FE3A13" w:rsidRDefault="00F55CE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F87873F" w14:textId="77777777" w:rsidR="00F55CEA" w:rsidRPr="00FE3A13" w:rsidRDefault="00F55CE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0C78094" w14:textId="1CCA23FE" w:rsidR="00F55CEA" w:rsidRPr="00FE3A13" w:rsidRDefault="00B213FB" w:rsidP="005E113B">
      <w:pPr>
        <w:pStyle w:val="Corpsdetexte"/>
        <w:rPr>
          <w:b/>
          <w:bCs/>
        </w:rPr>
      </w:pPr>
      <w:r w:rsidRPr="00FE3A13">
        <w:rPr>
          <w:b/>
          <w:bCs/>
        </w:rPr>
        <w:t>&gt;</w:t>
      </w:r>
      <w:r w:rsidRPr="00FE3A13">
        <w:rPr>
          <w:b/>
          <w:bCs/>
        </w:rPr>
        <w:tab/>
        <w:t>Augmentation des émoluments du SBC</w:t>
      </w:r>
    </w:p>
    <w:p w14:paraId="79D6A0E2" w14:textId="16F9DDBA" w:rsidR="00B213FB" w:rsidRPr="00FE3A13" w:rsidRDefault="00B213FB" w:rsidP="00A130B3">
      <w:pPr>
        <w:pStyle w:val="Corpsdetexte"/>
      </w:pPr>
      <w:r w:rsidRPr="00FE3A13">
        <w:t>La mesure propose de procéder à une augmentation des émoluments du S</w:t>
      </w:r>
      <w:r w:rsidR="0018088A" w:rsidRPr="00FE3A13">
        <w:t>ervices des biens culturels</w:t>
      </w:r>
      <w:r w:rsidRPr="00FE3A13">
        <w:t>. L</w:t>
      </w:r>
      <w:r w:rsidR="0018088A" w:rsidRPr="00FE3A13">
        <w:t>a hausse</w:t>
      </w:r>
      <w:r w:rsidRPr="00FE3A13">
        <w:t xml:space="preserve"> sera, en moyenne, de 10% pour les émoluments de ce service.</w:t>
      </w:r>
    </w:p>
    <w:tbl>
      <w:tblPr>
        <w:tblStyle w:val="TableauEtatFR"/>
        <w:tblW w:w="5000" w:type="pct"/>
        <w:tblLook w:val="04E0" w:firstRow="1" w:lastRow="1" w:firstColumn="1" w:lastColumn="0" w:noHBand="0" w:noVBand="1"/>
      </w:tblPr>
      <w:tblGrid>
        <w:gridCol w:w="3312"/>
        <w:gridCol w:w="1653"/>
        <w:gridCol w:w="1653"/>
        <w:gridCol w:w="1653"/>
        <w:gridCol w:w="1649"/>
      </w:tblGrid>
      <w:tr w:rsidR="00B213FB" w:rsidRPr="00FE3A13" w14:paraId="5FE7577C"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C68FC5E" w14:textId="77777777" w:rsidR="00B213FB" w:rsidRPr="00FE3A13" w:rsidRDefault="00B213FB" w:rsidP="00D43EDA">
            <w:pPr>
              <w:pStyle w:val="NIVtableau"/>
              <w:rPr>
                <w:color w:val="auto"/>
                <w:sz w:val="21"/>
                <w:lang w:val="fr-FR"/>
              </w:rPr>
            </w:pPr>
            <w:r w:rsidRPr="00FE3A13">
              <w:rPr>
                <w:lang w:val="fr-FR"/>
              </w:rPr>
              <w:t>Incidences financières en francs</w:t>
            </w:r>
          </w:p>
        </w:tc>
        <w:tc>
          <w:tcPr>
            <w:tcW w:w="833" w:type="pct"/>
          </w:tcPr>
          <w:p w14:paraId="42A67F49" w14:textId="77777777" w:rsidR="00B213FB" w:rsidRPr="00FE3A13" w:rsidRDefault="00B213F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86DE4E5" w14:textId="77777777" w:rsidR="00B213FB" w:rsidRPr="00FE3A13" w:rsidRDefault="00B213F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AF2E2B4" w14:textId="77777777" w:rsidR="00B213FB" w:rsidRPr="00FE3A13" w:rsidRDefault="00B213F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52F01876" w14:textId="77777777" w:rsidR="00B213FB" w:rsidRPr="00FE3A13" w:rsidRDefault="00B213F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B213FB" w:rsidRPr="00FE3A13" w14:paraId="70A898E0"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9140A1C" w14:textId="77777777" w:rsidR="00B213FB" w:rsidRPr="00FE3A13" w:rsidRDefault="00B213FB" w:rsidP="00D43EDA">
            <w:pPr>
              <w:pStyle w:val="NIVtableau"/>
              <w:rPr>
                <w:lang w:val="en-US"/>
              </w:rPr>
            </w:pPr>
            <w:r w:rsidRPr="00FE3A13">
              <w:rPr>
                <w:lang w:val="en-US"/>
              </w:rPr>
              <w:t>Etat</w:t>
            </w:r>
          </w:p>
        </w:tc>
        <w:tc>
          <w:tcPr>
            <w:tcW w:w="833" w:type="pct"/>
          </w:tcPr>
          <w:p w14:paraId="20D4BAC0" w14:textId="106C6E1A" w:rsidR="00B213FB" w:rsidRPr="00FE3A13" w:rsidRDefault="00B213F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12 000</w:t>
            </w:r>
          </w:p>
        </w:tc>
        <w:tc>
          <w:tcPr>
            <w:tcW w:w="833" w:type="pct"/>
          </w:tcPr>
          <w:p w14:paraId="1C0D24C7" w14:textId="6A119190" w:rsidR="00B213FB" w:rsidRPr="00FE3A13" w:rsidRDefault="00B213F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12 000</w:t>
            </w:r>
          </w:p>
        </w:tc>
        <w:tc>
          <w:tcPr>
            <w:tcW w:w="833" w:type="pct"/>
          </w:tcPr>
          <w:p w14:paraId="3F48B5A4" w14:textId="023EF327" w:rsidR="00B213FB" w:rsidRPr="00FE3A13" w:rsidRDefault="00B213F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12 000</w:t>
            </w:r>
          </w:p>
        </w:tc>
        <w:tc>
          <w:tcPr>
            <w:tcW w:w="833" w:type="pct"/>
          </w:tcPr>
          <w:p w14:paraId="636D3C21" w14:textId="3CD90449" w:rsidR="00B213FB" w:rsidRPr="00FE3A13" w:rsidRDefault="00B213F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36 000</w:t>
            </w:r>
          </w:p>
        </w:tc>
      </w:tr>
      <w:tr w:rsidR="00B213FB" w:rsidRPr="00FE3A13" w14:paraId="33ECB51D"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EFDAFE1" w14:textId="77777777" w:rsidR="00B213FB" w:rsidRPr="00FE3A13" w:rsidRDefault="00B213FB" w:rsidP="00D43EDA">
            <w:pPr>
              <w:pStyle w:val="NIVtableau"/>
              <w:rPr>
                <w:b w:val="0"/>
                <w:lang w:val="en-US"/>
              </w:rPr>
            </w:pPr>
            <w:r w:rsidRPr="00FE3A13">
              <w:rPr>
                <w:b w:val="0"/>
                <w:lang w:val="en-US"/>
              </w:rPr>
              <w:lastRenderedPageBreak/>
              <w:t>Communes</w:t>
            </w:r>
          </w:p>
        </w:tc>
        <w:tc>
          <w:tcPr>
            <w:tcW w:w="833" w:type="pct"/>
          </w:tcPr>
          <w:p w14:paraId="355110CC" w14:textId="77777777" w:rsidR="00B213FB" w:rsidRPr="00FE3A13" w:rsidRDefault="00B213F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1FE3595" w14:textId="77777777" w:rsidR="00B213FB" w:rsidRPr="00FE3A13" w:rsidRDefault="00B213F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05A55F2" w14:textId="77777777" w:rsidR="00B213FB" w:rsidRPr="00FE3A13" w:rsidRDefault="00B213F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49FDCF6" w14:textId="77777777" w:rsidR="00B213FB" w:rsidRPr="00FE3A13" w:rsidRDefault="00B213F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6C4BCB1" w14:textId="5B627A98" w:rsidR="00153058" w:rsidRPr="00FE3A13" w:rsidRDefault="00153058" w:rsidP="00153058">
      <w:pPr>
        <w:pStyle w:val="Corpsdetexte"/>
        <w:rPr>
          <w:b/>
          <w:bCs/>
        </w:rPr>
      </w:pPr>
      <w:r w:rsidRPr="00FE3A13">
        <w:rPr>
          <w:b/>
          <w:bCs/>
        </w:rPr>
        <w:t>&gt;</w:t>
      </w:r>
      <w:r w:rsidRPr="00FE3A13">
        <w:rPr>
          <w:b/>
          <w:bCs/>
        </w:rPr>
        <w:tab/>
        <w:t>Modification du prix de pension pour les personnes détenues en régime fermé, site Bellechasse</w:t>
      </w:r>
    </w:p>
    <w:p w14:paraId="43C1344D" w14:textId="42EC17E2" w:rsidR="00153058" w:rsidRPr="00FE3A13" w:rsidRDefault="00153058" w:rsidP="00A130B3">
      <w:pPr>
        <w:pStyle w:val="Corpsdetexte"/>
      </w:pPr>
      <w:r w:rsidRPr="00FE3A13">
        <w:t xml:space="preserve">La mesure </w:t>
      </w:r>
      <w:r w:rsidR="003A7277" w:rsidRPr="00FE3A13">
        <w:t xml:space="preserve">entérine </w:t>
      </w:r>
      <w:r w:rsidRPr="00FE3A13">
        <w:t>une augmentation des prix de pension pour les personnes détenues en régime fermé sur le site de Bellechasse. Grâce à la séparation des régimes ouverts et fermés, aux adaptations de sécurité apporté</w:t>
      </w:r>
      <w:r w:rsidR="000318A6" w:rsidRPr="00FE3A13">
        <w:t>e</w:t>
      </w:r>
      <w:r w:rsidRPr="00FE3A13">
        <w:t>s et prévues aux infrastructures, ainsi qu’à l’évolution prévue de la prise en charge, Bellechasse peut facturer des montants supplémentaires afin de mieux compenser certaines charges. Cette facturation est déjà appliquée depuis le premier janvier 2025. Toutefois le plan financier ne prévoyait pas ce changement</w:t>
      </w:r>
      <w:r w:rsidR="003A7277" w:rsidRPr="00FE3A13">
        <w:t>,</w:t>
      </w:r>
      <w:r w:rsidR="00A5661B" w:rsidRPr="00FE3A13">
        <w:t xml:space="preserve"> ce qui représente une amélioration</w:t>
      </w:r>
      <w:r w:rsidRPr="00FE3A13">
        <w:t xml:space="preserve">. </w:t>
      </w:r>
    </w:p>
    <w:tbl>
      <w:tblPr>
        <w:tblStyle w:val="TableauEtatFR"/>
        <w:tblW w:w="5000" w:type="pct"/>
        <w:tblLook w:val="04E0" w:firstRow="1" w:lastRow="1" w:firstColumn="1" w:lastColumn="0" w:noHBand="0" w:noVBand="1"/>
      </w:tblPr>
      <w:tblGrid>
        <w:gridCol w:w="3312"/>
        <w:gridCol w:w="1653"/>
        <w:gridCol w:w="1653"/>
        <w:gridCol w:w="1653"/>
        <w:gridCol w:w="1649"/>
      </w:tblGrid>
      <w:tr w:rsidR="00327F71" w:rsidRPr="00FE3A13" w14:paraId="307BA62C"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2D30558" w14:textId="77777777" w:rsidR="00327F71" w:rsidRPr="00FE3A13" w:rsidRDefault="00327F71" w:rsidP="00D43EDA">
            <w:pPr>
              <w:pStyle w:val="NIVtableau"/>
              <w:rPr>
                <w:color w:val="auto"/>
                <w:sz w:val="21"/>
                <w:lang w:val="fr-FR"/>
              </w:rPr>
            </w:pPr>
            <w:r w:rsidRPr="00FE3A13">
              <w:rPr>
                <w:lang w:val="fr-FR"/>
              </w:rPr>
              <w:t>Incidences financières en francs</w:t>
            </w:r>
          </w:p>
        </w:tc>
        <w:tc>
          <w:tcPr>
            <w:tcW w:w="833" w:type="pct"/>
          </w:tcPr>
          <w:p w14:paraId="5480EF43" w14:textId="77777777" w:rsidR="00327F71" w:rsidRPr="00FE3A13" w:rsidRDefault="00327F7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167C590" w14:textId="77777777" w:rsidR="00327F71" w:rsidRPr="00FE3A13" w:rsidRDefault="00327F7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513188E" w14:textId="77777777" w:rsidR="00327F71" w:rsidRPr="00FE3A13" w:rsidRDefault="00327F7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8A1C126" w14:textId="77777777" w:rsidR="00327F71" w:rsidRPr="00FE3A13" w:rsidRDefault="00327F7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327F71" w:rsidRPr="00FE3A13" w14:paraId="1CF8CB57"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2A2B7E2" w14:textId="77777777" w:rsidR="00327F71" w:rsidRPr="00FE3A13" w:rsidRDefault="00327F71" w:rsidP="00D43EDA">
            <w:pPr>
              <w:pStyle w:val="NIVtableau"/>
              <w:rPr>
                <w:lang w:val="en-US"/>
              </w:rPr>
            </w:pPr>
            <w:r w:rsidRPr="00FE3A13">
              <w:rPr>
                <w:lang w:val="en-US"/>
              </w:rPr>
              <w:t>Etat</w:t>
            </w:r>
          </w:p>
        </w:tc>
        <w:tc>
          <w:tcPr>
            <w:tcW w:w="833" w:type="pct"/>
          </w:tcPr>
          <w:p w14:paraId="07752109" w14:textId="77A2BCEA" w:rsidR="00327F71" w:rsidRPr="00FE3A13" w:rsidRDefault="00327F7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33811822" w14:textId="06559DE4" w:rsidR="00327F71" w:rsidRPr="00FE3A13" w:rsidRDefault="00327F7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7A879D3A" w14:textId="61360BB7" w:rsidR="00327F71" w:rsidRPr="00FE3A13" w:rsidRDefault="00327F7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3FA7A1D9" w14:textId="23E2A02E" w:rsidR="00327F71" w:rsidRPr="00FE3A13" w:rsidRDefault="00327F7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1 200 000</w:t>
            </w:r>
          </w:p>
        </w:tc>
      </w:tr>
      <w:tr w:rsidR="00327F71" w:rsidRPr="00FE3A13" w14:paraId="134C9A6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F9D835A" w14:textId="77777777" w:rsidR="00327F71" w:rsidRPr="00FE3A13" w:rsidRDefault="00327F71" w:rsidP="00D43EDA">
            <w:pPr>
              <w:pStyle w:val="NIVtableau"/>
              <w:rPr>
                <w:b w:val="0"/>
                <w:lang w:val="en-US"/>
              </w:rPr>
            </w:pPr>
            <w:r w:rsidRPr="00FE3A13">
              <w:rPr>
                <w:b w:val="0"/>
                <w:lang w:val="en-US"/>
              </w:rPr>
              <w:t>Communes</w:t>
            </w:r>
          </w:p>
        </w:tc>
        <w:tc>
          <w:tcPr>
            <w:tcW w:w="833" w:type="pct"/>
          </w:tcPr>
          <w:p w14:paraId="28C4D6C2" w14:textId="77777777" w:rsidR="00327F71" w:rsidRPr="00FE3A13" w:rsidRDefault="00327F71"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26F99C2" w14:textId="77777777" w:rsidR="00327F71" w:rsidRPr="00FE3A13" w:rsidRDefault="00327F71"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E6A73AE" w14:textId="77777777" w:rsidR="00327F71" w:rsidRPr="00FE3A13" w:rsidRDefault="00327F71"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4E4A9A3" w14:textId="77777777" w:rsidR="00327F71" w:rsidRPr="00FE3A13" w:rsidRDefault="00327F71"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0A1338DD" w14:textId="2A7D01E0" w:rsidR="00153058" w:rsidRPr="00FE3A13" w:rsidRDefault="00153058" w:rsidP="00153058">
      <w:pPr>
        <w:pStyle w:val="Corpsdetexte"/>
      </w:pPr>
      <w:r w:rsidRPr="00FE3A13">
        <w:rPr>
          <w:b/>
          <w:bCs/>
        </w:rPr>
        <w:t>&gt;</w:t>
      </w:r>
      <w:r w:rsidRPr="00FE3A13">
        <w:rPr>
          <w:b/>
          <w:bCs/>
        </w:rPr>
        <w:tab/>
      </w:r>
      <w:r w:rsidR="00A16D53" w:rsidRPr="00FE3A13">
        <w:rPr>
          <w:b/>
          <w:bCs/>
        </w:rPr>
        <w:t>Adaptation des émoluments de la Police</w:t>
      </w:r>
    </w:p>
    <w:p w14:paraId="324A601F" w14:textId="53A7CF5E" w:rsidR="00153058" w:rsidRPr="00FE3A13" w:rsidRDefault="00A16D53" w:rsidP="00A130B3">
      <w:pPr>
        <w:pStyle w:val="Corpsdetexte"/>
      </w:pPr>
      <w:r w:rsidRPr="00FE3A13">
        <w:t>La mesure</w:t>
      </w:r>
      <w:r w:rsidR="003A7277" w:rsidRPr="00FE3A13">
        <w:t xml:space="preserve"> confirme un projet d’adaptation </w:t>
      </w:r>
      <w:r w:rsidRPr="00FE3A13">
        <w:t>des émoluments perçus par la Police</w:t>
      </w:r>
      <w:r w:rsidR="003A7277" w:rsidRPr="00FE3A13">
        <w:t xml:space="preserve"> faisant l’objet d’une procédure déjà en cours</w:t>
      </w:r>
      <w:r w:rsidRPr="00FE3A13">
        <w:t xml:space="preserve">. Cette procédure est gelée dans l’attente d’une décision judiciaire. Toutefois, </w:t>
      </w:r>
      <w:r w:rsidR="002817E7" w:rsidRPr="00FE3A13">
        <w:t>les améliorations financières</w:t>
      </w:r>
      <w:r w:rsidRPr="00FE3A13">
        <w:t xml:space="preserve"> sont comptabilisées dans </w:t>
      </w:r>
      <w:r w:rsidR="003A7277" w:rsidRPr="00FE3A13">
        <w:t>l</w:t>
      </w:r>
      <w:r w:rsidRPr="00FE3A13">
        <w:t xml:space="preserve">e présent message. </w:t>
      </w:r>
      <w:r w:rsidR="002817E7" w:rsidRPr="00FE3A13">
        <w:t xml:space="preserve">Certaines prestations de police </w:t>
      </w:r>
      <w:r w:rsidR="00D72444" w:rsidRPr="00FE3A13">
        <w:t>soumises à émolument bénéficieront de tarifs supérieurs</w:t>
      </w:r>
      <w:r w:rsidR="002817E7"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2817E7" w:rsidRPr="00FE3A13" w14:paraId="6152A617"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AEFBC86" w14:textId="77777777" w:rsidR="002817E7" w:rsidRPr="00FE3A13" w:rsidRDefault="002817E7" w:rsidP="00D43EDA">
            <w:pPr>
              <w:pStyle w:val="NIVtableau"/>
              <w:rPr>
                <w:color w:val="auto"/>
                <w:sz w:val="21"/>
                <w:lang w:val="fr-FR"/>
              </w:rPr>
            </w:pPr>
            <w:r w:rsidRPr="00FE3A13">
              <w:rPr>
                <w:lang w:val="fr-FR"/>
              </w:rPr>
              <w:t>Incidences financières en francs</w:t>
            </w:r>
          </w:p>
        </w:tc>
        <w:tc>
          <w:tcPr>
            <w:tcW w:w="833" w:type="pct"/>
          </w:tcPr>
          <w:p w14:paraId="2A200A57" w14:textId="77777777" w:rsidR="002817E7" w:rsidRPr="00FE3A13" w:rsidRDefault="002817E7"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A398525" w14:textId="77777777" w:rsidR="002817E7" w:rsidRPr="00FE3A13" w:rsidRDefault="002817E7"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BB5B89A" w14:textId="77777777" w:rsidR="002817E7" w:rsidRPr="00FE3A13" w:rsidRDefault="002817E7"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0577D5D3" w14:textId="77777777" w:rsidR="002817E7" w:rsidRPr="00FE3A13" w:rsidRDefault="002817E7"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817E7" w:rsidRPr="00FE3A13" w14:paraId="127BBB9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ABAA12A" w14:textId="77777777" w:rsidR="002817E7" w:rsidRPr="00FE3A13" w:rsidRDefault="002817E7" w:rsidP="00D43EDA">
            <w:pPr>
              <w:pStyle w:val="NIVtableau"/>
              <w:rPr>
                <w:lang w:val="en-US"/>
              </w:rPr>
            </w:pPr>
            <w:r w:rsidRPr="00FE3A13">
              <w:rPr>
                <w:lang w:val="en-US"/>
              </w:rPr>
              <w:t>Etat</w:t>
            </w:r>
          </w:p>
        </w:tc>
        <w:tc>
          <w:tcPr>
            <w:tcW w:w="833" w:type="pct"/>
          </w:tcPr>
          <w:p w14:paraId="24C595D0" w14:textId="3206617B" w:rsidR="002817E7" w:rsidRPr="00FE3A13" w:rsidRDefault="002817E7"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60 000</w:t>
            </w:r>
          </w:p>
        </w:tc>
        <w:tc>
          <w:tcPr>
            <w:tcW w:w="833" w:type="pct"/>
          </w:tcPr>
          <w:p w14:paraId="4B10FFF7" w14:textId="733AF4F7" w:rsidR="002817E7" w:rsidRPr="00FE3A13" w:rsidRDefault="002817E7"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60 000</w:t>
            </w:r>
          </w:p>
        </w:tc>
        <w:tc>
          <w:tcPr>
            <w:tcW w:w="833" w:type="pct"/>
          </w:tcPr>
          <w:p w14:paraId="6638716F" w14:textId="71DCC8C8" w:rsidR="002817E7" w:rsidRPr="00FE3A13" w:rsidRDefault="002817E7"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60 000</w:t>
            </w:r>
          </w:p>
        </w:tc>
        <w:tc>
          <w:tcPr>
            <w:tcW w:w="833" w:type="pct"/>
          </w:tcPr>
          <w:p w14:paraId="1E648CD6" w14:textId="5897B0C1" w:rsidR="002817E7" w:rsidRPr="00FE3A13" w:rsidRDefault="002817E7"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180 000</w:t>
            </w:r>
          </w:p>
        </w:tc>
      </w:tr>
      <w:tr w:rsidR="002817E7" w:rsidRPr="00FE3A13" w14:paraId="0B837D16"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FD8857F" w14:textId="77777777" w:rsidR="002817E7" w:rsidRPr="00FE3A13" w:rsidRDefault="002817E7" w:rsidP="00D43EDA">
            <w:pPr>
              <w:pStyle w:val="NIVtableau"/>
              <w:rPr>
                <w:b w:val="0"/>
                <w:lang w:val="en-US"/>
              </w:rPr>
            </w:pPr>
            <w:r w:rsidRPr="00FE3A13">
              <w:rPr>
                <w:b w:val="0"/>
                <w:lang w:val="en-US"/>
              </w:rPr>
              <w:t>Communes</w:t>
            </w:r>
          </w:p>
        </w:tc>
        <w:tc>
          <w:tcPr>
            <w:tcW w:w="833" w:type="pct"/>
          </w:tcPr>
          <w:p w14:paraId="2086135C" w14:textId="77777777" w:rsidR="002817E7" w:rsidRPr="00FE3A13" w:rsidRDefault="002817E7"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2A16911" w14:textId="77777777" w:rsidR="002817E7" w:rsidRPr="00FE3A13" w:rsidRDefault="002817E7"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548974E" w14:textId="77777777" w:rsidR="002817E7" w:rsidRPr="00FE3A13" w:rsidRDefault="002817E7"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CE154EB" w14:textId="77777777" w:rsidR="002817E7" w:rsidRPr="00FE3A13" w:rsidRDefault="002817E7"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671F388" w14:textId="6C85CCDA" w:rsidR="00A130B3" w:rsidRPr="00FE3A13" w:rsidRDefault="00A130B3" w:rsidP="00A130B3">
      <w:pPr>
        <w:pStyle w:val="Corpsdetexte"/>
      </w:pPr>
      <w:r w:rsidRPr="00FE3A13">
        <w:rPr>
          <w:b/>
          <w:bCs/>
        </w:rPr>
        <w:t>&gt;</w:t>
      </w:r>
      <w:r w:rsidRPr="00FE3A13">
        <w:rPr>
          <w:b/>
          <w:bCs/>
        </w:rPr>
        <w:tab/>
        <w:t>Adaptation des émoluments du SMo</w:t>
      </w:r>
    </w:p>
    <w:p w14:paraId="3EDCEF85" w14:textId="39ED82E1" w:rsidR="00A16D53" w:rsidRPr="00FE3A13" w:rsidRDefault="00A130B3" w:rsidP="00153058">
      <w:pPr>
        <w:pStyle w:val="Corpsdetexte"/>
      </w:pPr>
      <w:r w:rsidRPr="00FE3A13">
        <w:t xml:space="preserve">La mesure consiste à adapter les émoluments du Service de la mobilité. Ceux-ci n’ont pas évolué depuis 2012. </w:t>
      </w:r>
      <w:r w:rsidR="003A7277" w:rsidRPr="00FE3A13">
        <w:t xml:space="preserve">Le niveau </w:t>
      </w:r>
      <w:r w:rsidRPr="00FE3A13">
        <w:t xml:space="preserve">des différents émoluments </w:t>
      </w:r>
      <w:r w:rsidR="003A7277" w:rsidRPr="00FE3A13">
        <w:t xml:space="preserve">est </w:t>
      </w:r>
      <w:r w:rsidRPr="00FE3A13">
        <w:t>revu à la hausse. Les modifications permettront de revoir la composition des émoluments et la fixation du montant de ces derniers.</w:t>
      </w:r>
    </w:p>
    <w:tbl>
      <w:tblPr>
        <w:tblStyle w:val="TableauEtatFR"/>
        <w:tblW w:w="5000" w:type="pct"/>
        <w:tblLook w:val="04E0" w:firstRow="1" w:lastRow="1" w:firstColumn="1" w:lastColumn="0" w:noHBand="0" w:noVBand="1"/>
      </w:tblPr>
      <w:tblGrid>
        <w:gridCol w:w="3312"/>
        <w:gridCol w:w="1653"/>
        <w:gridCol w:w="1653"/>
        <w:gridCol w:w="1653"/>
        <w:gridCol w:w="1649"/>
      </w:tblGrid>
      <w:tr w:rsidR="00A130B3" w:rsidRPr="00FE3A13" w14:paraId="343C6004"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C6CF00F" w14:textId="77777777" w:rsidR="00A130B3" w:rsidRPr="00FE3A13" w:rsidRDefault="00A130B3" w:rsidP="00D43EDA">
            <w:pPr>
              <w:pStyle w:val="NIVtableau"/>
              <w:rPr>
                <w:color w:val="auto"/>
                <w:sz w:val="21"/>
                <w:lang w:val="fr-FR"/>
              </w:rPr>
            </w:pPr>
            <w:r w:rsidRPr="00FE3A13">
              <w:rPr>
                <w:lang w:val="fr-FR"/>
              </w:rPr>
              <w:t>Incidences financières en francs</w:t>
            </w:r>
          </w:p>
        </w:tc>
        <w:tc>
          <w:tcPr>
            <w:tcW w:w="833" w:type="pct"/>
          </w:tcPr>
          <w:p w14:paraId="6A424A7C" w14:textId="77777777" w:rsidR="00A130B3" w:rsidRPr="00FE3A13" w:rsidRDefault="00A130B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C306B7D" w14:textId="77777777" w:rsidR="00A130B3" w:rsidRPr="00FE3A13" w:rsidRDefault="00A130B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898583A" w14:textId="77777777" w:rsidR="00A130B3" w:rsidRPr="00FE3A13" w:rsidRDefault="00A130B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77D7D4A" w14:textId="77777777" w:rsidR="00A130B3" w:rsidRPr="00FE3A13" w:rsidRDefault="00A130B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A130B3" w:rsidRPr="00FE3A13" w14:paraId="3A8A284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B3C5505" w14:textId="77777777" w:rsidR="00A130B3" w:rsidRPr="00FE3A13" w:rsidRDefault="00A130B3" w:rsidP="00D43EDA">
            <w:pPr>
              <w:pStyle w:val="NIVtableau"/>
              <w:rPr>
                <w:lang w:val="en-US"/>
              </w:rPr>
            </w:pPr>
            <w:r w:rsidRPr="00FE3A13">
              <w:rPr>
                <w:lang w:val="en-US"/>
              </w:rPr>
              <w:t>Etat</w:t>
            </w:r>
          </w:p>
        </w:tc>
        <w:tc>
          <w:tcPr>
            <w:tcW w:w="833" w:type="pct"/>
          </w:tcPr>
          <w:p w14:paraId="249652F2" w14:textId="27966008" w:rsidR="00A130B3" w:rsidRPr="00FE3A13" w:rsidRDefault="00A130B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3" w:type="pct"/>
          </w:tcPr>
          <w:p w14:paraId="35F8D53F" w14:textId="3CD27D06" w:rsidR="00A130B3" w:rsidRPr="00FE3A13" w:rsidRDefault="00A130B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3" w:type="pct"/>
          </w:tcPr>
          <w:p w14:paraId="2619A8BB" w14:textId="612298A1" w:rsidR="00A130B3" w:rsidRPr="00FE3A13" w:rsidRDefault="00A130B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3" w:type="pct"/>
          </w:tcPr>
          <w:p w14:paraId="416AD56A" w14:textId="2D0AFAE9" w:rsidR="00A130B3" w:rsidRPr="00FE3A13" w:rsidRDefault="00A130B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150 000</w:t>
            </w:r>
          </w:p>
        </w:tc>
      </w:tr>
      <w:tr w:rsidR="00A130B3" w:rsidRPr="00FE3A13" w14:paraId="783ACC7C"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1385E1F" w14:textId="77777777" w:rsidR="00A130B3" w:rsidRPr="00FE3A13" w:rsidRDefault="00A130B3" w:rsidP="00D43EDA">
            <w:pPr>
              <w:pStyle w:val="NIVtableau"/>
              <w:rPr>
                <w:b w:val="0"/>
                <w:lang w:val="en-US"/>
              </w:rPr>
            </w:pPr>
            <w:r w:rsidRPr="00FE3A13">
              <w:rPr>
                <w:b w:val="0"/>
                <w:lang w:val="en-US"/>
              </w:rPr>
              <w:t>Communes</w:t>
            </w:r>
          </w:p>
        </w:tc>
        <w:tc>
          <w:tcPr>
            <w:tcW w:w="833" w:type="pct"/>
          </w:tcPr>
          <w:p w14:paraId="4A7FB0CA" w14:textId="77777777" w:rsidR="00A130B3" w:rsidRPr="00FE3A13" w:rsidRDefault="00A130B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FAE13F2" w14:textId="77777777" w:rsidR="00A130B3" w:rsidRPr="00FE3A13" w:rsidRDefault="00A130B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43FE73A" w14:textId="77777777" w:rsidR="00A130B3" w:rsidRPr="00FE3A13" w:rsidRDefault="00A130B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296A4BD" w14:textId="77777777" w:rsidR="00A130B3" w:rsidRPr="00FE3A13" w:rsidRDefault="00A130B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6D471AC4" w14:textId="33A2E628" w:rsidR="003F082C" w:rsidRPr="00FE3A13" w:rsidRDefault="003F082C" w:rsidP="003F082C">
      <w:pPr>
        <w:pStyle w:val="Corpsdetexte"/>
      </w:pPr>
      <w:r w:rsidRPr="00FE3A13">
        <w:rPr>
          <w:b/>
          <w:bCs/>
        </w:rPr>
        <w:t>&gt;</w:t>
      </w:r>
      <w:r w:rsidRPr="00FE3A13">
        <w:rPr>
          <w:b/>
          <w:bCs/>
        </w:rPr>
        <w:tab/>
        <w:t>Adaptation des émoluments du SPC</w:t>
      </w:r>
    </w:p>
    <w:p w14:paraId="1EDAC515" w14:textId="25CE95B1" w:rsidR="00A16D53" w:rsidRPr="00FE3A13" w:rsidRDefault="003F082C" w:rsidP="00F52818">
      <w:pPr>
        <w:pStyle w:val="Corpsdetexte"/>
      </w:pPr>
      <w:r w:rsidRPr="00FE3A13">
        <w:t>La mesure propose d’augmenter les émoluments du S</w:t>
      </w:r>
      <w:r w:rsidR="00F52818" w:rsidRPr="00FE3A13">
        <w:t>ervice des ponts et chaussées</w:t>
      </w:r>
      <w:r w:rsidRPr="00FE3A13">
        <w:t>. Ceux-ci seront augmenté</w:t>
      </w:r>
      <w:r w:rsidR="00F52818" w:rsidRPr="00FE3A13">
        <w:t>s</w:t>
      </w:r>
      <w:r w:rsidRPr="00FE3A13">
        <w:t xml:space="preserve"> en moyenne de 10%. Ils sont en général facturés </w:t>
      </w:r>
      <w:r w:rsidR="005813DF" w:rsidRPr="00FE3A13">
        <w:t xml:space="preserve">pour des prestations fournies </w:t>
      </w:r>
      <w:r w:rsidRPr="00FE3A13">
        <w:t xml:space="preserve">dans le cadre des projets routiers sur des routes communales. </w:t>
      </w:r>
    </w:p>
    <w:tbl>
      <w:tblPr>
        <w:tblStyle w:val="TableauEtatFR"/>
        <w:tblW w:w="5000" w:type="pct"/>
        <w:tblLook w:val="04E0" w:firstRow="1" w:lastRow="1" w:firstColumn="1" w:lastColumn="0" w:noHBand="0" w:noVBand="1"/>
      </w:tblPr>
      <w:tblGrid>
        <w:gridCol w:w="3312"/>
        <w:gridCol w:w="1653"/>
        <w:gridCol w:w="1653"/>
        <w:gridCol w:w="1653"/>
        <w:gridCol w:w="1649"/>
      </w:tblGrid>
      <w:tr w:rsidR="00F52818" w:rsidRPr="00FE3A13" w14:paraId="2B7867EC"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2CD1D86" w14:textId="77777777" w:rsidR="00F52818" w:rsidRPr="00FE3A13" w:rsidRDefault="00F52818" w:rsidP="00D43EDA">
            <w:pPr>
              <w:pStyle w:val="NIVtableau"/>
              <w:rPr>
                <w:color w:val="auto"/>
                <w:sz w:val="21"/>
                <w:lang w:val="fr-FR"/>
              </w:rPr>
            </w:pPr>
            <w:r w:rsidRPr="00FE3A13">
              <w:rPr>
                <w:lang w:val="fr-FR"/>
              </w:rPr>
              <w:t>Incidences financières en francs</w:t>
            </w:r>
          </w:p>
        </w:tc>
        <w:tc>
          <w:tcPr>
            <w:tcW w:w="833" w:type="pct"/>
          </w:tcPr>
          <w:p w14:paraId="01F27B0B"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E6714E9"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39A0629"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6EB49BC"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F52818" w:rsidRPr="00FE3A13" w14:paraId="6D4819D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5378C2B" w14:textId="77777777" w:rsidR="00F52818" w:rsidRPr="00FE3A13" w:rsidRDefault="00F52818" w:rsidP="00D43EDA">
            <w:pPr>
              <w:pStyle w:val="NIVtableau"/>
              <w:rPr>
                <w:lang w:val="en-US"/>
              </w:rPr>
            </w:pPr>
            <w:r w:rsidRPr="00FE3A13">
              <w:rPr>
                <w:lang w:val="en-US"/>
              </w:rPr>
              <w:t>Etat</w:t>
            </w:r>
          </w:p>
        </w:tc>
        <w:tc>
          <w:tcPr>
            <w:tcW w:w="833" w:type="pct"/>
          </w:tcPr>
          <w:p w14:paraId="7F0939BD" w14:textId="5F070FFE" w:rsidR="00F52818" w:rsidRPr="00FE3A13" w:rsidRDefault="00F52818"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11 000</w:t>
            </w:r>
          </w:p>
        </w:tc>
        <w:tc>
          <w:tcPr>
            <w:tcW w:w="833" w:type="pct"/>
          </w:tcPr>
          <w:p w14:paraId="1FF90BFC" w14:textId="64F5952C" w:rsidR="00F52818" w:rsidRPr="00FE3A13" w:rsidRDefault="00F52818"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11 000</w:t>
            </w:r>
          </w:p>
        </w:tc>
        <w:tc>
          <w:tcPr>
            <w:tcW w:w="833" w:type="pct"/>
          </w:tcPr>
          <w:p w14:paraId="304D93FF" w14:textId="65024CB6" w:rsidR="00F52818" w:rsidRPr="00FE3A13" w:rsidRDefault="00F52818"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11 000</w:t>
            </w:r>
          </w:p>
        </w:tc>
        <w:tc>
          <w:tcPr>
            <w:tcW w:w="833" w:type="pct"/>
          </w:tcPr>
          <w:p w14:paraId="2B33621F" w14:textId="7F548043" w:rsidR="00F52818" w:rsidRPr="00FE3A13" w:rsidRDefault="000318A6"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54 9</w:t>
            </w:r>
            <w:r w:rsidR="00F52818" w:rsidRPr="00FE3A13">
              <w:rPr>
                <w:lang w:val="en-US"/>
              </w:rPr>
              <w:t>00</w:t>
            </w:r>
          </w:p>
        </w:tc>
      </w:tr>
      <w:tr w:rsidR="00F52818" w:rsidRPr="00FE3A13" w14:paraId="3C0519C3"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2148AD4" w14:textId="77777777" w:rsidR="00F52818" w:rsidRPr="00FE3A13" w:rsidRDefault="00F52818" w:rsidP="00D43EDA">
            <w:pPr>
              <w:pStyle w:val="NIVtableau"/>
              <w:rPr>
                <w:b w:val="0"/>
                <w:lang w:val="en-US"/>
              </w:rPr>
            </w:pPr>
            <w:r w:rsidRPr="00FE3A13">
              <w:rPr>
                <w:b w:val="0"/>
                <w:lang w:val="en-US"/>
              </w:rPr>
              <w:t>Communes</w:t>
            </w:r>
          </w:p>
        </w:tc>
        <w:tc>
          <w:tcPr>
            <w:tcW w:w="833" w:type="pct"/>
          </w:tcPr>
          <w:p w14:paraId="691E9731" w14:textId="77777777" w:rsidR="00F52818" w:rsidRPr="00FE3A13" w:rsidRDefault="00F52818"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59B2B23" w14:textId="77777777" w:rsidR="00F52818" w:rsidRPr="00FE3A13" w:rsidRDefault="00F52818"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CD2C39E" w14:textId="77777777" w:rsidR="00F52818" w:rsidRPr="00FE3A13" w:rsidRDefault="00F52818"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CA75F6F" w14:textId="77777777" w:rsidR="00F52818" w:rsidRPr="00FE3A13" w:rsidRDefault="00F52818"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23CEF2B" w14:textId="6C9A51B4" w:rsidR="00F52818" w:rsidRPr="00FE3A13" w:rsidRDefault="00F52818" w:rsidP="00F52818">
      <w:pPr>
        <w:pStyle w:val="Corpsdetexte"/>
      </w:pPr>
      <w:r w:rsidRPr="00FE3A13">
        <w:rPr>
          <w:b/>
          <w:bCs/>
        </w:rPr>
        <w:t>&gt;</w:t>
      </w:r>
      <w:r w:rsidRPr="00FE3A13">
        <w:rPr>
          <w:b/>
          <w:bCs/>
        </w:rPr>
        <w:tab/>
        <w:t>Adaptation des émoluments du SPE</w:t>
      </w:r>
    </w:p>
    <w:p w14:paraId="36B01851" w14:textId="43A20665" w:rsidR="00F52818" w:rsidRPr="00FE3A13" w:rsidRDefault="00F52818" w:rsidP="00F52818">
      <w:pPr>
        <w:pStyle w:val="Corpsdetexte"/>
      </w:pPr>
      <w:r w:rsidRPr="00FE3A13">
        <w:t xml:space="preserve">La mesure consiste à adapter les émoluments du </w:t>
      </w:r>
      <w:r w:rsidR="00956249" w:rsidRPr="00FE3A13">
        <w:t>S</w:t>
      </w:r>
      <w:r w:rsidRPr="00FE3A13">
        <w:t>ervice public de l’emploi. Les émoluments actuels augmenteront d’en moyenne 10%.</w:t>
      </w:r>
    </w:p>
    <w:tbl>
      <w:tblPr>
        <w:tblStyle w:val="TableauEtatFR"/>
        <w:tblW w:w="5000" w:type="pct"/>
        <w:tblLook w:val="04E0" w:firstRow="1" w:lastRow="1" w:firstColumn="1" w:lastColumn="0" w:noHBand="0" w:noVBand="1"/>
      </w:tblPr>
      <w:tblGrid>
        <w:gridCol w:w="3312"/>
        <w:gridCol w:w="1653"/>
        <w:gridCol w:w="1653"/>
        <w:gridCol w:w="1653"/>
        <w:gridCol w:w="1649"/>
      </w:tblGrid>
      <w:tr w:rsidR="00F52818" w:rsidRPr="00FE3A13" w14:paraId="0DE0CD67"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CA1B125" w14:textId="77777777" w:rsidR="00F52818" w:rsidRPr="00FE3A13" w:rsidRDefault="00F52818" w:rsidP="00D43EDA">
            <w:pPr>
              <w:pStyle w:val="NIVtableau"/>
              <w:rPr>
                <w:color w:val="auto"/>
                <w:sz w:val="21"/>
                <w:lang w:val="fr-FR"/>
              </w:rPr>
            </w:pPr>
            <w:r w:rsidRPr="00FE3A13">
              <w:rPr>
                <w:lang w:val="fr-FR"/>
              </w:rPr>
              <w:lastRenderedPageBreak/>
              <w:t>Incidences financières en francs</w:t>
            </w:r>
          </w:p>
        </w:tc>
        <w:tc>
          <w:tcPr>
            <w:tcW w:w="833" w:type="pct"/>
          </w:tcPr>
          <w:p w14:paraId="0215AA7E"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43A5348"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C99AAC8"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E3978EC" w14:textId="77777777" w:rsidR="00F52818" w:rsidRPr="00FE3A13" w:rsidRDefault="00F52818"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F52818" w:rsidRPr="00FE3A13" w14:paraId="27BA6304"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434AFD4" w14:textId="77777777" w:rsidR="00F52818" w:rsidRPr="00FE3A13" w:rsidRDefault="00F52818" w:rsidP="00D43EDA">
            <w:pPr>
              <w:pStyle w:val="NIVtableau"/>
              <w:rPr>
                <w:lang w:val="en-US"/>
              </w:rPr>
            </w:pPr>
            <w:r w:rsidRPr="00FE3A13">
              <w:rPr>
                <w:lang w:val="en-US"/>
              </w:rPr>
              <w:t>Etat</w:t>
            </w:r>
          </w:p>
        </w:tc>
        <w:tc>
          <w:tcPr>
            <w:tcW w:w="833" w:type="pct"/>
          </w:tcPr>
          <w:p w14:paraId="744A0F76" w14:textId="0F7E9C33" w:rsidR="00F52818" w:rsidRPr="00FE3A13" w:rsidRDefault="00EA38FF"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18 3</w:t>
            </w:r>
            <w:r w:rsidR="00F52818" w:rsidRPr="00FE3A13">
              <w:rPr>
                <w:lang w:val="en-US"/>
              </w:rPr>
              <w:t>00</w:t>
            </w:r>
          </w:p>
        </w:tc>
        <w:tc>
          <w:tcPr>
            <w:tcW w:w="833" w:type="pct"/>
          </w:tcPr>
          <w:p w14:paraId="58400B97" w14:textId="6A256E98" w:rsidR="00F52818" w:rsidRPr="00FE3A13" w:rsidRDefault="00EA38FF"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18 300</w:t>
            </w:r>
          </w:p>
        </w:tc>
        <w:tc>
          <w:tcPr>
            <w:tcW w:w="833" w:type="pct"/>
          </w:tcPr>
          <w:p w14:paraId="2C098516" w14:textId="297A30EF" w:rsidR="00F52818" w:rsidRPr="00FE3A13" w:rsidRDefault="00EA38FF"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18 300</w:t>
            </w:r>
          </w:p>
        </w:tc>
        <w:tc>
          <w:tcPr>
            <w:tcW w:w="833" w:type="pct"/>
          </w:tcPr>
          <w:p w14:paraId="04435FAF" w14:textId="77777777" w:rsidR="00F52818" w:rsidRPr="00FE3A13" w:rsidRDefault="00F52818"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33 000</w:t>
            </w:r>
          </w:p>
        </w:tc>
      </w:tr>
      <w:tr w:rsidR="00F52818" w:rsidRPr="00FE3A13" w14:paraId="72BBCE82"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4754AE6" w14:textId="77777777" w:rsidR="00F52818" w:rsidRPr="00FE3A13" w:rsidRDefault="00F52818" w:rsidP="00D43EDA">
            <w:pPr>
              <w:pStyle w:val="NIVtableau"/>
              <w:rPr>
                <w:b w:val="0"/>
                <w:lang w:val="en-US"/>
              </w:rPr>
            </w:pPr>
            <w:r w:rsidRPr="00FE3A13">
              <w:rPr>
                <w:b w:val="0"/>
                <w:lang w:val="en-US"/>
              </w:rPr>
              <w:t>Communes</w:t>
            </w:r>
          </w:p>
        </w:tc>
        <w:tc>
          <w:tcPr>
            <w:tcW w:w="833" w:type="pct"/>
          </w:tcPr>
          <w:p w14:paraId="12C7271C" w14:textId="4A3C2B44" w:rsidR="00F52818" w:rsidRPr="00FE3A13" w:rsidRDefault="00EA38FF"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D341092" w14:textId="2ABF0B3A" w:rsidR="00F52818" w:rsidRPr="00FE3A13" w:rsidRDefault="00EA38FF"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16CA21B" w14:textId="717B90E6" w:rsidR="00F52818" w:rsidRPr="00FE3A13" w:rsidRDefault="00EA38FF"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F93C365" w14:textId="46A05AAD" w:rsidR="00F52818" w:rsidRPr="00FE3A13" w:rsidRDefault="00EA38FF"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1CA7B6B" w14:textId="57F512FC" w:rsidR="00956249" w:rsidRPr="00FE3A13" w:rsidRDefault="00956249" w:rsidP="00956249">
      <w:pPr>
        <w:pStyle w:val="Corpsdetexte"/>
      </w:pPr>
      <w:r w:rsidRPr="00FE3A13">
        <w:rPr>
          <w:b/>
          <w:bCs/>
        </w:rPr>
        <w:t>&gt;</w:t>
      </w:r>
      <w:r w:rsidRPr="00FE3A13">
        <w:rPr>
          <w:b/>
          <w:bCs/>
        </w:rPr>
        <w:tab/>
        <w:t>Modification de la pratique concernant les émoluments du SdE</w:t>
      </w:r>
    </w:p>
    <w:p w14:paraId="6FED704A" w14:textId="6097ACCC" w:rsidR="00956249" w:rsidRPr="00FE3A13" w:rsidRDefault="00956249" w:rsidP="00721D53">
      <w:pPr>
        <w:pStyle w:val="Corpsdetexte"/>
      </w:pPr>
      <w:r w:rsidRPr="00FE3A13">
        <w:t>La mesure vise à adapter les émoluments du Service de l’énergie. Des émoluments seront perçus dans le cadre de consultations sur des dossiers de la Confédération. Ceux-ci seront facturés aux demandeurs ayant déposé une requête auprès de la Confédération.</w:t>
      </w:r>
    </w:p>
    <w:tbl>
      <w:tblPr>
        <w:tblStyle w:val="TableauEtatFR"/>
        <w:tblW w:w="5000" w:type="pct"/>
        <w:tblLook w:val="04E0" w:firstRow="1" w:lastRow="1" w:firstColumn="1" w:lastColumn="0" w:noHBand="0" w:noVBand="1"/>
      </w:tblPr>
      <w:tblGrid>
        <w:gridCol w:w="3312"/>
        <w:gridCol w:w="1653"/>
        <w:gridCol w:w="1653"/>
        <w:gridCol w:w="1653"/>
        <w:gridCol w:w="1649"/>
      </w:tblGrid>
      <w:tr w:rsidR="00956249" w:rsidRPr="00FE3A13" w14:paraId="2C427192"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2F9BE79" w14:textId="77777777" w:rsidR="00956249" w:rsidRPr="00FE3A13" w:rsidRDefault="00956249" w:rsidP="00D43EDA">
            <w:pPr>
              <w:pStyle w:val="NIVtableau"/>
              <w:rPr>
                <w:color w:val="auto"/>
                <w:sz w:val="21"/>
                <w:lang w:val="fr-FR"/>
              </w:rPr>
            </w:pPr>
            <w:r w:rsidRPr="00FE3A13">
              <w:rPr>
                <w:lang w:val="fr-FR"/>
              </w:rPr>
              <w:t>Incidences financières en francs</w:t>
            </w:r>
          </w:p>
        </w:tc>
        <w:tc>
          <w:tcPr>
            <w:tcW w:w="833" w:type="pct"/>
          </w:tcPr>
          <w:p w14:paraId="420CD789" w14:textId="77777777" w:rsidR="00956249" w:rsidRPr="00FE3A13" w:rsidRDefault="00956249"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1B589BA" w14:textId="77777777" w:rsidR="00956249" w:rsidRPr="00FE3A13" w:rsidRDefault="00956249"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C715EB7" w14:textId="77777777" w:rsidR="00956249" w:rsidRPr="00FE3A13" w:rsidRDefault="00956249"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44B6A87" w14:textId="77777777" w:rsidR="00956249" w:rsidRPr="00FE3A13" w:rsidRDefault="00956249"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956249" w:rsidRPr="00FE3A13" w14:paraId="25F79766"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C0BAE2E" w14:textId="77777777" w:rsidR="00956249" w:rsidRPr="00FE3A13" w:rsidRDefault="00956249" w:rsidP="00D43EDA">
            <w:pPr>
              <w:pStyle w:val="NIVtableau"/>
              <w:rPr>
                <w:lang w:val="en-US"/>
              </w:rPr>
            </w:pPr>
            <w:r w:rsidRPr="00FE3A13">
              <w:rPr>
                <w:lang w:val="en-US"/>
              </w:rPr>
              <w:t>Etat</w:t>
            </w:r>
          </w:p>
        </w:tc>
        <w:tc>
          <w:tcPr>
            <w:tcW w:w="833" w:type="pct"/>
          </w:tcPr>
          <w:p w14:paraId="3725E0C5" w14:textId="4CE8B702" w:rsidR="00956249" w:rsidRPr="00FE3A13" w:rsidRDefault="0095624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116 535</w:t>
            </w:r>
          </w:p>
        </w:tc>
        <w:tc>
          <w:tcPr>
            <w:tcW w:w="833" w:type="pct"/>
          </w:tcPr>
          <w:p w14:paraId="432CB909" w14:textId="642E8EF3" w:rsidR="00956249" w:rsidRPr="00FE3A13" w:rsidRDefault="0095624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116 535</w:t>
            </w:r>
          </w:p>
        </w:tc>
        <w:tc>
          <w:tcPr>
            <w:tcW w:w="833" w:type="pct"/>
          </w:tcPr>
          <w:p w14:paraId="25C37573" w14:textId="0149FB5A" w:rsidR="00956249" w:rsidRPr="00FE3A13" w:rsidRDefault="0095624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116 535</w:t>
            </w:r>
          </w:p>
        </w:tc>
        <w:tc>
          <w:tcPr>
            <w:tcW w:w="833" w:type="pct"/>
          </w:tcPr>
          <w:p w14:paraId="567D74D3" w14:textId="2CE4871F" w:rsidR="00956249" w:rsidRPr="00FE3A13" w:rsidRDefault="0095624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349 605</w:t>
            </w:r>
          </w:p>
        </w:tc>
      </w:tr>
      <w:tr w:rsidR="00956249" w:rsidRPr="00FE3A13" w14:paraId="141AA60D"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677E83E" w14:textId="77777777" w:rsidR="00956249" w:rsidRPr="00FE3A13" w:rsidRDefault="00956249" w:rsidP="00D43EDA">
            <w:pPr>
              <w:pStyle w:val="NIVtableau"/>
              <w:rPr>
                <w:b w:val="0"/>
                <w:lang w:val="en-US"/>
              </w:rPr>
            </w:pPr>
            <w:r w:rsidRPr="00FE3A13">
              <w:rPr>
                <w:b w:val="0"/>
                <w:lang w:val="en-US"/>
              </w:rPr>
              <w:t>Communes</w:t>
            </w:r>
          </w:p>
        </w:tc>
        <w:tc>
          <w:tcPr>
            <w:tcW w:w="833" w:type="pct"/>
          </w:tcPr>
          <w:p w14:paraId="6115513D" w14:textId="39985688" w:rsidR="00956249" w:rsidRPr="00FE3A13" w:rsidRDefault="00956249"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9DA6C47" w14:textId="4DC92398" w:rsidR="00956249" w:rsidRPr="00FE3A13" w:rsidRDefault="00956249"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B788E7A" w14:textId="77777777" w:rsidR="00956249" w:rsidRPr="00FE3A13" w:rsidRDefault="00956249"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AFE9803" w14:textId="77777777" w:rsidR="00956249" w:rsidRPr="00FE3A13" w:rsidRDefault="00956249"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8748174" w14:textId="17F17579" w:rsidR="00721D53" w:rsidRPr="00FE3A13" w:rsidRDefault="00721D53" w:rsidP="00721D53">
      <w:pPr>
        <w:pStyle w:val="Corpsdetexte"/>
      </w:pPr>
      <w:r w:rsidRPr="00FE3A13">
        <w:rPr>
          <w:b/>
          <w:bCs/>
        </w:rPr>
        <w:t>&gt;</w:t>
      </w:r>
      <w:r w:rsidRPr="00FE3A13">
        <w:rPr>
          <w:b/>
          <w:bCs/>
        </w:rPr>
        <w:tab/>
        <w:t>Augmentation des tarifs des analyses de laboratoires du domaine alimentaire</w:t>
      </w:r>
    </w:p>
    <w:p w14:paraId="48970C64" w14:textId="0A8F8AAE" w:rsidR="00721D53" w:rsidRPr="00FE3A13" w:rsidRDefault="00721D53" w:rsidP="00721D53">
      <w:pPr>
        <w:pStyle w:val="Corpsdetexte"/>
      </w:pPr>
      <w:r w:rsidRPr="00FE3A13">
        <w:t xml:space="preserve">La mesure </w:t>
      </w:r>
      <w:r w:rsidR="005813DF" w:rsidRPr="00FE3A13">
        <w:t>entérine</w:t>
      </w:r>
      <w:r w:rsidRPr="00FE3A13">
        <w:t xml:space="preserve"> un changement de pratique intervenu au 1</w:t>
      </w:r>
      <w:r w:rsidRPr="00FE3A13">
        <w:rPr>
          <w:vertAlign w:val="superscript"/>
        </w:rPr>
        <w:t>er</w:t>
      </w:r>
      <w:r w:rsidRPr="00FE3A13">
        <w:t xml:space="preserve"> janvier 2025. Les tarifs des analyses de laboratoires du domaine alimentaire </w:t>
      </w:r>
      <w:r w:rsidR="00C94F29" w:rsidRPr="00FE3A13">
        <w:t xml:space="preserve">ont été </w:t>
      </w:r>
      <w:r w:rsidRPr="00FE3A13">
        <w:t xml:space="preserve">augmentés en moyenne de 4 % afin de correspondre à l’augmentation du point de l’ACCS (Association des chimistes cantonaux de Suisse). Ces montants n’étaient pas prévus dans le plan financier </w:t>
      </w:r>
      <w:r w:rsidR="00C94F29" w:rsidRPr="00FE3A13">
        <w:t>et constitue</w:t>
      </w:r>
      <w:r w:rsidR="009D38FA" w:rsidRPr="00FE3A13">
        <w:t>nt</w:t>
      </w:r>
      <w:r w:rsidR="00C94F29" w:rsidRPr="00FE3A13">
        <w:t xml:space="preserve"> par conséquent une amélioration.</w:t>
      </w:r>
    </w:p>
    <w:tbl>
      <w:tblPr>
        <w:tblStyle w:val="TableauEtatFR"/>
        <w:tblW w:w="5000" w:type="pct"/>
        <w:tblLook w:val="04E0" w:firstRow="1" w:lastRow="1" w:firstColumn="1" w:lastColumn="0" w:noHBand="0" w:noVBand="1"/>
      </w:tblPr>
      <w:tblGrid>
        <w:gridCol w:w="3312"/>
        <w:gridCol w:w="1653"/>
        <w:gridCol w:w="1653"/>
        <w:gridCol w:w="1653"/>
        <w:gridCol w:w="1649"/>
      </w:tblGrid>
      <w:tr w:rsidR="00721D53" w:rsidRPr="00FE3A13" w14:paraId="3FAC2EC1"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5C33C95" w14:textId="77777777" w:rsidR="00721D53" w:rsidRPr="00FE3A13" w:rsidRDefault="00721D53" w:rsidP="00D43EDA">
            <w:pPr>
              <w:pStyle w:val="NIVtableau"/>
              <w:rPr>
                <w:color w:val="auto"/>
                <w:sz w:val="21"/>
                <w:lang w:val="fr-FR"/>
              </w:rPr>
            </w:pPr>
            <w:r w:rsidRPr="00FE3A13">
              <w:rPr>
                <w:lang w:val="fr-FR"/>
              </w:rPr>
              <w:t>Incidences financières en francs</w:t>
            </w:r>
          </w:p>
        </w:tc>
        <w:tc>
          <w:tcPr>
            <w:tcW w:w="833" w:type="pct"/>
          </w:tcPr>
          <w:p w14:paraId="0DF7FB52" w14:textId="77777777" w:rsidR="00721D53" w:rsidRPr="00FE3A13" w:rsidRDefault="00721D5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D712E6F" w14:textId="77777777" w:rsidR="00721D53" w:rsidRPr="00FE3A13" w:rsidRDefault="00721D5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A0F5A9F" w14:textId="77777777" w:rsidR="00721D53" w:rsidRPr="00FE3A13" w:rsidRDefault="00721D5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A14812B" w14:textId="77777777" w:rsidR="00721D53" w:rsidRPr="00FE3A13" w:rsidRDefault="00721D53"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721D53" w:rsidRPr="00FE3A13" w14:paraId="349FE8BF"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B8A7DAD" w14:textId="77777777" w:rsidR="00721D53" w:rsidRPr="00FE3A13" w:rsidRDefault="00721D53" w:rsidP="00D43EDA">
            <w:pPr>
              <w:pStyle w:val="NIVtableau"/>
              <w:rPr>
                <w:lang w:val="en-US"/>
              </w:rPr>
            </w:pPr>
            <w:r w:rsidRPr="00FE3A13">
              <w:rPr>
                <w:lang w:val="en-US"/>
              </w:rPr>
              <w:t>Etat</w:t>
            </w:r>
          </w:p>
        </w:tc>
        <w:tc>
          <w:tcPr>
            <w:tcW w:w="833" w:type="pct"/>
          </w:tcPr>
          <w:p w14:paraId="1B042E57" w14:textId="67DE8CB4" w:rsidR="00721D53" w:rsidRPr="00FE3A13" w:rsidRDefault="00C94F2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37 000</w:t>
            </w:r>
          </w:p>
        </w:tc>
        <w:tc>
          <w:tcPr>
            <w:tcW w:w="833" w:type="pct"/>
          </w:tcPr>
          <w:p w14:paraId="0A7286F1" w14:textId="5076539D" w:rsidR="00721D53" w:rsidRPr="00FE3A13" w:rsidRDefault="00C94F2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37 000</w:t>
            </w:r>
          </w:p>
        </w:tc>
        <w:tc>
          <w:tcPr>
            <w:tcW w:w="833" w:type="pct"/>
          </w:tcPr>
          <w:p w14:paraId="66AF7C07" w14:textId="6622C074" w:rsidR="00721D53" w:rsidRPr="00FE3A13" w:rsidRDefault="00C94F2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37 000</w:t>
            </w:r>
          </w:p>
        </w:tc>
        <w:tc>
          <w:tcPr>
            <w:tcW w:w="833" w:type="pct"/>
          </w:tcPr>
          <w:p w14:paraId="75360663" w14:textId="2AE58D63" w:rsidR="00721D53" w:rsidRPr="00FE3A13" w:rsidRDefault="00C94F29"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111 000</w:t>
            </w:r>
          </w:p>
        </w:tc>
      </w:tr>
      <w:tr w:rsidR="00721D53" w:rsidRPr="00FE3A13" w14:paraId="11E8EAD3"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5B0A6B3" w14:textId="77777777" w:rsidR="00721D53" w:rsidRPr="00FE3A13" w:rsidRDefault="00721D53" w:rsidP="00D43EDA">
            <w:pPr>
              <w:pStyle w:val="NIVtableau"/>
              <w:rPr>
                <w:b w:val="0"/>
                <w:lang w:val="en-US"/>
              </w:rPr>
            </w:pPr>
            <w:r w:rsidRPr="00FE3A13">
              <w:rPr>
                <w:b w:val="0"/>
                <w:lang w:val="en-US"/>
              </w:rPr>
              <w:t>Communes</w:t>
            </w:r>
          </w:p>
        </w:tc>
        <w:tc>
          <w:tcPr>
            <w:tcW w:w="833" w:type="pct"/>
          </w:tcPr>
          <w:p w14:paraId="14F80D87" w14:textId="77777777" w:rsidR="00721D53" w:rsidRPr="00FE3A13" w:rsidRDefault="00721D5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B2BA81F" w14:textId="77777777" w:rsidR="00721D53" w:rsidRPr="00FE3A13" w:rsidRDefault="00721D5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4DD69F5" w14:textId="77777777" w:rsidR="00721D53" w:rsidRPr="00FE3A13" w:rsidRDefault="00721D5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D36946C" w14:textId="77777777" w:rsidR="00721D53" w:rsidRPr="00FE3A13" w:rsidRDefault="00721D53"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414F4AC" w14:textId="14A556ED" w:rsidR="009D38FA" w:rsidRPr="00FE3A13" w:rsidRDefault="009D38FA" w:rsidP="009D38FA">
      <w:pPr>
        <w:pStyle w:val="Corpsdetexte"/>
      </w:pPr>
      <w:r w:rsidRPr="00FE3A13">
        <w:rPr>
          <w:b/>
          <w:bCs/>
        </w:rPr>
        <w:t>&gt;</w:t>
      </w:r>
      <w:r w:rsidRPr="00FE3A13">
        <w:rPr>
          <w:b/>
          <w:bCs/>
        </w:rPr>
        <w:tab/>
        <w:t>Augmentation des émoluments de</w:t>
      </w:r>
      <w:r w:rsidR="00172007" w:rsidRPr="00FE3A13">
        <w:rPr>
          <w:b/>
          <w:bCs/>
        </w:rPr>
        <w:t>s</w:t>
      </w:r>
      <w:r w:rsidRPr="00FE3A13">
        <w:rPr>
          <w:b/>
          <w:bCs/>
        </w:rPr>
        <w:t xml:space="preserve"> </w:t>
      </w:r>
      <w:r w:rsidR="00172007" w:rsidRPr="00FE3A13">
        <w:rPr>
          <w:b/>
          <w:bCs/>
        </w:rPr>
        <w:t>P</w:t>
      </w:r>
      <w:r w:rsidRPr="00FE3A13">
        <w:rPr>
          <w:b/>
          <w:bCs/>
        </w:rPr>
        <w:t>réfecture</w:t>
      </w:r>
      <w:r w:rsidR="00172007" w:rsidRPr="00FE3A13">
        <w:rPr>
          <w:b/>
          <w:bCs/>
        </w:rPr>
        <w:t>s</w:t>
      </w:r>
    </w:p>
    <w:p w14:paraId="22FB363D" w14:textId="69964CC8" w:rsidR="009D38FA" w:rsidRPr="00FE3A13" w:rsidRDefault="009D38FA" w:rsidP="009D38FA">
      <w:pPr>
        <w:pStyle w:val="Corpsdetexte"/>
      </w:pPr>
      <w:r w:rsidRPr="00FE3A13">
        <w:t>La mesure propose d’adapter les émolument</w:t>
      </w:r>
      <w:r w:rsidR="00172007" w:rsidRPr="00FE3A13">
        <w:t>s</w:t>
      </w:r>
      <w:r w:rsidRPr="00FE3A13">
        <w:t xml:space="preserve"> perçus par les Préfectures. Ceux-ci n’ont pas évolué dans les dernières années. Les Préfectures disposent d’une marge dans la fixation des tarifs des émoluments par rapport au cadre légal. </w:t>
      </w:r>
      <w:r w:rsidR="005813DF" w:rsidRPr="00FE3A13">
        <w:t>C</w:t>
      </w:r>
      <w:r w:rsidRPr="00FE3A13">
        <w:t>eux-ci seront augmentés en moyenne de 10</w:t>
      </w:r>
      <w:r w:rsidR="005813DF" w:rsidRPr="00FE3A13">
        <w:t xml:space="preserve"> </w:t>
      </w:r>
      <w:r w:rsidRPr="00FE3A13">
        <w:t>% dès 2026.</w:t>
      </w:r>
    </w:p>
    <w:tbl>
      <w:tblPr>
        <w:tblStyle w:val="TableauEtatFR"/>
        <w:tblW w:w="5000" w:type="pct"/>
        <w:tblLook w:val="04E0" w:firstRow="1" w:lastRow="1" w:firstColumn="1" w:lastColumn="0" w:noHBand="0" w:noVBand="1"/>
      </w:tblPr>
      <w:tblGrid>
        <w:gridCol w:w="3312"/>
        <w:gridCol w:w="1653"/>
        <w:gridCol w:w="1653"/>
        <w:gridCol w:w="1653"/>
        <w:gridCol w:w="1649"/>
      </w:tblGrid>
      <w:tr w:rsidR="009D38FA" w:rsidRPr="00FE3A13" w14:paraId="7DC2074F"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A5C8E24" w14:textId="77777777" w:rsidR="009D38FA" w:rsidRPr="00FE3A13" w:rsidRDefault="009D38FA" w:rsidP="00D43EDA">
            <w:pPr>
              <w:pStyle w:val="NIVtableau"/>
              <w:rPr>
                <w:color w:val="auto"/>
                <w:sz w:val="21"/>
                <w:lang w:val="fr-FR"/>
              </w:rPr>
            </w:pPr>
            <w:r w:rsidRPr="00FE3A13">
              <w:rPr>
                <w:lang w:val="fr-FR"/>
              </w:rPr>
              <w:t>Incidences financières en francs</w:t>
            </w:r>
          </w:p>
        </w:tc>
        <w:tc>
          <w:tcPr>
            <w:tcW w:w="833" w:type="pct"/>
          </w:tcPr>
          <w:p w14:paraId="6BC5B598" w14:textId="77777777" w:rsidR="009D38FA" w:rsidRPr="00FE3A13" w:rsidRDefault="009D38F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AD4831B" w14:textId="77777777" w:rsidR="009D38FA" w:rsidRPr="00FE3A13" w:rsidRDefault="009D38F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5B65216" w14:textId="77777777" w:rsidR="009D38FA" w:rsidRPr="00FE3A13" w:rsidRDefault="009D38F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E780770" w14:textId="77777777" w:rsidR="009D38FA" w:rsidRPr="00FE3A13" w:rsidRDefault="009D38FA"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9D38FA" w:rsidRPr="00FE3A13" w14:paraId="40935BA8"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79F67AC" w14:textId="77777777" w:rsidR="009D38FA" w:rsidRPr="00FE3A13" w:rsidRDefault="009D38FA" w:rsidP="00D43EDA">
            <w:pPr>
              <w:pStyle w:val="NIVtableau"/>
              <w:rPr>
                <w:lang w:val="en-US"/>
              </w:rPr>
            </w:pPr>
            <w:r w:rsidRPr="00FE3A13">
              <w:rPr>
                <w:lang w:val="en-US"/>
              </w:rPr>
              <w:t>Etat</w:t>
            </w:r>
          </w:p>
        </w:tc>
        <w:tc>
          <w:tcPr>
            <w:tcW w:w="833" w:type="pct"/>
          </w:tcPr>
          <w:p w14:paraId="595902A1" w14:textId="6C2D0CB2" w:rsidR="009D38FA" w:rsidRPr="00FE3A13" w:rsidRDefault="009D38F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214 000</w:t>
            </w:r>
          </w:p>
        </w:tc>
        <w:tc>
          <w:tcPr>
            <w:tcW w:w="833" w:type="pct"/>
          </w:tcPr>
          <w:p w14:paraId="46C6CFD3" w14:textId="0EE9ED0F" w:rsidR="009D38FA" w:rsidRPr="00FE3A13" w:rsidRDefault="009D38F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214 000</w:t>
            </w:r>
          </w:p>
        </w:tc>
        <w:tc>
          <w:tcPr>
            <w:tcW w:w="833" w:type="pct"/>
          </w:tcPr>
          <w:p w14:paraId="541FBCB9" w14:textId="7A83B57C" w:rsidR="009D38FA" w:rsidRPr="00FE3A13" w:rsidRDefault="009D38F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214 000</w:t>
            </w:r>
          </w:p>
        </w:tc>
        <w:tc>
          <w:tcPr>
            <w:tcW w:w="833" w:type="pct"/>
          </w:tcPr>
          <w:p w14:paraId="6097F4B3" w14:textId="03B46983" w:rsidR="009D38FA" w:rsidRPr="00FE3A13" w:rsidRDefault="009D38FA"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642 000</w:t>
            </w:r>
          </w:p>
        </w:tc>
      </w:tr>
      <w:tr w:rsidR="009D38FA" w:rsidRPr="00FE3A13" w14:paraId="447F1E43"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03013B2" w14:textId="77777777" w:rsidR="009D38FA" w:rsidRPr="00FE3A13" w:rsidRDefault="009D38FA" w:rsidP="00D43EDA">
            <w:pPr>
              <w:pStyle w:val="NIVtableau"/>
              <w:rPr>
                <w:b w:val="0"/>
                <w:lang w:val="en-US"/>
              </w:rPr>
            </w:pPr>
            <w:r w:rsidRPr="00FE3A13">
              <w:rPr>
                <w:b w:val="0"/>
                <w:lang w:val="en-US"/>
              </w:rPr>
              <w:t>Communes</w:t>
            </w:r>
          </w:p>
        </w:tc>
        <w:tc>
          <w:tcPr>
            <w:tcW w:w="833" w:type="pct"/>
          </w:tcPr>
          <w:p w14:paraId="7F70816E" w14:textId="77777777" w:rsidR="009D38FA" w:rsidRPr="00FE3A13" w:rsidRDefault="009D38F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A225D36" w14:textId="77777777" w:rsidR="009D38FA" w:rsidRPr="00FE3A13" w:rsidRDefault="009D38F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35EAB06" w14:textId="77777777" w:rsidR="009D38FA" w:rsidRPr="00FE3A13" w:rsidRDefault="009D38F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1D3C6D1" w14:textId="77777777" w:rsidR="009D38FA" w:rsidRPr="00FE3A13" w:rsidRDefault="009D38F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DDAC869" w14:textId="23D3B616" w:rsidR="003F082C" w:rsidRPr="00FE3A13" w:rsidRDefault="00464CA1" w:rsidP="00153058">
      <w:pPr>
        <w:pStyle w:val="Corpsdetexte"/>
      </w:pPr>
      <w:r w:rsidRPr="00FE3A13">
        <w:rPr>
          <w:b/>
          <w:bCs/>
        </w:rPr>
        <w:t>&gt;</w:t>
      </w:r>
      <w:r w:rsidRPr="00FE3A13">
        <w:rPr>
          <w:b/>
          <w:bCs/>
        </w:rPr>
        <w:tab/>
        <w:t>Révision des taxes et redevances pour l’usage du domaine public</w:t>
      </w:r>
    </w:p>
    <w:p w14:paraId="44237DC7" w14:textId="45F4D312" w:rsidR="00F52818" w:rsidRPr="00FE3A13" w:rsidRDefault="00464CA1" w:rsidP="00464CA1">
      <w:pPr>
        <w:pStyle w:val="Corpsdetexte"/>
      </w:pPr>
      <w:r w:rsidRPr="00FE3A13">
        <w:t>La mesure implique de revoir les taxes et redevances pour l’usage du domaine public. La taxe actuelle d’utilisation pour les prélèvements d’eau des plus grands consommateurs et celles en lien avec l’utilisation des routes seront augmentées de 20%. Les concessions liées aux restoroutes sont aussi impactées par la directive. Une augmentation de 10% sera étudié</w:t>
      </w:r>
      <w:r w:rsidR="00A5661B" w:rsidRPr="00FE3A13">
        <w:t>e</w:t>
      </w:r>
      <w:r w:rsidRPr="00FE3A13">
        <w:t xml:space="preserve"> dans ce domaine.</w:t>
      </w:r>
    </w:p>
    <w:tbl>
      <w:tblPr>
        <w:tblStyle w:val="TableauEtatFR"/>
        <w:tblW w:w="5000" w:type="pct"/>
        <w:tblLook w:val="04E0" w:firstRow="1" w:lastRow="1" w:firstColumn="1" w:lastColumn="0" w:noHBand="0" w:noVBand="1"/>
      </w:tblPr>
      <w:tblGrid>
        <w:gridCol w:w="3312"/>
        <w:gridCol w:w="1653"/>
        <w:gridCol w:w="1653"/>
        <w:gridCol w:w="1653"/>
        <w:gridCol w:w="1649"/>
      </w:tblGrid>
      <w:tr w:rsidR="009F33D6" w:rsidRPr="00FE3A13" w14:paraId="6F6FA344"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309BEE6" w14:textId="77777777" w:rsidR="009F33D6" w:rsidRPr="00FE3A13" w:rsidRDefault="009F33D6" w:rsidP="00D43EDA">
            <w:pPr>
              <w:pStyle w:val="NIVtableau"/>
              <w:rPr>
                <w:color w:val="auto"/>
                <w:sz w:val="21"/>
                <w:lang w:val="fr-FR"/>
              </w:rPr>
            </w:pPr>
            <w:r w:rsidRPr="00FE3A13">
              <w:rPr>
                <w:lang w:val="fr-FR"/>
              </w:rPr>
              <w:t>Incidences financières en francs</w:t>
            </w:r>
          </w:p>
        </w:tc>
        <w:tc>
          <w:tcPr>
            <w:tcW w:w="833" w:type="pct"/>
          </w:tcPr>
          <w:p w14:paraId="47ED3620" w14:textId="77777777" w:rsidR="009F33D6" w:rsidRPr="00FE3A13" w:rsidRDefault="009F33D6"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24248C8" w14:textId="77777777" w:rsidR="009F33D6" w:rsidRPr="00FE3A13" w:rsidRDefault="009F33D6"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3EF14B8" w14:textId="77777777" w:rsidR="009F33D6" w:rsidRPr="00FE3A13" w:rsidRDefault="009F33D6"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5FABE9F" w14:textId="77777777" w:rsidR="009F33D6" w:rsidRPr="00FE3A13" w:rsidRDefault="009F33D6"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9F33D6" w:rsidRPr="00FE3A13" w14:paraId="06FF109E"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8D748D0" w14:textId="77777777" w:rsidR="009F33D6" w:rsidRPr="00FE3A13" w:rsidRDefault="009F33D6" w:rsidP="00D43EDA">
            <w:pPr>
              <w:pStyle w:val="NIVtableau"/>
              <w:rPr>
                <w:lang w:val="en-US"/>
              </w:rPr>
            </w:pPr>
            <w:r w:rsidRPr="00FE3A13">
              <w:rPr>
                <w:lang w:val="en-US"/>
              </w:rPr>
              <w:t>Etat</w:t>
            </w:r>
          </w:p>
        </w:tc>
        <w:tc>
          <w:tcPr>
            <w:tcW w:w="833" w:type="pct"/>
          </w:tcPr>
          <w:p w14:paraId="6611169F" w14:textId="5D1DADD2" w:rsidR="009F33D6" w:rsidRPr="00FE3A13" w:rsidRDefault="009F33D6"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581 000</w:t>
            </w:r>
          </w:p>
        </w:tc>
        <w:tc>
          <w:tcPr>
            <w:tcW w:w="833" w:type="pct"/>
          </w:tcPr>
          <w:p w14:paraId="389DC168" w14:textId="2351AE20" w:rsidR="009F33D6" w:rsidRPr="00FE3A13" w:rsidRDefault="009F33D6"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581 000</w:t>
            </w:r>
          </w:p>
        </w:tc>
        <w:tc>
          <w:tcPr>
            <w:tcW w:w="833" w:type="pct"/>
          </w:tcPr>
          <w:p w14:paraId="17117EFC" w14:textId="0337BC63" w:rsidR="009F33D6" w:rsidRPr="00FE3A13" w:rsidRDefault="009F33D6"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581 000</w:t>
            </w:r>
          </w:p>
        </w:tc>
        <w:tc>
          <w:tcPr>
            <w:tcW w:w="833" w:type="pct"/>
          </w:tcPr>
          <w:p w14:paraId="154158F9" w14:textId="6869A3BD" w:rsidR="009F33D6" w:rsidRPr="00FE3A13" w:rsidRDefault="009F33D6"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1 743 000</w:t>
            </w:r>
          </w:p>
        </w:tc>
      </w:tr>
      <w:tr w:rsidR="009F33D6" w:rsidRPr="00FE3A13" w14:paraId="4F66F9B9"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22D2DCE" w14:textId="77777777" w:rsidR="009F33D6" w:rsidRPr="00FE3A13" w:rsidRDefault="009F33D6" w:rsidP="00D43EDA">
            <w:pPr>
              <w:pStyle w:val="NIVtableau"/>
              <w:rPr>
                <w:b w:val="0"/>
                <w:lang w:val="en-US"/>
              </w:rPr>
            </w:pPr>
            <w:r w:rsidRPr="00FE3A13">
              <w:rPr>
                <w:b w:val="0"/>
                <w:lang w:val="en-US"/>
              </w:rPr>
              <w:t>Communes</w:t>
            </w:r>
          </w:p>
        </w:tc>
        <w:tc>
          <w:tcPr>
            <w:tcW w:w="833" w:type="pct"/>
          </w:tcPr>
          <w:p w14:paraId="1A42F85A" w14:textId="1723B959" w:rsidR="009F33D6" w:rsidRPr="00FE3A13" w:rsidRDefault="009F33D6"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63E573D" w14:textId="665871AD" w:rsidR="009F33D6" w:rsidRPr="00FE3A13" w:rsidRDefault="009F33D6"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0A56EA9" w14:textId="301FD15E" w:rsidR="009F33D6" w:rsidRPr="00FE3A13" w:rsidRDefault="009F33D6"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5934FBE" w14:textId="28956965" w:rsidR="009F33D6" w:rsidRPr="00FE3A13" w:rsidRDefault="009F33D6"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39A060A" w14:textId="77BEB48C" w:rsidR="00464CA1" w:rsidRPr="00FE3A13" w:rsidRDefault="0093507C" w:rsidP="00153058">
      <w:pPr>
        <w:pStyle w:val="Corpsdetexte"/>
      </w:pPr>
      <w:r w:rsidRPr="00FE3A13">
        <w:rPr>
          <w:b/>
          <w:bCs/>
        </w:rPr>
        <w:t>&gt;</w:t>
      </w:r>
      <w:r w:rsidRPr="00FE3A13">
        <w:rPr>
          <w:b/>
          <w:bCs/>
        </w:rPr>
        <w:tab/>
        <w:t>Adaptation des émoluments du SeCA</w:t>
      </w:r>
    </w:p>
    <w:p w14:paraId="2211E1A2" w14:textId="21BC2B24" w:rsidR="009F33D6" w:rsidRPr="00FE3A13" w:rsidRDefault="0093507C" w:rsidP="00BC296C">
      <w:pPr>
        <w:pStyle w:val="Corpsdetexte"/>
      </w:pPr>
      <w:r w:rsidRPr="00FE3A13">
        <w:lastRenderedPageBreak/>
        <w:t>La mesure vise à adapter les tarifs actuels des émoluments dans le domaine de l’aménagement du territoire et des constructions. Les tarifs du Service des constructions et de l’aménagement n’ont pas évolué récemment et une adaptation de 7% est possible pour tenir compte du renchérissement.</w:t>
      </w:r>
    </w:p>
    <w:tbl>
      <w:tblPr>
        <w:tblStyle w:val="TableauEtatFR"/>
        <w:tblW w:w="5000" w:type="pct"/>
        <w:tblLook w:val="04E0" w:firstRow="1" w:lastRow="1" w:firstColumn="1" w:lastColumn="0" w:noHBand="0" w:noVBand="1"/>
      </w:tblPr>
      <w:tblGrid>
        <w:gridCol w:w="3312"/>
        <w:gridCol w:w="1653"/>
        <w:gridCol w:w="1653"/>
        <w:gridCol w:w="1653"/>
        <w:gridCol w:w="1649"/>
      </w:tblGrid>
      <w:tr w:rsidR="0093507C" w:rsidRPr="00FE3A13" w14:paraId="67E42CF2"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23715BD" w14:textId="77777777" w:rsidR="0093507C" w:rsidRPr="00FE3A13" w:rsidRDefault="0093507C" w:rsidP="00D43EDA">
            <w:pPr>
              <w:pStyle w:val="NIVtableau"/>
              <w:rPr>
                <w:color w:val="auto"/>
                <w:sz w:val="21"/>
                <w:lang w:val="fr-FR"/>
              </w:rPr>
            </w:pPr>
            <w:r w:rsidRPr="00FE3A13">
              <w:rPr>
                <w:lang w:val="fr-FR"/>
              </w:rPr>
              <w:t>Incidences financières en francs</w:t>
            </w:r>
          </w:p>
        </w:tc>
        <w:tc>
          <w:tcPr>
            <w:tcW w:w="833" w:type="pct"/>
          </w:tcPr>
          <w:p w14:paraId="1649A424" w14:textId="77777777" w:rsidR="0093507C" w:rsidRPr="00FE3A13" w:rsidRDefault="0093507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22AC090" w14:textId="77777777" w:rsidR="0093507C" w:rsidRPr="00FE3A13" w:rsidRDefault="0093507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D2A29BB" w14:textId="77777777" w:rsidR="0093507C" w:rsidRPr="00FE3A13" w:rsidRDefault="0093507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58FC779" w14:textId="77777777" w:rsidR="0093507C" w:rsidRPr="00FE3A13" w:rsidRDefault="0093507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93507C" w:rsidRPr="00FE3A13" w14:paraId="43A8BCE1"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79D1E66" w14:textId="77777777" w:rsidR="0093507C" w:rsidRPr="00FE3A13" w:rsidRDefault="0093507C" w:rsidP="00D43EDA">
            <w:pPr>
              <w:pStyle w:val="NIVtableau"/>
              <w:rPr>
                <w:lang w:val="en-US"/>
              </w:rPr>
            </w:pPr>
            <w:r w:rsidRPr="00FE3A13">
              <w:rPr>
                <w:lang w:val="en-US"/>
              </w:rPr>
              <w:t>Etat</w:t>
            </w:r>
          </w:p>
        </w:tc>
        <w:tc>
          <w:tcPr>
            <w:tcW w:w="833" w:type="pct"/>
          </w:tcPr>
          <w:p w14:paraId="21A40AC5" w14:textId="76D8C881" w:rsidR="0093507C" w:rsidRPr="00FE3A13" w:rsidRDefault="00A3553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w:t>
            </w:r>
            <w:r w:rsidR="0093507C" w:rsidRPr="00FE3A13">
              <w:rPr>
                <w:lang w:val="en-US"/>
              </w:rPr>
              <w:t>0</w:t>
            </w:r>
          </w:p>
        </w:tc>
        <w:tc>
          <w:tcPr>
            <w:tcW w:w="833" w:type="pct"/>
          </w:tcPr>
          <w:p w14:paraId="2D3DE7A2" w14:textId="111C583E" w:rsidR="0093507C" w:rsidRPr="00FE3A13" w:rsidRDefault="00A3553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w:t>
            </w:r>
            <w:r w:rsidR="0093507C" w:rsidRPr="00FE3A13">
              <w:rPr>
                <w:lang w:val="en-US"/>
              </w:rPr>
              <w:t>0</w:t>
            </w:r>
          </w:p>
        </w:tc>
        <w:tc>
          <w:tcPr>
            <w:tcW w:w="833" w:type="pct"/>
          </w:tcPr>
          <w:p w14:paraId="3AEBF0F1" w14:textId="595E64B4" w:rsidR="0093507C" w:rsidRPr="00FE3A13" w:rsidRDefault="00A3553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w:t>
            </w:r>
            <w:r w:rsidR="0093507C" w:rsidRPr="00FE3A13">
              <w:rPr>
                <w:lang w:val="en-US"/>
              </w:rPr>
              <w:t>0</w:t>
            </w:r>
          </w:p>
        </w:tc>
        <w:tc>
          <w:tcPr>
            <w:tcW w:w="833" w:type="pct"/>
          </w:tcPr>
          <w:p w14:paraId="08872525" w14:textId="05FA2A77" w:rsidR="0093507C" w:rsidRPr="00FE3A13" w:rsidRDefault="00A35533"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900</w:t>
            </w:r>
            <w:r w:rsidR="0093507C" w:rsidRPr="00FE3A13">
              <w:rPr>
                <w:lang w:val="en-US"/>
              </w:rPr>
              <w:t xml:space="preserve"> 000</w:t>
            </w:r>
          </w:p>
        </w:tc>
      </w:tr>
      <w:tr w:rsidR="0093507C" w:rsidRPr="00FE3A13" w14:paraId="2C5800EB"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B62E5AC" w14:textId="77777777" w:rsidR="0093507C" w:rsidRPr="00FE3A13" w:rsidRDefault="0093507C" w:rsidP="00D43EDA">
            <w:pPr>
              <w:pStyle w:val="NIVtableau"/>
              <w:rPr>
                <w:b w:val="0"/>
                <w:lang w:val="en-US"/>
              </w:rPr>
            </w:pPr>
            <w:r w:rsidRPr="00FE3A13">
              <w:rPr>
                <w:b w:val="0"/>
                <w:lang w:val="en-US"/>
              </w:rPr>
              <w:t>Communes</w:t>
            </w:r>
          </w:p>
        </w:tc>
        <w:tc>
          <w:tcPr>
            <w:tcW w:w="833" w:type="pct"/>
          </w:tcPr>
          <w:p w14:paraId="5C11BA78" w14:textId="77777777" w:rsidR="0093507C" w:rsidRPr="00FE3A13" w:rsidRDefault="0093507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F2B7645" w14:textId="77777777" w:rsidR="0093507C" w:rsidRPr="00FE3A13" w:rsidRDefault="0093507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1650564" w14:textId="77777777" w:rsidR="0093507C" w:rsidRPr="00FE3A13" w:rsidRDefault="0093507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B8C9C62" w14:textId="77777777" w:rsidR="0093507C" w:rsidRPr="00FE3A13" w:rsidRDefault="0093507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2A053C3" w14:textId="7031B9D4" w:rsidR="00BC296C" w:rsidRPr="00FE3A13" w:rsidRDefault="00BC296C" w:rsidP="00BC296C">
      <w:pPr>
        <w:pStyle w:val="Corpsdetexte"/>
      </w:pPr>
      <w:r w:rsidRPr="00FE3A13">
        <w:rPr>
          <w:b/>
          <w:bCs/>
        </w:rPr>
        <w:t>&gt;</w:t>
      </w:r>
      <w:r w:rsidRPr="00FE3A13">
        <w:rPr>
          <w:b/>
          <w:bCs/>
        </w:rPr>
        <w:tab/>
        <w:t>Introduction de nouveaux émoluments pour les demandes préalables des permis de construire</w:t>
      </w:r>
    </w:p>
    <w:p w14:paraId="64839A63" w14:textId="0C86D721" w:rsidR="0093507C" w:rsidRPr="00FE3A13" w:rsidRDefault="00BC296C" w:rsidP="00BC296C">
      <w:pPr>
        <w:pStyle w:val="Corpsdetexte"/>
      </w:pPr>
      <w:r w:rsidRPr="00FE3A13">
        <w:t>La mesure consiste à introduire de nouveaux émoluments dans les demandes préalables des permis de construire. Ces demandes génèrent un travail important pour les services de l’Etat et elles ne profitent pas à la société dans son ensemble mais seulement à l’auteur de la demande. Il apparait donc raisonnable de facturer une contrepartie pour le travail effectué.</w:t>
      </w:r>
    </w:p>
    <w:tbl>
      <w:tblPr>
        <w:tblStyle w:val="TableauEtatFR"/>
        <w:tblW w:w="5000" w:type="pct"/>
        <w:tblLook w:val="04E0" w:firstRow="1" w:lastRow="1" w:firstColumn="1" w:lastColumn="0" w:noHBand="0" w:noVBand="1"/>
      </w:tblPr>
      <w:tblGrid>
        <w:gridCol w:w="3312"/>
        <w:gridCol w:w="1653"/>
        <w:gridCol w:w="1653"/>
        <w:gridCol w:w="1653"/>
        <w:gridCol w:w="1649"/>
      </w:tblGrid>
      <w:tr w:rsidR="00BC296C" w:rsidRPr="00FE3A13" w14:paraId="6BCCB79E"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41D92EF" w14:textId="77777777" w:rsidR="00BC296C" w:rsidRPr="00FE3A13" w:rsidRDefault="00BC296C" w:rsidP="00D43EDA">
            <w:pPr>
              <w:pStyle w:val="NIVtableau"/>
              <w:rPr>
                <w:color w:val="auto"/>
                <w:sz w:val="21"/>
                <w:lang w:val="fr-FR"/>
              </w:rPr>
            </w:pPr>
            <w:r w:rsidRPr="00FE3A13">
              <w:rPr>
                <w:lang w:val="fr-FR"/>
              </w:rPr>
              <w:t>Incidences financières en francs</w:t>
            </w:r>
          </w:p>
        </w:tc>
        <w:tc>
          <w:tcPr>
            <w:tcW w:w="833" w:type="pct"/>
          </w:tcPr>
          <w:p w14:paraId="1D9A8F20"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D719039"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8B6AD22"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31C9D56"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BC296C" w:rsidRPr="00FE3A13" w14:paraId="74A869DA"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7AD1E43" w14:textId="77777777" w:rsidR="00BC296C" w:rsidRPr="00FE3A13" w:rsidRDefault="00BC296C" w:rsidP="00D43EDA">
            <w:pPr>
              <w:pStyle w:val="NIVtableau"/>
              <w:rPr>
                <w:lang w:val="en-US"/>
              </w:rPr>
            </w:pPr>
            <w:r w:rsidRPr="00FE3A13">
              <w:rPr>
                <w:lang w:val="en-US"/>
              </w:rPr>
              <w:t>Etat</w:t>
            </w:r>
          </w:p>
        </w:tc>
        <w:tc>
          <w:tcPr>
            <w:tcW w:w="833" w:type="pct"/>
          </w:tcPr>
          <w:p w14:paraId="376EBF8A" w14:textId="73BFB05E" w:rsidR="00BC296C" w:rsidRPr="00FE3A13" w:rsidRDefault="00BC296C"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2EB6EAC0" w14:textId="2FBD7B69" w:rsidR="00BC296C" w:rsidRPr="00FE3A13" w:rsidRDefault="00BC296C"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3A588484" w14:textId="535096DF" w:rsidR="00BC296C" w:rsidRPr="00FE3A13" w:rsidRDefault="00BC296C"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70E0A1B4" w14:textId="11AEA055" w:rsidR="00BC296C" w:rsidRPr="00FE3A13" w:rsidRDefault="00BC296C"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r>
      <w:tr w:rsidR="00BC296C" w:rsidRPr="00FE3A13" w14:paraId="4425ED4F"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BF1CCF3" w14:textId="77777777" w:rsidR="00BC296C" w:rsidRPr="00FE3A13" w:rsidRDefault="00BC296C" w:rsidP="00D43EDA">
            <w:pPr>
              <w:pStyle w:val="NIVtableau"/>
              <w:rPr>
                <w:b w:val="0"/>
                <w:lang w:val="en-US"/>
              </w:rPr>
            </w:pPr>
            <w:r w:rsidRPr="00FE3A13">
              <w:rPr>
                <w:b w:val="0"/>
                <w:lang w:val="en-US"/>
              </w:rPr>
              <w:t>Communes</w:t>
            </w:r>
          </w:p>
        </w:tc>
        <w:tc>
          <w:tcPr>
            <w:tcW w:w="833" w:type="pct"/>
          </w:tcPr>
          <w:p w14:paraId="065070C1" w14:textId="77777777" w:rsidR="00BC296C" w:rsidRPr="00FE3A13" w:rsidRDefault="00BC296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70253EF" w14:textId="77777777" w:rsidR="00BC296C" w:rsidRPr="00FE3A13" w:rsidRDefault="00BC296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F5ADE08" w14:textId="77777777" w:rsidR="00BC296C" w:rsidRPr="00FE3A13" w:rsidRDefault="00BC296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C048318" w14:textId="77777777" w:rsidR="00BC296C" w:rsidRPr="00FE3A13" w:rsidRDefault="00BC296C"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234E7E4" w14:textId="41CBC64E" w:rsidR="009071FC" w:rsidRPr="00FE3A13" w:rsidRDefault="009071FC" w:rsidP="009071FC">
      <w:pPr>
        <w:pStyle w:val="Corpsdetexte"/>
      </w:pPr>
      <w:r w:rsidRPr="00FE3A13">
        <w:rPr>
          <w:b/>
          <w:bCs/>
        </w:rPr>
        <w:t>&gt;</w:t>
      </w:r>
      <w:r w:rsidRPr="00FE3A13">
        <w:rPr>
          <w:b/>
          <w:bCs/>
        </w:rPr>
        <w:tab/>
        <w:t>Augmentation des émoluments du SEn</w:t>
      </w:r>
    </w:p>
    <w:p w14:paraId="0D5389D1" w14:textId="5AF98D35" w:rsidR="0093507C" w:rsidRPr="00FE3A13" w:rsidRDefault="009071FC" w:rsidP="00DC4790">
      <w:pPr>
        <w:pStyle w:val="Corpsdetexte"/>
      </w:pPr>
      <w:r w:rsidRPr="00FE3A13">
        <w:t xml:space="preserve">La mesure </w:t>
      </w:r>
      <w:r w:rsidR="00DC4790" w:rsidRPr="00FE3A13">
        <w:t xml:space="preserve">propose d’augmenter les tarifs des émoluments du Service de l’environnement. </w:t>
      </w:r>
      <w:r w:rsidRPr="00FE3A13">
        <w:t xml:space="preserve">Les tarifs </w:t>
      </w:r>
      <w:r w:rsidR="00DC4790" w:rsidRPr="00FE3A13">
        <w:t>du</w:t>
      </w:r>
      <w:r w:rsidRPr="00FE3A13">
        <w:t xml:space="preserve"> SEn </w:t>
      </w:r>
      <w:r w:rsidR="00DC4790" w:rsidRPr="00FE3A13">
        <w:t>ne correspondent</w:t>
      </w:r>
      <w:r w:rsidRPr="00FE3A13">
        <w:t xml:space="preserve"> </w:t>
      </w:r>
      <w:r w:rsidR="00DC4790" w:rsidRPr="00FE3A13">
        <w:t>plus tout à fait</w:t>
      </w:r>
      <w:r w:rsidRPr="00FE3A13">
        <w:t xml:space="preserve"> à la tarification actuelle du domaine. Les heures </w:t>
      </w:r>
      <w:r w:rsidR="00DC4790" w:rsidRPr="00FE3A13">
        <w:t>facturé</w:t>
      </w:r>
      <w:r w:rsidR="00256CEF" w:rsidRPr="00FE3A13">
        <w:t>e</w:t>
      </w:r>
      <w:r w:rsidR="00DC4790" w:rsidRPr="00FE3A13">
        <w:t xml:space="preserve">s </w:t>
      </w:r>
      <w:r w:rsidRPr="00FE3A13">
        <w:t>du personnel seront ainsi augmentées en moyenne de 29% (de 0%-65% selon les fonctions), les frais d’appareillage en moyenne de 20% (16%-25%) et les analyses en moyenne de 25%.</w:t>
      </w:r>
    </w:p>
    <w:tbl>
      <w:tblPr>
        <w:tblStyle w:val="TableauEtatFR"/>
        <w:tblW w:w="5000" w:type="pct"/>
        <w:tblLook w:val="04E0" w:firstRow="1" w:lastRow="1" w:firstColumn="1" w:lastColumn="0" w:noHBand="0" w:noVBand="1"/>
      </w:tblPr>
      <w:tblGrid>
        <w:gridCol w:w="3312"/>
        <w:gridCol w:w="1653"/>
        <w:gridCol w:w="1653"/>
        <w:gridCol w:w="1653"/>
        <w:gridCol w:w="1649"/>
      </w:tblGrid>
      <w:tr w:rsidR="00DC4790" w:rsidRPr="00FE3A13" w14:paraId="39D9185E"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3F78A89" w14:textId="77777777" w:rsidR="00DC4790" w:rsidRPr="00FE3A13" w:rsidRDefault="00DC4790" w:rsidP="00D43EDA">
            <w:pPr>
              <w:pStyle w:val="NIVtableau"/>
              <w:rPr>
                <w:color w:val="auto"/>
                <w:sz w:val="21"/>
                <w:lang w:val="fr-FR"/>
              </w:rPr>
            </w:pPr>
            <w:r w:rsidRPr="00FE3A13">
              <w:rPr>
                <w:lang w:val="fr-FR"/>
              </w:rPr>
              <w:t>Incidences financières en francs</w:t>
            </w:r>
          </w:p>
        </w:tc>
        <w:tc>
          <w:tcPr>
            <w:tcW w:w="833" w:type="pct"/>
          </w:tcPr>
          <w:p w14:paraId="2A8A972B" w14:textId="77777777" w:rsidR="00DC4790" w:rsidRPr="00FE3A13" w:rsidRDefault="00DC4790"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1D60798" w14:textId="77777777" w:rsidR="00DC4790" w:rsidRPr="00FE3A13" w:rsidRDefault="00DC4790"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AEE03D3" w14:textId="77777777" w:rsidR="00DC4790" w:rsidRPr="00FE3A13" w:rsidRDefault="00DC4790"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08157293" w14:textId="77777777" w:rsidR="00DC4790" w:rsidRPr="00FE3A13" w:rsidRDefault="00DC4790"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DC4790" w:rsidRPr="00FE3A13" w14:paraId="6A5A186C"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8889302" w14:textId="77777777" w:rsidR="00DC4790" w:rsidRPr="00FE3A13" w:rsidRDefault="00DC4790" w:rsidP="00D43EDA">
            <w:pPr>
              <w:pStyle w:val="NIVtableau"/>
              <w:rPr>
                <w:lang w:val="en-US"/>
              </w:rPr>
            </w:pPr>
            <w:r w:rsidRPr="00FE3A13">
              <w:rPr>
                <w:lang w:val="en-US"/>
              </w:rPr>
              <w:t>Etat</w:t>
            </w:r>
          </w:p>
        </w:tc>
        <w:tc>
          <w:tcPr>
            <w:tcW w:w="833" w:type="pct"/>
          </w:tcPr>
          <w:p w14:paraId="0A7C8ACC" w14:textId="3BE19054" w:rsidR="00DC4790" w:rsidRPr="00FE3A13" w:rsidRDefault="00DC4790"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238 300</w:t>
            </w:r>
          </w:p>
        </w:tc>
        <w:tc>
          <w:tcPr>
            <w:tcW w:w="833" w:type="pct"/>
          </w:tcPr>
          <w:p w14:paraId="66E56A21" w14:textId="0DE0C08F" w:rsidR="00DC4790" w:rsidRPr="00FE3A13" w:rsidRDefault="00DC4790"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238 300</w:t>
            </w:r>
          </w:p>
        </w:tc>
        <w:tc>
          <w:tcPr>
            <w:tcW w:w="833" w:type="pct"/>
          </w:tcPr>
          <w:p w14:paraId="0A2572C5" w14:textId="40391F06" w:rsidR="00DC4790" w:rsidRPr="00FE3A13" w:rsidRDefault="00DC4790"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238 300</w:t>
            </w:r>
          </w:p>
        </w:tc>
        <w:tc>
          <w:tcPr>
            <w:tcW w:w="833" w:type="pct"/>
          </w:tcPr>
          <w:p w14:paraId="59B0AFEE" w14:textId="048F922C" w:rsidR="00DC4790" w:rsidRPr="00FE3A13" w:rsidRDefault="00DC4790"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714 900</w:t>
            </w:r>
          </w:p>
        </w:tc>
      </w:tr>
      <w:tr w:rsidR="00DC4790" w:rsidRPr="00FE3A13" w14:paraId="6EC62114"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D67D4B5" w14:textId="77777777" w:rsidR="00DC4790" w:rsidRPr="00FE3A13" w:rsidRDefault="00DC4790" w:rsidP="00D43EDA">
            <w:pPr>
              <w:pStyle w:val="NIVtableau"/>
              <w:rPr>
                <w:b w:val="0"/>
                <w:lang w:val="en-US"/>
              </w:rPr>
            </w:pPr>
            <w:r w:rsidRPr="00FE3A13">
              <w:rPr>
                <w:b w:val="0"/>
                <w:lang w:val="en-US"/>
              </w:rPr>
              <w:t>Communes</w:t>
            </w:r>
          </w:p>
        </w:tc>
        <w:tc>
          <w:tcPr>
            <w:tcW w:w="833" w:type="pct"/>
          </w:tcPr>
          <w:p w14:paraId="3357E5B1" w14:textId="77777777" w:rsidR="00DC4790"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E138B25" w14:textId="77777777" w:rsidR="00DC4790"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ECDEE18" w14:textId="77777777" w:rsidR="00DC4790"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D33FEE4" w14:textId="77777777" w:rsidR="00DC4790"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D82282D" w14:textId="77777777" w:rsidR="009071FC" w:rsidRPr="00FE3A13" w:rsidRDefault="009071FC" w:rsidP="00153058">
      <w:pPr>
        <w:pStyle w:val="Corpsdetexte"/>
      </w:pPr>
    </w:p>
    <w:p w14:paraId="7184D287" w14:textId="5850972F" w:rsidR="000B3746" w:rsidRPr="00FE3A13" w:rsidRDefault="005E113B" w:rsidP="0007612B">
      <w:pPr>
        <w:pStyle w:val="Listealphabtique"/>
        <w:ind w:left="426" w:hanging="426"/>
        <w:rPr>
          <w:b/>
          <w:bCs/>
        </w:rPr>
      </w:pPr>
      <w:r w:rsidRPr="00FE3A13">
        <w:rPr>
          <w:b/>
          <w:bCs/>
        </w:rPr>
        <w:t>Impôts</w:t>
      </w:r>
    </w:p>
    <w:p w14:paraId="0F8D761E" w14:textId="384DCE7D" w:rsidR="000B3746" w:rsidRPr="00FE3A13" w:rsidRDefault="000B3746" w:rsidP="000B3746">
      <w:pPr>
        <w:pStyle w:val="Listealphabtique"/>
        <w:numPr>
          <w:ilvl w:val="0"/>
          <w:numId w:val="0"/>
        </w:numPr>
        <w:rPr>
          <w:b/>
          <w:bCs/>
        </w:rPr>
      </w:pPr>
      <w:r w:rsidRPr="00FE3A13">
        <w:rPr>
          <w:b/>
          <w:bCs/>
        </w:rPr>
        <w:t>&gt;</w:t>
      </w:r>
      <w:r w:rsidRPr="00FE3A13">
        <w:rPr>
          <w:b/>
          <w:bCs/>
        </w:rPr>
        <w:tab/>
      </w:r>
      <w:bookmarkStart w:id="27" w:name="_Hlk194584060"/>
      <w:r w:rsidR="006A187D" w:rsidRPr="00FE3A13">
        <w:rPr>
          <w:b/>
          <w:bCs/>
        </w:rPr>
        <w:t xml:space="preserve">Augmentation du nombre de taxateurs au SCC afin de renforcer l’investigation </w:t>
      </w:r>
      <w:r w:rsidR="00457F1B" w:rsidRPr="00FE3A13">
        <w:rPr>
          <w:b/>
          <w:bCs/>
        </w:rPr>
        <w:t>fiscale</w:t>
      </w:r>
    </w:p>
    <w:bookmarkEnd w:id="27"/>
    <w:p w14:paraId="0FF60493" w14:textId="1323B4BD" w:rsidR="000B3746" w:rsidRPr="00FE3A13" w:rsidRDefault="006A187D" w:rsidP="009071FC">
      <w:r w:rsidRPr="00FE3A13">
        <w:t>La mesure vise à renforcer l’investigation fiscale dans l</w:t>
      </w:r>
      <w:r w:rsidR="00457F1B" w:rsidRPr="00FE3A13">
        <w:t>e</w:t>
      </w:r>
      <w:r w:rsidRPr="00FE3A13">
        <w:t xml:space="preserve"> cadre des taxations. Le service des contributions bénéficiera d’effectif</w:t>
      </w:r>
      <w:r w:rsidR="00457F1B" w:rsidRPr="00FE3A13">
        <w:t>s</w:t>
      </w:r>
      <w:r w:rsidRPr="00FE3A13">
        <w:t xml:space="preserve"> supplémentaire</w:t>
      </w:r>
      <w:r w:rsidR="00457F1B" w:rsidRPr="00FE3A13">
        <w:t>s</w:t>
      </w:r>
      <w:r w:rsidRPr="00FE3A13">
        <w:t xml:space="preserve"> afin de permettre une meilleure analyse des dossiers des contribuables susceptibles de ne pas avoir déclaré correctement l’intégralité de leurs revenus/bénéfices et/ou fortune/fonds propres. Cette démarche devrait </w:t>
      </w:r>
      <w:r w:rsidR="00172007" w:rsidRPr="00FE3A13">
        <w:t>permettre une augmentation</w:t>
      </w:r>
      <w:r w:rsidRPr="00FE3A13">
        <w:t xml:space="preserve"> </w:t>
      </w:r>
      <w:r w:rsidR="00172007" w:rsidRPr="00FE3A13">
        <w:t>des</w:t>
      </w:r>
      <w:r w:rsidRPr="00FE3A13">
        <w:t xml:space="preserve"> revenus imposables et par conséquent </w:t>
      </w:r>
      <w:r w:rsidR="00172007" w:rsidRPr="00FE3A13">
        <w:t>d</w:t>
      </w:r>
      <w:r w:rsidRPr="00FE3A13">
        <w:t xml:space="preserve">es recettes fiscales. </w:t>
      </w:r>
      <w:r w:rsidR="00457F1B" w:rsidRPr="00FE3A13">
        <w:t xml:space="preserve">Chaque année de 2026-2028, quatre </w:t>
      </w:r>
      <w:r w:rsidR="00E12A1C" w:rsidRPr="00FE3A13">
        <w:t xml:space="preserve">nouveaux </w:t>
      </w:r>
      <w:r w:rsidR="00457F1B" w:rsidRPr="00FE3A13">
        <w:t>postes de taxateurs seront créés.</w:t>
      </w:r>
    </w:p>
    <w:tbl>
      <w:tblPr>
        <w:tblStyle w:val="TableauEtatFR"/>
        <w:tblW w:w="5000" w:type="pct"/>
        <w:tblLook w:val="04E0" w:firstRow="1" w:lastRow="1" w:firstColumn="1" w:lastColumn="0" w:noHBand="0" w:noVBand="1"/>
      </w:tblPr>
      <w:tblGrid>
        <w:gridCol w:w="3312"/>
        <w:gridCol w:w="1653"/>
        <w:gridCol w:w="1653"/>
        <w:gridCol w:w="1653"/>
        <w:gridCol w:w="1649"/>
      </w:tblGrid>
      <w:tr w:rsidR="00457F1B" w:rsidRPr="00FE3A13" w14:paraId="4060C776"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EBBB52D" w14:textId="77777777" w:rsidR="00457F1B" w:rsidRPr="00FE3A13" w:rsidRDefault="00457F1B" w:rsidP="00D43EDA">
            <w:pPr>
              <w:pStyle w:val="NIVtableau"/>
              <w:rPr>
                <w:color w:val="auto"/>
                <w:sz w:val="21"/>
                <w:lang w:val="fr-FR"/>
              </w:rPr>
            </w:pPr>
            <w:r w:rsidRPr="00FE3A13">
              <w:rPr>
                <w:lang w:val="fr-FR"/>
              </w:rPr>
              <w:t>Incidences financières en francs</w:t>
            </w:r>
          </w:p>
        </w:tc>
        <w:tc>
          <w:tcPr>
            <w:tcW w:w="833" w:type="pct"/>
          </w:tcPr>
          <w:p w14:paraId="42224807" w14:textId="77777777" w:rsidR="00457F1B" w:rsidRPr="00FE3A13" w:rsidRDefault="00457F1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83215BA" w14:textId="77777777" w:rsidR="00457F1B" w:rsidRPr="00FE3A13" w:rsidRDefault="00457F1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4784A99" w14:textId="77777777" w:rsidR="00457F1B" w:rsidRPr="00FE3A13" w:rsidRDefault="00457F1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5D2BB1B" w14:textId="77777777" w:rsidR="00457F1B" w:rsidRPr="00FE3A13" w:rsidRDefault="00457F1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457F1B" w:rsidRPr="00FE3A13" w14:paraId="46089146"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BD0CCBD" w14:textId="77777777" w:rsidR="00457F1B" w:rsidRPr="00FE3A13" w:rsidRDefault="00457F1B" w:rsidP="00D43EDA">
            <w:pPr>
              <w:pStyle w:val="NIVtableau"/>
              <w:rPr>
                <w:lang w:val="en-US"/>
              </w:rPr>
            </w:pPr>
            <w:r w:rsidRPr="00FE3A13">
              <w:rPr>
                <w:lang w:val="en-US"/>
              </w:rPr>
              <w:t>Etat</w:t>
            </w:r>
          </w:p>
        </w:tc>
        <w:tc>
          <w:tcPr>
            <w:tcW w:w="833" w:type="pct"/>
          </w:tcPr>
          <w:p w14:paraId="744B4473" w14:textId="6244AB1E" w:rsidR="00457F1B" w:rsidRPr="00FE3A13" w:rsidRDefault="00457F1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1 040 000</w:t>
            </w:r>
          </w:p>
        </w:tc>
        <w:tc>
          <w:tcPr>
            <w:tcW w:w="833" w:type="pct"/>
          </w:tcPr>
          <w:p w14:paraId="068DEF29" w14:textId="02C97400" w:rsidR="00457F1B" w:rsidRPr="00FE3A13" w:rsidRDefault="00457F1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580 000</w:t>
            </w:r>
          </w:p>
        </w:tc>
        <w:tc>
          <w:tcPr>
            <w:tcW w:w="833" w:type="pct"/>
          </w:tcPr>
          <w:p w14:paraId="0E1CA348" w14:textId="3F08CC6C" w:rsidR="00457F1B" w:rsidRPr="00FE3A13" w:rsidRDefault="00457F1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120 000</w:t>
            </w:r>
          </w:p>
        </w:tc>
        <w:tc>
          <w:tcPr>
            <w:tcW w:w="833" w:type="pct"/>
          </w:tcPr>
          <w:p w14:paraId="7BB0BB26" w14:textId="1CB45181" w:rsidR="00457F1B" w:rsidRPr="00FE3A13" w:rsidRDefault="00457F1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1 740 000</w:t>
            </w:r>
          </w:p>
        </w:tc>
      </w:tr>
      <w:tr w:rsidR="00457F1B" w:rsidRPr="00FE3A13" w14:paraId="14ECC3A8"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1B9F6A2" w14:textId="77777777" w:rsidR="00457F1B" w:rsidRPr="00FE3A13" w:rsidRDefault="00457F1B" w:rsidP="00D43EDA">
            <w:pPr>
              <w:pStyle w:val="NIVtableau"/>
              <w:rPr>
                <w:b w:val="0"/>
                <w:lang w:val="en-US"/>
              </w:rPr>
            </w:pPr>
            <w:r w:rsidRPr="00FE3A13">
              <w:rPr>
                <w:b w:val="0"/>
                <w:lang w:val="en-US"/>
              </w:rPr>
              <w:t>Communes</w:t>
            </w:r>
          </w:p>
        </w:tc>
        <w:tc>
          <w:tcPr>
            <w:tcW w:w="833" w:type="pct"/>
          </w:tcPr>
          <w:p w14:paraId="66377446" w14:textId="1B9B3223" w:rsidR="00457F1B" w:rsidRPr="00FE3A13" w:rsidRDefault="00457F1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1 200 000</w:t>
            </w:r>
          </w:p>
        </w:tc>
        <w:tc>
          <w:tcPr>
            <w:tcW w:w="833" w:type="pct"/>
          </w:tcPr>
          <w:p w14:paraId="78748FF2" w14:textId="3042F0D1" w:rsidR="00457F1B" w:rsidRPr="00FE3A13" w:rsidRDefault="00457F1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1 200 000</w:t>
            </w:r>
          </w:p>
        </w:tc>
        <w:tc>
          <w:tcPr>
            <w:tcW w:w="833" w:type="pct"/>
          </w:tcPr>
          <w:p w14:paraId="2AC3340C" w14:textId="1392DA34" w:rsidR="00457F1B" w:rsidRPr="00FE3A13" w:rsidRDefault="00457F1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1 200 000</w:t>
            </w:r>
          </w:p>
        </w:tc>
        <w:tc>
          <w:tcPr>
            <w:tcW w:w="833" w:type="pct"/>
          </w:tcPr>
          <w:p w14:paraId="1DB07106" w14:textId="72332ED9" w:rsidR="00457F1B" w:rsidRPr="00FE3A13" w:rsidRDefault="00457F1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3 600 000</w:t>
            </w:r>
          </w:p>
        </w:tc>
      </w:tr>
    </w:tbl>
    <w:p w14:paraId="4ED4EB64" w14:textId="77777777" w:rsidR="009071FC" w:rsidRPr="00FE3A13" w:rsidRDefault="009071FC" w:rsidP="009071FC"/>
    <w:p w14:paraId="5A66C3BB" w14:textId="21979251" w:rsidR="000B3746" w:rsidRPr="00FE3A13" w:rsidRDefault="00F53B78" w:rsidP="0007612B">
      <w:pPr>
        <w:pStyle w:val="Listealphabtique"/>
        <w:ind w:left="426" w:hanging="426"/>
        <w:rPr>
          <w:b/>
          <w:bCs/>
        </w:rPr>
      </w:pPr>
      <w:r w:rsidRPr="00FE3A13">
        <w:rPr>
          <w:b/>
          <w:bCs/>
        </w:rPr>
        <w:t>Contribution des usagers</w:t>
      </w:r>
    </w:p>
    <w:p w14:paraId="7DF86B15" w14:textId="77777777" w:rsidR="005E113B" w:rsidRPr="00FE3A13" w:rsidRDefault="005E113B" w:rsidP="005E113B">
      <w:pPr>
        <w:pStyle w:val="Corpsdetexte"/>
        <w:rPr>
          <w:b/>
          <w:bCs/>
        </w:rPr>
      </w:pPr>
      <w:r w:rsidRPr="00FE3A13">
        <w:rPr>
          <w:b/>
          <w:bCs/>
        </w:rPr>
        <w:t>&gt;</w:t>
      </w:r>
      <w:r w:rsidRPr="00FE3A13">
        <w:rPr>
          <w:b/>
          <w:bCs/>
        </w:rPr>
        <w:tab/>
        <w:t xml:space="preserve">Location à l’externe des places de parking inoccupées par l’administration </w:t>
      </w:r>
    </w:p>
    <w:p w14:paraId="3E30FE03" w14:textId="12A2927F" w:rsidR="005E113B" w:rsidRPr="00FE3A13" w:rsidRDefault="005E113B" w:rsidP="00A130B3">
      <w:pPr>
        <w:pStyle w:val="Corpsdetexte"/>
      </w:pPr>
      <w:r w:rsidRPr="00FE3A13">
        <w:lastRenderedPageBreak/>
        <w:t xml:space="preserve">La mesure propose de louer les places de parking disponibles. Le bâtiment des Arsenaux 41 dispose de places de parc inoccupées. Celles-ci seront louées à des personnes externes à l’Etat après une légère adaptation des </w:t>
      </w:r>
      <w:r w:rsidR="00676D46" w:rsidRPr="00FE3A13">
        <w:t>locaux</w:t>
      </w:r>
      <w:r w:rsidRPr="00FE3A13">
        <w:t>. Des travaux à l’entrée du parking sont notamment nécessaires afin de respecter certaines normes.</w:t>
      </w:r>
    </w:p>
    <w:tbl>
      <w:tblPr>
        <w:tblStyle w:val="TableauEtatFR"/>
        <w:tblW w:w="5000" w:type="pct"/>
        <w:tblLook w:val="04E0" w:firstRow="1" w:lastRow="1" w:firstColumn="1" w:lastColumn="0" w:noHBand="0" w:noVBand="1"/>
      </w:tblPr>
      <w:tblGrid>
        <w:gridCol w:w="3312"/>
        <w:gridCol w:w="1653"/>
        <w:gridCol w:w="1653"/>
        <w:gridCol w:w="1653"/>
        <w:gridCol w:w="1649"/>
      </w:tblGrid>
      <w:tr w:rsidR="005E113B" w:rsidRPr="00FE3A13" w14:paraId="05B14D4A"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88D9CD1" w14:textId="77777777" w:rsidR="005E113B" w:rsidRPr="00FE3A13" w:rsidRDefault="005E113B" w:rsidP="00D43EDA">
            <w:pPr>
              <w:pStyle w:val="NIVtableau"/>
              <w:rPr>
                <w:color w:val="auto"/>
                <w:sz w:val="21"/>
                <w:lang w:val="fr-FR"/>
              </w:rPr>
            </w:pPr>
            <w:r w:rsidRPr="00FE3A13">
              <w:rPr>
                <w:lang w:val="fr-FR"/>
              </w:rPr>
              <w:t>Incidences financières en francs</w:t>
            </w:r>
          </w:p>
        </w:tc>
        <w:tc>
          <w:tcPr>
            <w:tcW w:w="833" w:type="pct"/>
          </w:tcPr>
          <w:p w14:paraId="6BC5F50F"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4573976"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14424D5"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6E45C55C"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5E113B" w:rsidRPr="00FE3A13" w14:paraId="1CDF894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DEED4E3" w14:textId="77777777" w:rsidR="005E113B" w:rsidRPr="00FE3A13" w:rsidRDefault="005E113B" w:rsidP="00D43EDA">
            <w:pPr>
              <w:pStyle w:val="NIVtableau"/>
              <w:rPr>
                <w:lang w:val="en-US"/>
              </w:rPr>
            </w:pPr>
            <w:r w:rsidRPr="00FE3A13">
              <w:rPr>
                <w:lang w:val="en-US"/>
              </w:rPr>
              <w:t>Etat</w:t>
            </w:r>
          </w:p>
        </w:tc>
        <w:tc>
          <w:tcPr>
            <w:tcW w:w="833" w:type="pct"/>
          </w:tcPr>
          <w:p w14:paraId="4E6A13D5"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30 000</w:t>
            </w:r>
          </w:p>
        </w:tc>
        <w:tc>
          <w:tcPr>
            <w:tcW w:w="833" w:type="pct"/>
          </w:tcPr>
          <w:p w14:paraId="5687A686"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60 000</w:t>
            </w:r>
          </w:p>
        </w:tc>
        <w:tc>
          <w:tcPr>
            <w:tcW w:w="833" w:type="pct"/>
          </w:tcPr>
          <w:p w14:paraId="2D0C3BD9"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60 000</w:t>
            </w:r>
          </w:p>
        </w:tc>
        <w:tc>
          <w:tcPr>
            <w:tcW w:w="833" w:type="pct"/>
          </w:tcPr>
          <w:p w14:paraId="4960AD27"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150 000</w:t>
            </w:r>
          </w:p>
        </w:tc>
      </w:tr>
      <w:tr w:rsidR="005E113B" w:rsidRPr="00FE3A13" w14:paraId="5FC5F7E3"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6A2805F" w14:textId="77777777" w:rsidR="005E113B" w:rsidRPr="00FE3A13" w:rsidRDefault="005E113B" w:rsidP="00D43EDA">
            <w:pPr>
              <w:pStyle w:val="NIVtableau"/>
              <w:rPr>
                <w:b w:val="0"/>
                <w:lang w:val="en-US"/>
              </w:rPr>
            </w:pPr>
            <w:r w:rsidRPr="00FE3A13">
              <w:rPr>
                <w:b w:val="0"/>
                <w:lang w:val="en-US"/>
              </w:rPr>
              <w:t>Communes</w:t>
            </w:r>
          </w:p>
        </w:tc>
        <w:tc>
          <w:tcPr>
            <w:tcW w:w="833" w:type="pct"/>
          </w:tcPr>
          <w:p w14:paraId="6323A7F5"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9EF4DF9"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C8F3FD9"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E911B02"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8C3A957" w14:textId="0967B8C6" w:rsidR="005E113B" w:rsidRPr="00FE3A13" w:rsidRDefault="005E113B" w:rsidP="005E113B">
      <w:pPr>
        <w:pStyle w:val="Corpsdetexte"/>
      </w:pPr>
      <w:r w:rsidRPr="00FE3A13">
        <w:rPr>
          <w:b/>
          <w:bCs/>
        </w:rPr>
        <w:t>&gt;</w:t>
      </w:r>
      <w:r w:rsidRPr="00FE3A13">
        <w:rPr>
          <w:b/>
          <w:bCs/>
        </w:rPr>
        <w:tab/>
        <w:t xml:space="preserve">Augmentation des frais d’écolage pour le secondaire </w:t>
      </w:r>
      <w:r w:rsidR="00971C18" w:rsidRPr="00FE3A13">
        <w:rPr>
          <w:b/>
          <w:bCs/>
        </w:rPr>
        <w:t>2</w:t>
      </w:r>
    </w:p>
    <w:p w14:paraId="15443B56" w14:textId="3A8B1C2F" w:rsidR="005E113B" w:rsidRPr="00FE3A13" w:rsidRDefault="005E113B" w:rsidP="00A130B3">
      <w:pPr>
        <w:pStyle w:val="Corpsdetexte"/>
      </w:pPr>
      <w:r w:rsidRPr="00FE3A13">
        <w:t xml:space="preserve">La mesure vise à adapter les frais d’écolage du secondaire </w:t>
      </w:r>
      <w:r w:rsidR="00971C18" w:rsidRPr="00FE3A13">
        <w:t>2</w:t>
      </w:r>
      <w:r w:rsidRPr="00FE3A13">
        <w:t>. La législation permet une adaptation de ces frais à l’indice des prix à la consommation, sous réserve qu’il dépasse le seuil des 5% depuis la dernière indexation. Actuellement l’IPC a évolué de 6.3% entre janvier 2014 et décembre 2024. Les frais d’écolage évolueront de 375 francs à 400 francs pour les élèves fribourgeois.</w:t>
      </w:r>
    </w:p>
    <w:tbl>
      <w:tblPr>
        <w:tblStyle w:val="TableauEtatFR"/>
        <w:tblW w:w="5000" w:type="pct"/>
        <w:tblLook w:val="04E0" w:firstRow="1" w:lastRow="1" w:firstColumn="1" w:lastColumn="0" w:noHBand="0" w:noVBand="1"/>
      </w:tblPr>
      <w:tblGrid>
        <w:gridCol w:w="3312"/>
        <w:gridCol w:w="1653"/>
        <w:gridCol w:w="1653"/>
        <w:gridCol w:w="1653"/>
        <w:gridCol w:w="1649"/>
      </w:tblGrid>
      <w:tr w:rsidR="005E113B" w:rsidRPr="00FE3A13" w14:paraId="18FE00C2"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5A505B7" w14:textId="77777777" w:rsidR="005E113B" w:rsidRPr="00FE3A13" w:rsidRDefault="005E113B" w:rsidP="00D43EDA">
            <w:pPr>
              <w:pStyle w:val="NIVtableau"/>
              <w:rPr>
                <w:color w:val="auto"/>
                <w:sz w:val="21"/>
                <w:lang w:val="fr-FR"/>
              </w:rPr>
            </w:pPr>
            <w:r w:rsidRPr="00FE3A13">
              <w:rPr>
                <w:lang w:val="fr-FR"/>
              </w:rPr>
              <w:t>Incidences financières en francs</w:t>
            </w:r>
          </w:p>
        </w:tc>
        <w:tc>
          <w:tcPr>
            <w:tcW w:w="833" w:type="pct"/>
          </w:tcPr>
          <w:p w14:paraId="56D93584"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5E6E27E"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58BD7EF"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0E7D5B3"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5E113B" w:rsidRPr="00FE3A13" w14:paraId="010D67E6"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36FC5F3" w14:textId="77777777" w:rsidR="005E113B" w:rsidRPr="00FE3A13" w:rsidRDefault="005E113B" w:rsidP="00D43EDA">
            <w:pPr>
              <w:pStyle w:val="NIVtableau"/>
              <w:rPr>
                <w:lang w:val="en-US"/>
              </w:rPr>
            </w:pPr>
            <w:r w:rsidRPr="00FE3A13">
              <w:rPr>
                <w:lang w:val="en-US"/>
              </w:rPr>
              <w:t>Etat</w:t>
            </w:r>
          </w:p>
        </w:tc>
        <w:tc>
          <w:tcPr>
            <w:tcW w:w="833" w:type="pct"/>
          </w:tcPr>
          <w:p w14:paraId="5209F350"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124 000</w:t>
            </w:r>
          </w:p>
        </w:tc>
        <w:tc>
          <w:tcPr>
            <w:tcW w:w="833" w:type="pct"/>
          </w:tcPr>
          <w:p w14:paraId="62C81D73"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124 000</w:t>
            </w:r>
          </w:p>
        </w:tc>
        <w:tc>
          <w:tcPr>
            <w:tcW w:w="833" w:type="pct"/>
          </w:tcPr>
          <w:p w14:paraId="321EB95E"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124 000</w:t>
            </w:r>
          </w:p>
        </w:tc>
        <w:tc>
          <w:tcPr>
            <w:tcW w:w="833" w:type="pct"/>
          </w:tcPr>
          <w:p w14:paraId="5FBA16E6"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372 000</w:t>
            </w:r>
          </w:p>
        </w:tc>
      </w:tr>
      <w:tr w:rsidR="005E113B" w:rsidRPr="00FE3A13" w14:paraId="05848AD9"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A579D12" w14:textId="77777777" w:rsidR="005E113B" w:rsidRPr="00FE3A13" w:rsidRDefault="005E113B" w:rsidP="00D43EDA">
            <w:pPr>
              <w:pStyle w:val="NIVtableau"/>
              <w:rPr>
                <w:b w:val="0"/>
                <w:lang w:val="en-US"/>
              </w:rPr>
            </w:pPr>
            <w:r w:rsidRPr="00FE3A13">
              <w:rPr>
                <w:b w:val="0"/>
                <w:lang w:val="en-US"/>
              </w:rPr>
              <w:t>Communes</w:t>
            </w:r>
          </w:p>
        </w:tc>
        <w:tc>
          <w:tcPr>
            <w:tcW w:w="833" w:type="pct"/>
          </w:tcPr>
          <w:p w14:paraId="0E31B66D"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4302E6B"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77188E6"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99DCB15"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8CF4C5F" w14:textId="70D4DB3C" w:rsidR="005E113B" w:rsidRPr="00FE3A13" w:rsidRDefault="005E113B" w:rsidP="005E113B">
      <w:pPr>
        <w:pStyle w:val="Corpsdetexte"/>
        <w:rPr>
          <w:b/>
          <w:bCs/>
        </w:rPr>
      </w:pPr>
      <w:r w:rsidRPr="00FE3A13">
        <w:rPr>
          <w:b/>
          <w:bCs/>
        </w:rPr>
        <w:t>&gt;</w:t>
      </w:r>
      <w:r w:rsidRPr="00FE3A13">
        <w:rPr>
          <w:b/>
          <w:bCs/>
        </w:rPr>
        <w:tab/>
        <w:t xml:space="preserve">Augmentation des taxes d’examen final pour les écoles du secondaire </w:t>
      </w:r>
      <w:r w:rsidR="00971C18" w:rsidRPr="00FE3A13">
        <w:rPr>
          <w:b/>
          <w:bCs/>
        </w:rPr>
        <w:t>2</w:t>
      </w:r>
    </w:p>
    <w:p w14:paraId="53B1B26D" w14:textId="75C8AB46" w:rsidR="005E113B" w:rsidRPr="00FE3A13" w:rsidRDefault="005E113B" w:rsidP="005E113B">
      <w:pPr>
        <w:pStyle w:val="Corpsdetexte"/>
      </w:pPr>
      <w:r w:rsidRPr="00FE3A13">
        <w:t>La mesure implique une adaptation des taxes d’examen final pour les écoles du secondaire</w:t>
      </w:r>
      <w:r w:rsidR="00971C18" w:rsidRPr="00FE3A13">
        <w:t xml:space="preserve"> 2</w:t>
      </w:r>
      <w:r w:rsidRPr="00FE3A13">
        <w:t>. La législation permet une adaptation de ces taxes à l’indice des prix à la consommation, sous réserve qu’il dépasse le seuil des 10% depuis la dernière indexation. L’IPC a évolué de 11.3% depuis la dernière indexation soit entre septembre 2004 et décembre 2024. Les taxes évolueront de 250 francs à 280 francs pour les élèves fréquentant des écoles fribourgeoises.</w:t>
      </w:r>
    </w:p>
    <w:tbl>
      <w:tblPr>
        <w:tblStyle w:val="TableauEtatFR"/>
        <w:tblW w:w="5000" w:type="pct"/>
        <w:tblLook w:val="04E0" w:firstRow="1" w:lastRow="1" w:firstColumn="1" w:lastColumn="0" w:noHBand="0" w:noVBand="1"/>
      </w:tblPr>
      <w:tblGrid>
        <w:gridCol w:w="3312"/>
        <w:gridCol w:w="1653"/>
        <w:gridCol w:w="1653"/>
        <w:gridCol w:w="1653"/>
        <w:gridCol w:w="1649"/>
      </w:tblGrid>
      <w:tr w:rsidR="005E113B" w:rsidRPr="00FE3A13" w14:paraId="0333BD15"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316D83C" w14:textId="77777777" w:rsidR="005E113B" w:rsidRPr="00FE3A13" w:rsidRDefault="005E113B" w:rsidP="00D43EDA">
            <w:pPr>
              <w:pStyle w:val="NIVtableau"/>
              <w:rPr>
                <w:color w:val="auto"/>
                <w:sz w:val="21"/>
                <w:lang w:val="fr-FR"/>
              </w:rPr>
            </w:pPr>
            <w:r w:rsidRPr="00FE3A13">
              <w:rPr>
                <w:lang w:val="fr-FR"/>
              </w:rPr>
              <w:t>Incidences financières en francs</w:t>
            </w:r>
          </w:p>
        </w:tc>
        <w:tc>
          <w:tcPr>
            <w:tcW w:w="833" w:type="pct"/>
          </w:tcPr>
          <w:p w14:paraId="7E72716D"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7765791"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209F79E"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36D4D1A" w14:textId="77777777" w:rsidR="005E113B" w:rsidRPr="00FE3A13" w:rsidRDefault="005E113B"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5E113B" w:rsidRPr="00FE3A13" w14:paraId="25424F41"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2E991E9" w14:textId="77777777" w:rsidR="005E113B" w:rsidRPr="00FE3A13" w:rsidRDefault="005E113B" w:rsidP="00D43EDA">
            <w:pPr>
              <w:pStyle w:val="NIVtableau"/>
              <w:rPr>
                <w:lang w:val="en-US"/>
              </w:rPr>
            </w:pPr>
            <w:r w:rsidRPr="00FE3A13">
              <w:rPr>
                <w:lang w:val="en-US"/>
              </w:rPr>
              <w:t>Etat</w:t>
            </w:r>
          </w:p>
        </w:tc>
        <w:tc>
          <w:tcPr>
            <w:tcW w:w="833" w:type="pct"/>
          </w:tcPr>
          <w:p w14:paraId="058F9C33"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46 000</w:t>
            </w:r>
          </w:p>
        </w:tc>
        <w:tc>
          <w:tcPr>
            <w:tcW w:w="833" w:type="pct"/>
          </w:tcPr>
          <w:p w14:paraId="71680101"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46 000</w:t>
            </w:r>
          </w:p>
        </w:tc>
        <w:tc>
          <w:tcPr>
            <w:tcW w:w="833" w:type="pct"/>
          </w:tcPr>
          <w:p w14:paraId="3DFB7135"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46 000</w:t>
            </w:r>
          </w:p>
        </w:tc>
        <w:tc>
          <w:tcPr>
            <w:tcW w:w="833" w:type="pct"/>
          </w:tcPr>
          <w:p w14:paraId="7232E32E" w14:textId="77777777" w:rsidR="005E113B" w:rsidRPr="00FE3A13" w:rsidRDefault="005E113B"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138 000</w:t>
            </w:r>
          </w:p>
        </w:tc>
      </w:tr>
      <w:tr w:rsidR="005E113B" w:rsidRPr="00FE3A13" w14:paraId="3786D81B"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BE727AF" w14:textId="77777777" w:rsidR="005E113B" w:rsidRPr="00FE3A13" w:rsidRDefault="005E113B" w:rsidP="00D43EDA">
            <w:pPr>
              <w:pStyle w:val="NIVtableau"/>
              <w:rPr>
                <w:b w:val="0"/>
                <w:lang w:val="en-US"/>
              </w:rPr>
            </w:pPr>
            <w:r w:rsidRPr="00FE3A13">
              <w:rPr>
                <w:b w:val="0"/>
                <w:lang w:val="en-US"/>
              </w:rPr>
              <w:t>Communes</w:t>
            </w:r>
          </w:p>
        </w:tc>
        <w:tc>
          <w:tcPr>
            <w:tcW w:w="833" w:type="pct"/>
          </w:tcPr>
          <w:p w14:paraId="6DEA51D1"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151B8D5"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72CB199"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8A61BD7" w14:textId="77777777" w:rsidR="005E113B" w:rsidRPr="00FE3A13" w:rsidRDefault="005E113B"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62AE8986" w14:textId="7D2DBC79" w:rsidR="000B3746" w:rsidRPr="00FE3A13" w:rsidRDefault="00327F71" w:rsidP="00B84E83">
      <w:pPr>
        <w:pStyle w:val="Corpsdetexte"/>
      </w:pPr>
      <w:r w:rsidRPr="00FE3A13">
        <w:rPr>
          <w:b/>
          <w:bCs/>
        </w:rPr>
        <w:t>&gt;</w:t>
      </w:r>
      <w:r w:rsidRPr="00FE3A13">
        <w:rPr>
          <w:b/>
          <w:bCs/>
        </w:rPr>
        <w:tab/>
        <w:t xml:space="preserve">Adaptation des tarifs </w:t>
      </w:r>
      <w:r w:rsidR="00971C18" w:rsidRPr="00FE3A13">
        <w:rPr>
          <w:b/>
          <w:bCs/>
        </w:rPr>
        <w:t>des</w:t>
      </w:r>
      <w:r w:rsidRPr="00FE3A13">
        <w:rPr>
          <w:b/>
          <w:bCs/>
        </w:rPr>
        <w:t xml:space="preserve"> prestation</w:t>
      </w:r>
      <w:r w:rsidR="00971C18" w:rsidRPr="00FE3A13">
        <w:rPr>
          <w:b/>
          <w:bCs/>
        </w:rPr>
        <w:t>s de</w:t>
      </w:r>
      <w:r w:rsidRPr="00FE3A13">
        <w:rPr>
          <w:b/>
          <w:bCs/>
        </w:rPr>
        <w:t xml:space="preserve"> comptabilité de Grangeneuve</w:t>
      </w:r>
    </w:p>
    <w:p w14:paraId="61BD84D7" w14:textId="48491216" w:rsidR="000B3746" w:rsidRPr="00FE3A13" w:rsidRDefault="00556761" w:rsidP="00A130B3">
      <w:pPr>
        <w:pStyle w:val="Corpsdetexte"/>
      </w:pPr>
      <w:r w:rsidRPr="00FE3A13">
        <w:t>La mesure propose de revoir les tarifs de</w:t>
      </w:r>
      <w:r w:rsidR="00272173" w:rsidRPr="00FE3A13">
        <w:t>s</w:t>
      </w:r>
      <w:r w:rsidRPr="00FE3A13">
        <w:t xml:space="preserve"> prestation</w:t>
      </w:r>
      <w:r w:rsidR="00272173" w:rsidRPr="00FE3A13">
        <w:t>s</w:t>
      </w:r>
      <w:r w:rsidRPr="00FE3A13">
        <w:t xml:space="preserve"> de comptabilité fournie</w:t>
      </w:r>
      <w:r w:rsidR="00272173" w:rsidRPr="00FE3A13">
        <w:t>s</w:t>
      </w:r>
      <w:r w:rsidRPr="00FE3A13">
        <w:t xml:space="preserve"> par Grangeneuve. Ces prestations de comptabilité sont actuellement réalisées à perte pour l'Etat. Les tarifs pratiqués par des fiduciaires privées (150.- francs) sont bien plus élevés. </w:t>
      </w:r>
      <w:r w:rsidR="00971C18" w:rsidRPr="00FE3A13">
        <w:t>L</w:t>
      </w:r>
      <w:r w:rsidRPr="00FE3A13">
        <w:t>es prix pratiqués par Grangeneuve évolueront de 105 francs à 130 francs.</w:t>
      </w:r>
    </w:p>
    <w:tbl>
      <w:tblPr>
        <w:tblStyle w:val="TableauEtatFR"/>
        <w:tblW w:w="5000" w:type="pct"/>
        <w:tblLook w:val="04E0" w:firstRow="1" w:lastRow="1" w:firstColumn="1" w:lastColumn="0" w:noHBand="0" w:noVBand="1"/>
      </w:tblPr>
      <w:tblGrid>
        <w:gridCol w:w="3312"/>
        <w:gridCol w:w="1653"/>
        <w:gridCol w:w="1653"/>
        <w:gridCol w:w="1653"/>
        <w:gridCol w:w="1649"/>
      </w:tblGrid>
      <w:tr w:rsidR="00556761" w:rsidRPr="00FE3A13" w14:paraId="25FDADFF"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AAF7900" w14:textId="77777777" w:rsidR="00556761" w:rsidRPr="00FE3A13" w:rsidRDefault="00556761" w:rsidP="00D43EDA">
            <w:pPr>
              <w:pStyle w:val="NIVtableau"/>
              <w:rPr>
                <w:color w:val="auto"/>
                <w:sz w:val="21"/>
                <w:lang w:val="fr-FR"/>
              </w:rPr>
            </w:pPr>
            <w:r w:rsidRPr="00FE3A13">
              <w:rPr>
                <w:lang w:val="fr-FR"/>
              </w:rPr>
              <w:t>Incidences financières en francs</w:t>
            </w:r>
          </w:p>
        </w:tc>
        <w:tc>
          <w:tcPr>
            <w:tcW w:w="833" w:type="pct"/>
          </w:tcPr>
          <w:p w14:paraId="68C1D654" w14:textId="77777777" w:rsidR="00556761" w:rsidRPr="00FE3A13" w:rsidRDefault="0055676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F4852D8" w14:textId="77777777" w:rsidR="00556761" w:rsidRPr="00FE3A13" w:rsidRDefault="0055676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49F0BC0" w14:textId="77777777" w:rsidR="00556761" w:rsidRPr="00FE3A13" w:rsidRDefault="0055676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4929227" w14:textId="77777777" w:rsidR="00556761" w:rsidRPr="00FE3A13" w:rsidRDefault="00556761"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556761" w:rsidRPr="00FE3A13" w14:paraId="673DA78E"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008E296" w14:textId="77777777" w:rsidR="00556761" w:rsidRPr="00FE3A13" w:rsidRDefault="00556761" w:rsidP="00D43EDA">
            <w:pPr>
              <w:pStyle w:val="NIVtableau"/>
              <w:rPr>
                <w:lang w:val="en-US"/>
              </w:rPr>
            </w:pPr>
            <w:r w:rsidRPr="00FE3A13">
              <w:rPr>
                <w:lang w:val="en-US"/>
              </w:rPr>
              <w:t>Etat</w:t>
            </w:r>
          </w:p>
        </w:tc>
        <w:tc>
          <w:tcPr>
            <w:tcW w:w="833" w:type="pct"/>
          </w:tcPr>
          <w:p w14:paraId="3FE94AE4" w14:textId="70C77A65" w:rsidR="00556761" w:rsidRPr="00FE3A13" w:rsidRDefault="000D18BE"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c>
          <w:tcPr>
            <w:tcW w:w="833" w:type="pct"/>
          </w:tcPr>
          <w:p w14:paraId="73EAE1B8" w14:textId="6D05FA69" w:rsidR="00556761" w:rsidRPr="00FE3A13" w:rsidRDefault="000D18BE"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c>
          <w:tcPr>
            <w:tcW w:w="833" w:type="pct"/>
          </w:tcPr>
          <w:p w14:paraId="14E24855" w14:textId="6CD5BA3C" w:rsidR="00556761" w:rsidRPr="00FE3A13" w:rsidRDefault="000D18BE"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c>
          <w:tcPr>
            <w:tcW w:w="833" w:type="pct"/>
          </w:tcPr>
          <w:p w14:paraId="47FD9B5A" w14:textId="1C6C2432" w:rsidR="00556761" w:rsidRPr="00FE3A13" w:rsidRDefault="000D18BE"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675</w:t>
            </w:r>
            <w:r w:rsidR="00556761" w:rsidRPr="00FE3A13">
              <w:rPr>
                <w:lang w:val="en-US"/>
              </w:rPr>
              <w:t xml:space="preserve"> 000</w:t>
            </w:r>
          </w:p>
        </w:tc>
      </w:tr>
      <w:tr w:rsidR="00556761" w:rsidRPr="00FE3A13" w14:paraId="7EB4C6CB"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351E6F3" w14:textId="77777777" w:rsidR="00556761" w:rsidRPr="00FE3A13" w:rsidRDefault="00556761" w:rsidP="00D43EDA">
            <w:pPr>
              <w:pStyle w:val="NIVtableau"/>
              <w:rPr>
                <w:b w:val="0"/>
                <w:lang w:val="en-US"/>
              </w:rPr>
            </w:pPr>
            <w:r w:rsidRPr="00FE3A13">
              <w:rPr>
                <w:b w:val="0"/>
                <w:lang w:val="en-US"/>
              </w:rPr>
              <w:t>Communes</w:t>
            </w:r>
          </w:p>
        </w:tc>
        <w:tc>
          <w:tcPr>
            <w:tcW w:w="833" w:type="pct"/>
          </w:tcPr>
          <w:p w14:paraId="3815D57D" w14:textId="756E288A" w:rsidR="00556761" w:rsidRPr="00FE3A13" w:rsidRDefault="000D18BE"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8ABF4C0" w14:textId="52E4ED5F" w:rsidR="00556761" w:rsidRPr="00FE3A13" w:rsidRDefault="000D18BE"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7D94982" w14:textId="6567FBCE" w:rsidR="00556761" w:rsidRPr="00FE3A13" w:rsidRDefault="000D18BE"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5E5DF50" w14:textId="216AF114" w:rsidR="00556761" w:rsidRPr="00FE3A13" w:rsidRDefault="000D18BE"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95228DA" w14:textId="3647AFE8" w:rsidR="00327F71" w:rsidRPr="00FE3A13" w:rsidRDefault="0023233D" w:rsidP="00B84E83">
      <w:pPr>
        <w:pStyle w:val="Corpsdetexte"/>
        <w:rPr>
          <w:b/>
          <w:bCs/>
        </w:rPr>
      </w:pPr>
      <w:r w:rsidRPr="00FE3A13">
        <w:rPr>
          <w:b/>
          <w:bCs/>
        </w:rPr>
        <w:t>&gt;</w:t>
      </w:r>
      <w:r w:rsidRPr="00FE3A13">
        <w:rPr>
          <w:b/>
          <w:bCs/>
        </w:rPr>
        <w:tab/>
        <w:t>Hausse des tarifs des permis de pêche</w:t>
      </w:r>
    </w:p>
    <w:p w14:paraId="27BF9DCE" w14:textId="52CD631D" w:rsidR="0023233D" w:rsidRPr="00FE3A13" w:rsidRDefault="0023233D" w:rsidP="0023233D">
      <w:pPr>
        <w:pStyle w:val="Corpsdetexte"/>
      </w:pPr>
      <w:r w:rsidRPr="00FE3A13">
        <w:t xml:space="preserve">La mesure sert à augmenter les tarifs liés à la pêche. Les permis journaliers standards de pêche passeront de 17 francs à 30 francs et ceux pour le grand canal et </w:t>
      </w:r>
      <w:r w:rsidR="00971C18" w:rsidRPr="00FE3A13">
        <w:t xml:space="preserve">le </w:t>
      </w:r>
      <w:r w:rsidRPr="00FE3A13">
        <w:t>canal de la Broye évolueront de 6 francs à 15 francs. Cette hausse permettra d’atteindre une augmentation de 10% de tous les émoluments perçus en lien avec la pêche.</w:t>
      </w:r>
    </w:p>
    <w:tbl>
      <w:tblPr>
        <w:tblStyle w:val="TableauEtatFR"/>
        <w:tblW w:w="5000" w:type="pct"/>
        <w:tblLook w:val="04E0" w:firstRow="1" w:lastRow="1" w:firstColumn="1" w:lastColumn="0" w:noHBand="0" w:noVBand="1"/>
      </w:tblPr>
      <w:tblGrid>
        <w:gridCol w:w="3312"/>
        <w:gridCol w:w="1653"/>
        <w:gridCol w:w="1653"/>
        <w:gridCol w:w="1653"/>
        <w:gridCol w:w="1649"/>
      </w:tblGrid>
      <w:tr w:rsidR="0023233D" w:rsidRPr="00FE3A13" w14:paraId="42B0C938"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EF2CB00" w14:textId="77777777" w:rsidR="0023233D" w:rsidRPr="00FE3A13" w:rsidRDefault="0023233D" w:rsidP="00D43EDA">
            <w:pPr>
              <w:pStyle w:val="NIVtableau"/>
              <w:rPr>
                <w:color w:val="auto"/>
                <w:sz w:val="21"/>
                <w:lang w:val="fr-FR"/>
              </w:rPr>
            </w:pPr>
            <w:r w:rsidRPr="00FE3A13">
              <w:rPr>
                <w:lang w:val="fr-FR"/>
              </w:rPr>
              <w:t>Incidences financières en francs</w:t>
            </w:r>
          </w:p>
        </w:tc>
        <w:tc>
          <w:tcPr>
            <w:tcW w:w="833" w:type="pct"/>
          </w:tcPr>
          <w:p w14:paraId="336292B3" w14:textId="77777777" w:rsidR="0023233D" w:rsidRPr="00FE3A13" w:rsidRDefault="0023233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7A2A362" w14:textId="77777777" w:rsidR="0023233D" w:rsidRPr="00FE3A13" w:rsidRDefault="0023233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562D5F1" w14:textId="77777777" w:rsidR="0023233D" w:rsidRPr="00FE3A13" w:rsidRDefault="0023233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BB67B9C" w14:textId="77777777" w:rsidR="0023233D" w:rsidRPr="00FE3A13" w:rsidRDefault="0023233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3233D" w:rsidRPr="00FE3A13" w14:paraId="583A2D5B"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3243001" w14:textId="77777777" w:rsidR="0023233D" w:rsidRPr="00FE3A13" w:rsidRDefault="0023233D" w:rsidP="00D43EDA">
            <w:pPr>
              <w:pStyle w:val="NIVtableau"/>
              <w:rPr>
                <w:lang w:val="en-US"/>
              </w:rPr>
            </w:pPr>
            <w:r w:rsidRPr="00FE3A13">
              <w:rPr>
                <w:lang w:val="en-US"/>
              </w:rPr>
              <w:t>Etat</w:t>
            </w:r>
          </w:p>
        </w:tc>
        <w:tc>
          <w:tcPr>
            <w:tcW w:w="833" w:type="pct"/>
          </w:tcPr>
          <w:p w14:paraId="6E5254DA" w14:textId="49B40A1D" w:rsidR="0023233D" w:rsidRPr="00FE3A13" w:rsidRDefault="0023233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60 800</w:t>
            </w:r>
          </w:p>
        </w:tc>
        <w:tc>
          <w:tcPr>
            <w:tcW w:w="833" w:type="pct"/>
          </w:tcPr>
          <w:p w14:paraId="678E1BC4" w14:textId="7253BA80" w:rsidR="0023233D" w:rsidRPr="00FE3A13" w:rsidRDefault="0023233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60 800</w:t>
            </w:r>
          </w:p>
        </w:tc>
        <w:tc>
          <w:tcPr>
            <w:tcW w:w="833" w:type="pct"/>
          </w:tcPr>
          <w:p w14:paraId="51CC0FAF" w14:textId="3F3101A4" w:rsidR="0023233D" w:rsidRPr="00FE3A13" w:rsidRDefault="0023233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60 800</w:t>
            </w:r>
          </w:p>
        </w:tc>
        <w:tc>
          <w:tcPr>
            <w:tcW w:w="833" w:type="pct"/>
          </w:tcPr>
          <w:p w14:paraId="1C82927B" w14:textId="66B37B33" w:rsidR="0023233D" w:rsidRPr="00FE3A13" w:rsidRDefault="0023233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182 400</w:t>
            </w:r>
          </w:p>
        </w:tc>
      </w:tr>
      <w:tr w:rsidR="0023233D" w:rsidRPr="00FE3A13" w14:paraId="5BFBAADF"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AEAF07F" w14:textId="77777777" w:rsidR="0023233D" w:rsidRPr="00FE3A13" w:rsidRDefault="0023233D" w:rsidP="00D43EDA">
            <w:pPr>
              <w:pStyle w:val="NIVtableau"/>
              <w:rPr>
                <w:b w:val="0"/>
                <w:lang w:val="en-US"/>
              </w:rPr>
            </w:pPr>
            <w:r w:rsidRPr="00FE3A13">
              <w:rPr>
                <w:b w:val="0"/>
                <w:lang w:val="en-US"/>
              </w:rPr>
              <w:t>Communes</w:t>
            </w:r>
          </w:p>
        </w:tc>
        <w:tc>
          <w:tcPr>
            <w:tcW w:w="833" w:type="pct"/>
          </w:tcPr>
          <w:p w14:paraId="32191C51" w14:textId="77777777" w:rsidR="0023233D" w:rsidRPr="00FE3A13" w:rsidRDefault="0023233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86023A6" w14:textId="77777777" w:rsidR="0023233D" w:rsidRPr="00FE3A13" w:rsidRDefault="0023233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B445112" w14:textId="77777777" w:rsidR="0023233D" w:rsidRPr="00FE3A13" w:rsidRDefault="0023233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6E72177" w14:textId="77777777" w:rsidR="0023233D" w:rsidRPr="00FE3A13" w:rsidRDefault="0023233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1E8522A" w14:textId="184F741D" w:rsidR="00BC296C" w:rsidRPr="00FE3A13" w:rsidRDefault="00BC296C" w:rsidP="00BC296C">
      <w:pPr>
        <w:pStyle w:val="Listealphabtique"/>
        <w:numPr>
          <w:ilvl w:val="0"/>
          <w:numId w:val="0"/>
        </w:numPr>
        <w:rPr>
          <w:b/>
          <w:bCs/>
        </w:rPr>
      </w:pPr>
      <w:r w:rsidRPr="00FE3A13">
        <w:rPr>
          <w:b/>
          <w:bCs/>
        </w:rPr>
        <w:lastRenderedPageBreak/>
        <w:t>&gt;</w:t>
      </w:r>
      <w:r w:rsidRPr="00FE3A13">
        <w:rPr>
          <w:b/>
          <w:bCs/>
        </w:rPr>
        <w:tab/>
        <w:t>Facturation des mandats de chef de projet aux communes pour ce qui concerne les aspects édilitaires</w:t>
      </w:r>
    </w:p>
    <w:p w14:paraId="36208900" w14:textId="78016045" w:rsidR="0023233D" w:rsidRPr="00FE3A13" w:rsidRDefault="00BC296C" w:rsidP="00BC296C">
      <w:pPr>
        <w:pStyle w:val="Corpsdetexte"/>
      </w:pPr>
      <w:r w:rsidRPr="00FE3A13">
        <w:t>Les collaborateurs du Service des ponts et chaussées effectuent parfois des prestations de « chef de projet » pour des travaux routiers sur route cantonale dont une part est édilitaire (art. 64 LMOB). La part édilitaire est à charge des communes. Ces prestations seront désormais facturées à la commune concernée au prorata de la part édilitaire</w:t>
      </w:r>
      <w:r w:rsidRPr="00FE3A13">
        <w:rPr>
          <w:sz w:val="20"/>
          <w:szCs w:val="20"/>
        </w:rPr>
        <w:t>.</w:t>
      </w:r>
    </w:p>
    <w:tbl>
      <w:tblPr>
        <w:tblStyle w:val="TableauEtatFR"/>
        <w:tblW w:w="5000" w:type="pct"/>
        <w:tblLook w:val="04E0" w:firstRow="1" w:lastRow="1" w:firstColumn="1" w:lastColumn="0" w:noHBand="0" w:noVBand="1"/>
      </w:tblPr>
      <w:tblGrid>
        <w:gridCol w:w="3312"/>
        <w:gridCol w:w="1653"/>
        <w:gridCol w:w="1653"/>
        <w:gridCol w:w="1653"/>
        <w:gridCol w:w="1649"/>
      </w:tblGrid>
      <w:tr w:rsidR="00BC296C" w:rsidRPr="00FE3A13" w14:paraId="534F8F6E"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8F48CF7" w14:textId="77777777" w:rsidR="00BC296C" w:rsidRPr="00FE3A13" w:rsidRDefault="00BC296C" w:rsidP="00D43EDA">
            <w:pPr>
              <w:pStyle w:val="NIVtableau"/>
              <w:rPr>
                <w:color w:val="auto"/>
                <w:sz w:val="21"/>
                <w:lang w:val="fr-FR"/>
              </w:rPr>
            </w:pPr>
            <w:r w:rsidRPr="00FE3A13">
              <w:rPr>
                <w:lang w:val="fr-FR"/>
              </w:rPr>
              <w:t>Incidences financières en francs</w:t>
            </w:r>
          </w:p>
        </w:tc>
        <w:tc>
          <w:tcPr>
            <w:tcW w:w="833" w:type="pct"/>
          </w:tcPr>
          <w:p w14:paraId="78D09527"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4F6E68F"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EF803A5"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BB0A8FB" w14:textId="77777777" w:rsidR="00BC296C" w:rsidRPr="00FE3A13" w:rsidRDefault="00BC296C"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BC296C" w:rsidRPr="00FE3A13" w14:paraId="76A9B1A8"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E3E5E88" w14:textId="77777777" w:rsidR="00BC296C" w:rsidRPr="00FE3A13" w:rsidRDefault="00BC296C" w:rsidP="00D43EDA">
            <w:pPr>
              <w:pStyle w:val="NIVtableau"/>
              <w:rPr>
                <w:lang w:val="en-US"/>
              </w:rPr>
            </w:pPr>
            <w:r w:rsidRPr="00FE3A13">
              <w:rPr>
                <w:lang w:val="en-US"/>
              </w:rPr>
              <w:t>Etat</w:t>
            </w:r>
          </w:p>
        </w:tc>
        <w:tc>
          <w:tcPr>
            <w:tcW w:w="833" w:type="pct"/>
          </w:tcPr>
          <w:p w14:paraId="29BD4CA4" w14:textId="0BC8031D" w:rsidR="00BC296C" w:rsidRPr="00FE3A13" w:rsidRDefault="001A239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5E32031F" w14:textId="55F54F24" w:rsidR="00BC296C" w:rsidRPr="00FE3A13" w:rsidRDefault="001A239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3FAEAA68" w14:textId="7A24B061" w:rsidR="00BC296C" w:rsidRPr="00FE3A13" w:rsidRDefault="001A239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2ACC3212" w14:textId="6C98E0F3" w:rsidR="00BC296C" w:rsidRPr="00FE3A13" w:rsidRDefault="001A239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r>
      <w:tr w:rsidR="00BC296C" w:rsidRPr="00FE3A13" w14:paraId="6F7F355B"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711610E" w14:textId="77777777" w:rsidR="00BC296C" w:rsidRPr="00FE3A13" w:rsidRDefault="00BC296C" w:rsidP="00D43EDA">
            <w:pPr>
              <w:pStyle w:val="NIVtableau"/>
              <w:rPr>
                <w:b w:val="0"/>
                <w:lang w:val="en-US"/>
              </w:rPr>
            </w:pPr>
            <w:r w:rsidRPr="00FE3A13">
              <w:rPr>
                <w:b w:val="0"/>
                <w:lang w:val="en-US"/>
              </w:rPr>
              <w:t>Communes</w:t>
            </w:r>
          </w:p>
        </w:tc>
        <w:tc>
          <w:tcPr>
            <w:tcW w:w="833" w:type="pct"/>
          </w:tcPr>
          <w:p w14:paraId="20C54D00" w14:textId="76977441" w:rsidR="00BC296C"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-200 00</w:t>
            </w:r>
            <w:r w:rsidR="00BC296C" w:rsidRPr="00FE3A13">
              <w:rPr>
                <w:b w:val="0"/>
                <w:bCs w:val="0"/>
                <w:lang w:val="en-US"/>
              </w:rPr>
              <w:t>0</w:t>
            </w:r>
          </w:p>
        </w:tc>
        <w:tc>
          <w:tcPr>
            <w:tcW w:w="833" w:type="pct"/>
          </w:tcPr>
          <w:p w14:paraId="4C27B697" w14:textId="0162116A" w:rsidR="00BC296C"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-200 000</w:t>
            </w:r>
          </w:p>
        </w:tc>
        <w:tc>
          <w:tcPr>
            <w:tcW w:w="833" w:type="pct"/>
          </w:tcPr>
          <w:p w14:paraId="2A94A489" w14:textId="0C77AF4A" w:rsidR="00BC296C"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-200 000</w:t>
            </w:r>
          </w:p>
        </w:tc>
        <w:tc>
          <w:tcPr>
            <w:tcW w:w="833" w:type="pct"/>
          </w:tcPr>
          <w:p w14:paraId="2378E1E8" w14:textId="70A8C312" w:rsidR="00BC296C" w:rsidRPr="00FE3A13" w:rsidRDefault="00DC4790"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-600 000</w:t>
            </w:r>
          </w:p>
        </w:tc>
      </w:tr>
    </w:tbl>
    <w:p w14:paraId="2D50C310" w14:textId="77777777" w:rsidR="00BC296C" w:rsidRPr="00FE3A13" w:rsidRDefault="00BC296C" w:rsidP="00B84E83">
      <w:pPr>
        <w:pStyle w:val="Corpsdetexte"/>
      </w:pPr>
    </w:p>
    <w:p w14:paraId="101213DF" w14:textId="0F69980A" w:rsidR="000B3746" w:rsidRPr="00FE3A13" w:rsidRDefault="00F53B78" w:rsidP="0007612B">
      <w:pPr>
        <w:pStyle w:val="Listealphabtique"/>
        <w:ind w:left="426" w:hanging="426"/>
        <w:rPr>
          <w:b/>
          <w:bCs/>
        </w:rPr>
      </w:pPr>
      <w:r w:rsidRPr="00FE3A13">
        <w:rPr>
          <w:b/>
          <w:bCs/>
        </w:rPr>
        <w:t>Autres revenus</w:t>
      </w:r>
    </w:p>
    <w:p w14:paraId="2090FD9F" w14:textId="0E8175D4" w:rsidR="000B3746" w:rsidRPr="00FE3A13" w:rsidRDefault="000B3746" w:rsidP="000B3746">
      <w:pPr>
        <w:pStyle w:val="Listealphabtique"/>
        <w:numPr>
          <w:ilvl w:val="0"/>
          <w:numId w:val="0"/>
        </w:numPr>
        <w:rPr>
          <w:b/>
          <w:bCs/>
        </w:rPr>
      </w:pPr>
      <w:r w:rsidRPr="00FE3A13">
        <w:rPr>
          <w:b/>
          <w:bCs/>
        </w:rPr>
        <w:t>&gt;</w:t>
      </w:r>
      <w:r w:rsidRPr="00FE3A13">
        <w:rPr>
          <w:b/>
          <w:bCs/>
        </w:rPr>
        <w:tab/>
      </w:r>
      <w:r w:rsidR="00E12A1C" w:rsidRPr="00FE3A13">
        <w:rPr>
          <w:b/>
          <w:bCs/>
        </w:rPr>
        <w:t>Augmentation de la contribution de la BCF</w:t>
      </w:r>
    </w:p>
    <w:p w14:paraId="12242BC1" w14:textId="4D152070" w:rsidR="00E12A1C" w:rsidRPr="00FE3A13" w:rsidRDefault="00CD5ED1" w:rsidP="00124A5D">
      <w:pPr>
        <w:pStyle w:val="Corpsdetexte"/>
      </w:pPr>
      <w:r w:rsidRPr="00FE3A13">
        <w:t xml:space="preserve">La mesure amène une nouvelle </w:t>
      </w:r>
      <w:r w:rsidR="00124A5D" w:rsidRPr="00FE3A13">
        <w:t xml:space="preserve">méthode de calcul de la rémunération de l’Etat </w:t>
      </w:r>
      <w:r w:rsidR="00956D5C" w:rsidRPr="00FE3A13">
        <w:t>par</w:t>
      </w:r>
      <w:r w:rsidR="00124A5D" w:rsidRPr="00FE3A13">
        <w:t xml:space="preserve"> la Banque Cantonale de Fribourg. A résultat équivalent, cette dernière versera une contribution plus importante à l’Etat qu’actuellement. La nouvelle méthode de calcul sera formalisée dans une convention.</w:t>
      </w:r>
    </w:p>
    <w:tbl>
      <w:tblPr>
        <w:tblStyle w:val="TableauEtatFR"/>
        <w:tblW w:w="5000" w:type="pct"/>
        <w:tblLook w:val="04E0" w:firstRow="1" w:lastRow="1" w:firstColumn="1" w:lastColumn="0" w:noHBand="0" w:noVBand="1"/>
      </w:tblPr>
      <w:tblGrid>
        <w:gridCol w:w="3312"/>
        <w:gridCol w:w="1653"/>
        <w:gridCol w:w="1653"/>
        <w:gridCol w:w="1653"/>
        <w:gridCol w:w="1649"/>
      </w:tblGrid>
      <w:tr w:rsidR="00124A5D" w:rsidRPr="00FE3A13" w14:paraId="47238A41"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B73C339" w14:textId="77777777" w:rsidR="00124A5D" w:rsidRPr="00FE3A13" w:rsidRDefault="00124A5D" w:rsidP="00D43EDA">
            <w:pPr>
              <w:pStyle w:val="NIVtableau"/>
              <w:rPr>
                <w:color w:val="auto"/>
                <w:sz w:val="21"/>
                <w:lang w:val="fr-FR"/>
              </w:rPr>
            </w:pPr>
            <w:r w:rsidRPr="00FE3A13">
              <w:rPr>
                <w:lang w:val="fr-FR"/>
              </w:rPr>
              <w:t>Incidences financières en francs</w:t>
            </w:r>
          </w:p>
        </w:tc>
        <w:tc>
          <w:tcPr>
            <w:tcW w:w="833" w:type="pct"/>
          </w:tcPr>
          <w:p w14:paraId="531556D2"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4B08C87"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40C19DE"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F49392E"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124A5D" w:rsidRPr="00FE3A13" w14:paraId="7DFC4FD0"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97BB2B6" w14:textId="77777777" w:rsidR="00124A5D" w:rsidRPr="00FE3A13" w:rsidRDefault="00124A5D" w:rsidP="00D43EDA">
            <w:pPr>
              <w:pStyle w:val="NIVtableau"/>
              <w:rPr>
                <w:lang w:val="en-US"/>
              </w:rPr>
            </w:pPr>
            <w:r w:rsidRPr="00FE3A13">
              <w:rPr>
                <w:lang w:val="en-US"/>
              </w:rPr>
              <w:t>Etat</w:t>
            </w:r>
          </w:p>
        </w:tc>
        <w:tc>
          <w:tcPr>
            <w:tcW w:w="833" w:type="pct"/>
          </w:tcPr>
          <w:p w14:paraId="5983B473" w14:textId="6CB5F50F"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12 000 000</w:t>
            </w:r>
          </w:p>
        </w:tc>
        <w:tc>
          <w:tcPr>
            <w:tcW w:w="833" w:type="pct"/>
          </w:tcPr>
          <w:p w14:paraId="2CAE92CB" w14:textId="11ACA105"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12 000 000</w:t>
            </w:r>
          </w:p>
        </w:tc>
        <w:tc>
          <w:tcPr>
            <w:tcW w:w="833" w:type="pct"/>
          </w:tcPr>
          <w:p w14:paraId="4042489E" w14:textId="7DDE03BA"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12 000 000</w:t>
            </w:r>
          </w:p>
        </w:tc>
        <w:tc>
          <w:tcPr>
            <w:tcW w:w="833" w:type="pct"/>
          </w:tcPr>
          <w:p w14:paraId="49E8AB31" w14:textId="116C0C2A"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36 000 000</w:t>
            </w:r>
          </w:p>
        </w:tc>
      </w:tr>
      <w:tr w:rsidR="00124A5D" w:rsidRPr="00FE3A13" w14:paraId="4CEF9DE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38ED6AC" w14:textId="77777777" w:rsidR="00124A5D" w:rsidRPr="00FE3A13" w:rsidRDefault="00124A5D" w:rsidP="00D43EDA">
            <w:pPr>
              <w:pStyle w:val="NIVtableau"/>
              <w:rPr>
                <w:b w:val="0"/>
                <w:lang w:val="en-US"/>
              </w:rPr>
            </w:pPr>
            <w:r w:rsidRPr="00FE3A13">
              <w:rPr>
                <w:b w:val="0"/>
                <w:lang w:val="en-US"/>
              </w:rPr>
              <w:t>Communes</w:t>
            </w:r>
          </w:p>
        </w:tc>
        <w:tc>
          <w:tcPr>
            <w:tcW w:w="833" w:type="pct"/>
          </w:tcPr>
          <w:p w14:paraId="29CE64EB"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E025C71"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BA1496B"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58A7D24"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C5F0331" w14:textId="12BC4B0E" w:rsidR="00124A5D" w:rsidRPr="00FE3A13" w:rsidRDefault="00124A5D" w:rsidP="00124A5D">
      <w:pPr>
        <w:pStyle w:val="Listealphabtique"/>
        <w:numPr>
          <w:ilvl w:val="0"/>
          <w:numId w:val="0"/>
        </w:numPr>
        <w:rPr>
          <w:b/>
          <w:bCs/>
        </w:rPr>
      </w:pPr>
      <w:r w:rsidRPr="00FE3A13">
        <w:rPr>
          <w:b/>
          <w:bCs/>
        </w:rPr>
        <w:t>&gt;</w:t>
      </w:r>
      <w:r w:rsidRPr="00FE3A13">
        <w:rPr>
          <w:b/>
          <w:bCs/>
        </w:rPr>
        <w:tab/>
        <w:t xml:space="preserve">Augmentation de la contribution de </w:t>
      </w:r>
      <w:r w:rsidR="00971C18" w:rsidRPr="00FE3A13">
        <w:rPr>
          <w:b/>
          <w:bCs/>
        </w:rPr>
        <w:t>l’</w:t>
      </w:r>
      <w:r w:rsidRPr="00FE3A13">
        <w:rPr>
          <w:b/>
          <w:bCs/>
        </w:rPr>
        <w:t>OCN</w:t>
      </w:r>
    </w:p>
    <w:p w14:paraId="540A27F8" w14:textId="3F103C8F" w:rsidR="00124A5D" w:rsidRPr="00FE3A13" w:rsidRDefault="00124A5D" w:rsidP="004F52A9">
      <w:r w:rsidRPr="00FE3A13">
        <w:t xml:space="preserve">La mesure introduit une augmentation de la contribution de l’Office de la circulation et de la </w:t>
      </w:r>
      <w:r w:rsidR="000221B2" w:rsidRPr="00FE3A13">
        <w:t>navigation</w:t>
      </w:r>
      <w:r w:rsidRPr="00FE3A13">
        <w:t xml:space="preserve"> du canton de Fribourg</w:t>
      </w:r>
      <w:r w:rsidR="00971C18" w:rsidRPr="00FE3A13">
        <w:t xml:space="preserve"> d</w:t>
      </w:r>
      <w:r w:rsidRPr="00FE3A13">
        <w:t xml:space="preserve">ans le cadre du mandat de prestations </w:t>
      </w:r>
      <w:r w:rsidR="00971C18" w:rsidRPr="00FE3A13">
        <w:t>qu’il a conclu avec l’</w:t>
      </w:r>
      <w:r w:rsidRPr="00FE3A13">
        <w:t xml:space="preserve">Etat de Fribourg </w:t>
      </w:r>
      <w:r w:rsidR="00971C18" w:rsidRPr="00FE3A13">
        <w:t xml:space="preserve">pour la période </w:t>
      </w:r>
      <w:r w:rsidRPr="00FE3A13">
        <w:t>2026-2030. La contribution de l’OCN ne peut pas représenter plus de 15% des émoluments encaissés.</w:t>
      </w:r>
      <w:r w:rsidR="00A115FF" w:rsidRPr="00FE3A13">
        <w:t xml:space="preserve"> Ce principe continuera à être respecté.</w:t>
      </w:r>
    </w:p>
    <w:tbl>
      <w:tblPr>
        <w:tblStyle w:val="TableauEtatFR"/>
        <w:tblW w:w="5000" w:type="pct"/>
        <w:tblLook w:val="04E0" w:firstRow="1" w:lastRow="1" w:firstColumn="1" w:lastColumn="0" w:noHBand="0" w:noVBand="1"/>
      </w:tblPr>
      <w:tblGrid>
        <w:gridCol w:w="3312"/>
        <w:gridCol w:w="1653"/>
        <w:gridCol w:w="1653"/>
        <w:gridCol w:w="1653"/>
        <w:gridCol w:w="1649"/>
      </w:tblGrid>
      <w:tr w:rsidR="00124A5D" w:rsidRPr="00FE3A13" w14:paraId="09B8FCCB"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4AC45A3" w14:textId="77777777" w:rsidR="00124A5D" w:rsidRPr="00FE3A13" w:rsidRDefault="00124A5D" w:rsidP="00D43EDA">
            <w:pPr>
              <w:pStyle w:val="NIVtableau"/>
              <w:rPr>
                <w:color w:val="auto"/>
                <w:sz w:val="21"/>
                <w:lang w:val="fr-FR"/>
              </w:rPr>
            </w:pPr>
            <w:r w:rsidRPr="00FE3A13">
              <w:rPr>
                <w:lang w:val="fr-FR"/>
              </w:rPr>
              <w:t>Incidences financières en francs</w:t>
            </w:r>
          </w:p>
        </w:tc>
        <w:tc>
          <w:tcPr>
            <w:tcW w:w="833" w:type="pct"/>
          </w:tcPr>
          <w:p w14:paraId="7FF8514F"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4542E65"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C84CBB4"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6D87B1B2" w14:textId="77777777" w:rsidR="00124A5D" w:rsidRPr="00FE3A13" w:rsidRDefault="00124A5D"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124A5D" w:rsidRPr="00FE3A13" w14:paraId="73339AC3"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8C6A66E" w14:textId="77777777" w:rsidR="00124A5D" w:rsidRPr="00FE3A13" w:rsidRDefault="00124A5D" w:rsidP="00D43EDA">
            <w:pPr>
              <w:pStyle w:val="NIVtableau"/>
              <w:rPr>
                <w:lang w:val="en-US"/>
              </w:rPr>
            </w:pPr>
            <w:r w:rsidRPr="00FE3A13">
              <w:rPr>
                <w:lang w:val="en-US"/>
              </w:rPr>
              <w:t>Etat</w:t>
            </w:r>
          </w:p>
        </w:tc>
        <w:tc>
          <w:tcPr>
            <w:tcW w:w="833" w:type="pct"/>
          </w:tcPr>
          <w:p w14:paraId="17EB83A9" w14:textId="1A434F9A" w:rsidR="00124A5D" w:rsidRPr="00FE3A13" w:rsidRDefault="009F7FE1"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w:t>
            </w:r>
            <w:r w:rsidR="00124A5D" w:rsidRPr="00FE3A13">
              <w:rPr>
                <w:lang w:val="en-US"/>
              </w:rPr>
              <w:t>00 000</w:t>
            </w:r>
          </w:p>
        </w:tc>
        <w:tc>
          <w:tcPr>
            <w:tcW w:w="833" w:type="pct"/>
          </w:tcPr>
          <w:p w14:paraId="412698A0" w14:textId="7F7670FB"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00BA0EBE" w14:textId="224E7830"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7CD42F9D" w14:textId="66116CF9" w:rsidR="00124A5D" w:rsidRPr="00FE3A13" w:rsidRDefault="00124A5D"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300 000</w:t>
            </w:r>
          </w:p>
        </w:tc>
      </w:tr>
      <w:tr w:rsidR="00124A5D" w:rsidRPr="00FE3A13" w14:paraId="0896004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DC51278" w14:textId="77777777" w:rsidR="00124A5D" w:rsidRPr="00FE3A13" w:rsidRDefault="00124A5D" w:rsidP="00D43EDA">
            <w:pPr>
              <w:pStyle w:val="NIVtableau"/>
              <w:rPr>
                <w:b w:val="0"/>
                <w:lang w:val="en-US"/>
              </w:rPr>
            </w:pPr>
            <w:r w:rsidRPr="00FE3A13">
              <w:rPr>
                <w:b w:val="0"/>
                <w:lang w:val="en-US"/>
              </w:rPr>
              <w:t>Communes</w:t>
            </w:r>
          </w:p>
        </w:tc>
        <w:tc>
          <w:tcPr>
            <w:tcW w:w="833" w:type="pct"/>
          </w:tcPr>
          <w:p w14:paraId="2C62412A"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06AAB3E"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7385233"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6B63EDA" w14:textId="77777777" w:rsidR="00124A5D" w:rsidRPr="00FE3A13" w:rsidRDefault="00124A5D"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15EDCEA" w14:textId="77777777" w:rsidR="000B3746" w:rsidRPr="00FE3A13" w:rsidRDefault="000B3746" w:rsidP="00B84E83">
      <w:pPr>
        <w:pStyle w:val="Corpsdetexte"/>
      </w:pPr>
    </w:p>
    <w:p w14:paraId="3B1DB1FA" w14:textId="796DEC68" w:rsidR="009877D1" w:rsidRPr="00FE3A13" w:rsidRDefault="009877D1" w:rsidP="009877D1">
      <w:pPr>
        <w:pStyle w:val="Titre3"/>
      </w:pPr>
      <w:bookmarkStart w:id="28" w:name="_Toc195714689"/>
      <w:r w:rsidRPr="00FE3A13">
        <w:t>Personnel</w:t>
      </w:r>
      <w:bookmarkEnd w:id="28"/>
    </w:p>
    <w:p w14:paraId="53CBBFDF" w14:textId="4ECAA61F" w:rsidR="00B84E83" w:rsidRPr="00FE3A13" w:rsidRDefault="00DE13DA" w:rsidP="00B84E83">
      <w:bookmarkStart w:id="29" w:name="_Hlk195101206"/>
      <w:r>
        <w:t>Le</w:t>
      </w:r>
      <w:r w:rsidR="00B935E6">
        <w:t xml:space="preserve"> </w:t>
      </w:r>
      <w:r>
        <w:t>personnel de l’Etat représente, avec une masse salariale de plus de 1,5 milliard de francs, près de 35 % des charges aux comptes 2024. Fort de ce constat,</w:t>
      </w:r>
      <w:r w:rsidR="00B935E6">
        <w:t xml:space="preserve"> il apparaît inéluctable qu’il soit touché par le PAFE.</w:t>
      </w:r>
      <w:r>
        <w:t xml:space="preserve"> </w:t>
      </w:r>
      <w:r w:rsidR="00B935E6">
        <w:t>L</w:t>
      </w:r>
      <w:r>
        <w:t>es mesures proposées</w:t>
      </w:r>
      <w:r w:rsidR="00B935E6">
        <w:t>, décrite</w:t>
      </w:r>
      <w:r w:rsidR="00873F3A">
        <w:t>s</w:t>
      </w:r>
      <w:r w:rsidR="00B935E6">
        <w:t xml:space="preserve"> ci-dessous, </w:t>
      </w:r>
      <w:r>
        <w:t>visent principalement à contenir ponctuellement la hausse des charges en personnel. Compte tenu de la symétrie des sacrifices, les collaborateurs et collaboratrices de l’Etat ont également à contribuer au PAFE. Conscient de la qualité des prestations fournies et de la charge de travail croissante, le Conseil d’Etat a veillé à ce que les conditions de travail soient, tant que faire se peut, maintenues.</w:t>
      </w:r>
      <w:bookmarkEnd w:id="29"/>
    </w:p>
    <w:tbl>
      <w:tblPr>
        <w:tblStyle w:val="TableauEtatFR"/>
        <w:tblW w:w="9923" w:type="dxa"/>
        <w:tblLayout w:type="fixed"/>
        <w:tblLook w:val="04E0" w:firstRow="1" w:lastRow="1" w:firstColumn="1" w:lastColumn="0" w:noHBand="0" w:noVBand="1"/>
      </w:tblPr>
      <w:tblGrid>
        <w:gridCol w:w="9923"/>
      </w:tblGrid>
      <w:tr w:rsidR="0001197E" w:rsidRPr="00FE3A13" w14:paraId="3A0230EA" w14:textId="77777777" w:rsidTr="00A96E0A">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9923" w:type="dxa"/>
          </w:tcPr>
          <w:p w14:paraId="642D5426" w14:textId="6D972FA5" w:rsidR="0001197E" w:rsidRPr="00FE3A13" w:rsidRDefault="00CB35B5" w:rsidP="00A96E0A">
            <w:pPr>
              <w:pStyle w:val="NIVtableau"/>
              <w:rPr>
                <w:b w:val="0"/>
                <w:color w:val="auto"/>
                <w:sz w:val="21"/>
                <w:lang w:val="fr-FR"/>
              </w:rPr>
            </w:pPr>
            <w:r w:rsidRPr="00FE3A13">
              <w:t>Liste des</w:t>
            </w:r>
            <w:r w:rsidR="0001197E" w:rsidRPr="00FE3A13">
              <w:rPr>
                <w:lang w:val="fr-FR"/>
              </w:rPr>
              <w:t xml:space="preserve"> mesures de la compétence du Conseil d’Etat applicables dès 2026 en matière de </w:t>
            </w:r>
            <w:r w:rsidR="00121680" w:rsidRPr="00FE3A13">
              <w:rPr>
                <w:lang w:val="fr-FR"/>
              </w:rPr>
              <w:t>personnel</w:t>
            </w:r>
          </w:p>
        </w:tc>
      </w:tr>
      <w:tr w:rsidR="0001197E" w:rsidRPr="00FE3A13" w14:paraId="0E3A4DE2" w14:textId="77777777" w:rsidTr="00A96E0A">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9923" w:type="dxa"/>
          </w:tcPr>
          <w:p w14:paraId="011B4532" w14:textId="0E5384A1" w:rsidR="0001197E" w:rsidRPr="00FE3A13" w:rsidRDefault="0001197E" w:rsidP="00A96E0A">
            <w:pPr>
              <w:pStyle w:val="NIVtableau"/>
              <w:spacing w:before="100" w:after="100" w:line="280" w:lineRule="atLeast"/>
            </w:pPr>
            <w:r w:rsidRPr="00FE3A13">
              <w:rPr>
                <w:b/>
                <w:bCs w:val="0"/>
              </w:rPr>
              <w:t xml:space="preserve">a) </w:t>
            </w:r>
            <w:r w:rsidR="00121680" w:rsidRPr="00FE3A13">
              <w:rPr>
                <w:b/>
                <w:bCs w:val="0"/>
              </w:rPr>
              <w:t>Mesure nécessaire pour respecter le plan financier</w:t>
            </w:r>
            <w:r w:rsidRPr="00FE3A13">
              <w:br/>
              <w:t xml:space="preserve">- </w:t>
            </w:r>
            <w:r w:rsidR="00121680" w:rsidRPr="00FE3A13">
              <w:t>Geler les diverses indemnités versées aux employés</w:t>
            </w:r>
          </w:p>
        </w:tc>
      </w:tr>
      <w:tr w:rsidR="0001197E" w:rsidRPr="00FE3A13" w14:paraId="0E640ABE" w14:textId="77777777" w:rsidTr="00A96E0A">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23" w:type="dxa"/>
          </w:tcPr>
          <w:p w14:paraId="6DCA8BDA" w14:textId="3A454344" w:rsidR="00121680" w:rsidRPr="00FE3A13" w:rsidRDefault="0001197E" w:rsidP="00A96E0A">
            <w:pPr>
              <w:pStyle w:val="NIVtableau"/>
              <w:spacing w:before="100" w:after="100" w:line="280" w:lineRule="atLeast"/>
              <w:rPr>
                <w:b w:val="0"/>
              </w:rPr>
            </w:pPr>
            <w:r w:rsidRPr="00FE3A13">
              <w:t>b)</w:t>
            </w:r>
            <w:r w:rsidRPr="00FE3A13">
              <w:rPr>
                <w:b w:val="0"/>
                <w:bCs w:val="0"/>
              </w:rPr>
              <w:t xml:space="preserve"> </w:t>
            </w:r>
            <w:r w:rsidR="00121680" w:rsidRPr="00FE3A13">
              <w:rPr>
                <w:bCs w:val="0"/>
              </w:rPr>
              <w:t>Mesures du PAFE</w:t>
            </w:r>
            <w:r w:rsidRPr="00FE3A13">
              <w:rPr>
                <w:b w:val="0"/>
                <w:bCs w:val="0"/>
              </w:rPr>
              <w:br/>
              <w:t xml:space="preserve">- </w:t>
            </w:r>
            <w:r w:rsidR="00121680" w:rsidRPr="00FE3A13">
              <w:rPr>
                <w:b w:val="0"/>
                <w:bCs w:val="0"/>
              </w:rPr>
              <w:t>Paiement de l'intégralité du 13ème salaire en fin d'année</w:t>
            </w:r>
            <w:r w:rsidR="00121680" w:rsidRPr="00FE3A13">
              <w:br/>
            </w:r>
            <w:r w:rsidR="00121680" w:rsidRPr="00FE3A13">
              <w:rPr>
                <w:b w:val="0"/>
                <w:bCs w:val="0"/>
              </w:rPr>
              <w:t>- Renoncement aux mesures pénibilité</w:t>
            </w:r>
            <w:r w:rsidR="00121680" w:rsidRPr="00FE3A13">
              <w:rPr>
                <w:b w:val="0"/>
                <w:bCs w:val="0"/>
              </w:rPr>
              <w:br/>
            </w:r>
            <w:r w:rsidR="00121680" w:rsidRPr="00FE3A13">
              <w:rPr>
                <w:b w:val="0"/>
                <w:bCs w:val="0"/>
              </w:rPr>
              <w:lastRenderedPageBreak/>
              <w:t>- Renoncement aux primes de reconnaissance en faveur du personnel</w:t>
            </w:r>
            <w:r w:rsidR="00121680" w:rsidRPr="00FE3A13">
              <w:rPr>
                <w:b w:val="0"/>
                <w:bCs w:val="0"/>
              </w:rPr>
              <w:br/>
              <w:t>- Moratoire sur la réévaluation des fonctions du personnel (requêtes et demandes des Directions)</w:t>
            </w:r>
          </w:p>
        </w:tc>
      </w:tr>
    </w:tbl>
    <w:p w14:paraId="55527460" w14:textId="0D16D627" w:rsidR="000B1C76" w:rsidRPr="00FE3A13" w:rsidRDefault="00D350C8" w:rsidP="000B1C76">
      <w:pPr>
        <w:pStyle w:val="Listealphabtique"/>
        <w:numPr>
          <w:ilvl w:val="0"/>
          <w:numId w:val="27"/>
        </w:numPr>
        <w:ind w:left="426" w:hanging="426"/>
        <w:rPr>
          <w:b/>
          <w:bCs/>
        </w:rPr>
      </w:pPr>
      <w:r w:rsidRPr="00FE3A13">
        <w:rPr>
          <w:b/>
          <w:bCs/>
        </w:rPr>
        <w:lastRenderedPageBreak/>
        <w:t>Mesure n</w:t>
      </w:r>
      <w:r w:rsidR="000B1C76" w:rsidRPr="00FE3A13">
        <w:rPr>
          <w:b/>
          <w:bCs/>
        </w:rPr>
        <w:t xml:space="preserve">écessaire pour </w:t>
      </w:r>
      <w:r w:rsidR="00121680" w:rsidRPr="00FE3A13">
        <w:rPr>
          <w:b/>
          <w:bCs/>
        </w:rPr>
        <w:t>respecter</w:t>
      </w:r>
      <w:r w:rsidR="000B1C76" w:rsidRPr="00FE3A13">
        <w:rPr>
          <w:b/>
          <w:bCs/>
        </w:rPr>
        <w:t xml:space="preserve"> le plan financier</w:t>
      </w:r>
    </w:p>
    <w:p w14:paraId="20ED1082" w14:textId="77777777" w:rsidR="000B1C76" w:rsidRPr="00FE3A13" w:rsidRDefault="000B1C76" w:rsidP="000B1C76">
      <w:pPr>
        <w:pStyle w:val="Listealphabtique"/>
        <w:numPr>
          <w:ilvl w:val="0"/>
          <w:numId w:val="0"/>
        </w:numPr>
        <w:rPr>
          <w:b/>
          <w:bCs/>
        </w:rPr>
      </w:pPr>
      <w:r w:rsidRPr="00FE3A13">
        <w:rPr>
          <w:b/>
          <w:bCs/>
        </w:rPr>
        <w:t>&gt;</w:t>
      </w:r>
      <w:r w:rsidRPr="00FE3A13">
        <w:rPr>
          <w:b/>
          <w:bCs/>
        </w:rPr>
        <w:tab/>
        <w:t>Geler les diverses indemnités versées aux employés</w:t>
      </w:r>
    </w:p>
    <w:p w14:paraId="419F10D6" w14:textId="1A2A38AB" w:rsidR="000B1C76" w:rsidRPr="00FE3A13" w:rsidRDefault="000B1C76" w:rsidP="000B1C76">
      <w:r w:rsidRPr="00FE3A13">
        <w:t>La mesure propose de geler l’augmentation des indemnités versées aux employés sur la période 2026-2028. La mesure implique qu’aucune augmentation des indemnités (travail de nuit, repas, etc.) n</w:t>
      </w:r>
      <w:r w:rsidR="00956D5C" w:rsidRPr="00FE3A13">
        <w:t>e sera</w:t>
      </w:r>
      <w:r w:rsidRPr="00FE3A13">
        <w:t xml:space="preserve"> possible jusqu’à la fin de l’année 2028. Cette mesure n’améliore toutefois pas la situation financière par rapport au plan financier qui ne prévoyait pas d’augmentation de dépense pour cette prestation. De plus, il n’est pas possible d’articuler un montant pour cette mesure.</w:t>
      </w:r>
    </w:p>
    <w:tbl>
      <w:tblPr>
        <w:tblStyle w:val="TableauEtatFR"/>
        <w:tblW w:w="5000" w:type="pct"/>
        <w:tblLook w:val="04E0" w:firstRow="1" w:lastRow="1" w:firstColumn="1" w:lastColumn="0" w:noHBand="0" w:noVBand="1"/>
      </w:tblPr>
      <w:tblGrid>
        <w:gridCol w:w="3312"/>
        <w:gridCol w:w="1653"/>
        <w:gridCol w:w="1653"/>
        <w:gridCol w:w="1653"/>
        <w:gridCol w:w="1649"/>
      </w:tblGrid>
      <w:tr w:rsidR="000B1C76" w:rsidRPr="00FE3A13" w14:paraId="606DCD34"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E55B1C5" w14:textId="77777777" w:rsidR="000B1C76" w:rsidRPr="00FE3A13" w:rsidRDefault="000B1C76" w:rsidP="00C270FC">
            <w:pPr>
              <w:pStyle w:val="NIVtableau"/>
              <w:rPr>
                <w:color w:val="auto"/>
                <w:sz w:val="21"/>
                <w:lang w:val="fr-FR"/>
              </w:rPr>
            </w:pPr>
            <w:r w:rsidRPr="00FE3A13">
              <w:rPr>
                <w:lang w:val="fr-FR"/>
              </w:rPr>
              <w:t>Incidences financières en francs</w:t>
            </w:r>
          </w:p>
        </w:tc>
        <w:tc>
          <w:tcPr>
            <w:tcW w:w="833" w:type="pct"/>
          </w:tcPr>
          <w:p w14:paraId="089185BF" w14:textId="77777777" w:rsidR="000B1C76" w:rsidRPr="00FE3A13" w:rsidRDefault="000B1C7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1C4A62F" w14:textId="77777777" w:rsidR="000B1C76" w:rsidRPr="00FE3A13" w:rsidRDefault="000B1C7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02842F4" w14:textId="77777777" w:rsidR="000B1C76" w:rsidRPr="00FE3A13" w:rsidRDefault="000B1C7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39D3102" w14:textId="77777777" w:rsidR="000B1C76" w:rsidRPr="00FE3A13" w:rsidRDefault="000B1C7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0B1C76" w:rsidRPr="00FE3A13" w14:paraId="2948D091"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F6623F2" w14:textId="77777777" w:rsidR="000B1C76" w:rsidRPr="00FE3A13" w:rsidRDefault="000B1C76" w:rsidP="00C270FC">
            <w:pPr>
              <w:pStyle w:val="NIVtableau"/>
              <w:rPr>
                <w:lang w:val="en-US"/>
              </w:rPr>
            </w:pPr>
            <w:r w:rsidRPr="00FE3A13">
              <w:rPr>
                <w:lang w:val="en-US"/>
              </w:rPr>
              <w:t>Etat</w:t>
            </w:r>
          </w:p>
        </w:tc>
        <w:tc>
          <w:tcPr>
            <w:tcW w:w="833" w:type="pct"/>
          </w:tcPr>
          <w:p w14:paraId="3C7DF5DF" w14:textId="77777777" w:rsidR="000B1C76" w:rsidRPr="00FE3A13" w:rsidRDefault="000B1C7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74E48B3" w14:textId="77777777" w:rsidR="000B1C76" w:rsidRPr="00FE3A13" w:rsidRDefault="000B1C7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2147C8F4" w14:textId="77777777" w:rsidR="000B1C76" w:rsidRPr="00FE3A13" w:rsidRDefault="000B1C7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59F50EE2" w14:textId="77777777" w:rsidR="000B1C76" w:rsidRPr="00FE3A13" w:rsidRDefault="000B1C7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r>
      <w:tr w:rsidR="000B1C76" w:rsidRPr="00FE3A13" w14:paraId="2794BB15"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97603B2" w14:textId="77777777" w:rsidR="000B1C76" w:rsidRPr="00FE3A13" w:rsidRDefault="000B1C76" w:rsidP="00C270FC">
            <w:pPr>
              <w:pStyle w:val="NIVtableau"/>
              <w:rPr>
                <w:b w:val="0"/>
                <w:lang w:val="en-US"/>
              </w:rPr>
            </w:pPr>
            <w:r w:rsidRPr="00FE3A13">
              <w:rPr>
                <w:b w:val="0"/>
                <w:lang w:val="en-US"/>
              </w:rPr>
              <w:t>Communes</w:t>
            </w:r>
          </w:p>
        </w:tc>
        <w:tc>
          <w:tcPr>
            <w:tcW w:w="833" w:type="pct"/>
          </w:tcPr>
          <w:p w14:paraId="6F78A644" w14:textId="77777777" w:rsidR="000B1C76" w:rsidRPr="00FE3A13" w:rsidRDefault="000B1C7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28F8068" w14:textId="77777777" w:rsidR="000B1C76" w:rsidRPr="00FE3A13" w:rsidRDefault="000B1C7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63DD971" w14:textId="77777777" w:rsidR="000B1C76" w:rsidRPr="00FE3A13" w:rsidRDefault="000B1C7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DCB9EB8" w14:textId="77777777" w:rsidR="000B1C76" w:rsidRPr="00FE3A13" w:rsidRDefault="000B1C7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EC557F2" w14:textId="0DF5A3D7" w:rsidR="00B84E83" w:rsidRPr="00FE3A13" w:rsidRDefault="00D350C8" w:rsidP="004F52A9">
      <w:pPr>
        <w:pStyle w:val="Listealphabtique"/>
        <w:numPr>
          <w:ilvl w:val="0"/>
          <w:numId w:val="27"/>
        </w:numPr>
        <w:ind w:left="426" w:hanging="426"/>
        <w:rPr>
          <w:b/>
          <w:bCs/>
        </w:rPr>
      </w:pPr>
      <w:r w:rsidRPr="00FE3A13">
        <w:rPr>
          <w:b/>
          <w:bCs/>
        </w:rPr>
        <w:t>Mesures du PAFE</w:t>
      </w:r>
    </w:p>
    <w:p w14:paraId="112E11D2" w14:textId="523D5123" w:rsidR="004F52A9" w:rsidRPr="00FE3A13" w:rsidRDefault="004F52A9" w:rsidP="004F52A9">
      <w:pPr>
        <w:pStyle w:val="Listealphabtique"/>
        <w:numPr>
          <w:ilvl w:val="0"/>
          <w:numId w:val="0"/>
        </w:numPr>
        <w:rPr>
          <w:b/>
          <w:bCs/>
        </w:rPr>
      </w:pPr>
      <w:r w:rsidRPr="00FE3A13">
        <w:rPr>
          <w:b/>
          <w:bCs/>
        </w:rPr>
        <w:t>&gt;</w:t>
      </w:r>
      <w:r w:rsidRPr="00FE3A13">
        <w:rPr>
          <w:b/>
          <w:bCs/>
        </w:rPr>
        <w:tab/>
      </w:r>
      <w:r w:rsidR="00BF04E8" w:rsidRPr="00FE3A13">
        <w:rPr>
          <w:b/>
          <w:bCs/>
        </w:rPr>
        <w:t>Paiement de l'intégralité du 13ème salaire en fin d'année</w:t>
      </w:r>
    </w:p>
    <w:p w14:paraId="2796B419" w14:textId="222B2870" w:rsidR="004F52A9" w:rsidRPr="00FE3A13" w:rsidRDefault="004F52A9" w:rsidP="00BF04E8">
      <w:r w:rsidRPr="00FE3A13">
        <w:t xml:space="preserve">La mesure </w:t>
      </w:r>
      <w:r w:rsidR="00BF04E8" w:rsidRPr="00FE3A13">
        <w:t>vise à payer le 13ème salaire en une seul fois à la fin de l’ann</w:t>
      </w:r>
      <w:r w:rsidR="00DC5C04" w:rsidRPr="00FE3A13">
        <w:t xml:space="preserve">ée. </w:t>
      </w:r>
      <w:r w:rsidR="00BF04E8" w:rsidRPr="00FE3A13">
        <w:t>La part du 13ème salaire payée en juin se monte à 43 millions de fr</w:t>
      </w:r>
      <w:r w:rsidR="00956D5C" w:rsidRPr="00FE3A13">
        <w:t>ancs</w:t>
      </w:r>
      <w:r w:rsidR="00BF04E8" w:rsidRPr="00FE3A13">
        <w:t xml:space="preserve">. Le placement de cette somme pendant 6 mois à un taux de 0.25%, rapporterait 53'750 francs à l’Etat. </w:t>
      </w:r>
      <w:r w:rsidR="00956D5C" w:rsidRPr="00FE3A13">
        <w:t xml:space="preserve">Des coûts sont associés à la mise </w:t>
      </w:r>
      <w:r w:rsidR="00037923" w:rsidRPr="00FE3A13">
        <w:t>en</w:t>
      </w:r>
      <w:r w:rsidR="00956D5C" w:rsidRPr="00FE3A13">
        <w:t xml:space="preserve"> œuvre de la mesure. </w:t>
      </w:r>
      <w:r w:rsidR="00BF04E8" w:rsidRPr="00FE3A13">
        <w:t>Cette mesure présente l’avantage de ne pas changer la rémunération</w:t>
      </w:r>
      <w:r w:rsidR="00DC5C04" w:rsidRPr="00FE3A13">
        <w:t xml:space="preserve"> </w:t>
      </w:r>
      <w:r w:rsidR="00BF04E8" w:rsidRPr="00FE3A13">
        <w:t>du personnel.</w:t>
      </w:r>
    </w:p>
    <w:tbl>
      <w:tblPr>
        <w:tblStyle w:val="TableauEtatFR"/>
        <w:tblW w:w="5000" w:type="pct"/>
        <w:tblLook w:val="04E0" w:firstRow="1" w:lastRow="1" w:firstColumn="1" w:lastColumn="0" w:noHBand="0" w:noVBand="1"/>
      </w:tblPr>
      <w:tblGrid>
        <w:gridCol w:w="3312"/>
        <w:gridCol w:w="1653"/>
        <w:gridCol w:w="1653"/>
        <w:gridCol w:w="1653"/>
        <w:gridCol w:w="1649"/>
      </w:tblGrid>
      <w:tr w:rsidR="00DC5C04" w:rsidRPr="00FE3A13" w14:paraId="3675C1A7"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FB37457" w14:textId="77777777" w:rsidR="00DC5C04" w:rsidRPr="00FE3A13" w:rsidRDefault="00DC5C04" w:rsidP="00D43EDA">
            <w:pPr>
              <w:pStyle w:val="NIVtableau"/>
              <w:rPr>
                <w:color w:val="auto"/>
                <w:sz w:val="21"/>
                <w:lang w:val="fr-FR"/>
              </w:rPr>
            </w:pPr>
            <w:r w:rsidRPr="00FE3A13">
              <w:rPr>
                <w:lang w:val="fr-FR"/>
              </w:rPr>
              <w:t>Incidences financières en francs</w:t>
            </w:r>
          </w:p>
        </w:tc>
        <w:tc>
          <w:tcPr>
            <w:tcW w:w="833" w:type="pct"/>
          </w:tcPr>
          <w:p w14:paraId="1282F17E" w14:textId="77777777" w:rsidR="00DC5C04" w:rsidRPr="00FE3A13" w:rsidRDefault="00DC5C04"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47737FA" w14:textId="77777777" w:rsidR="00DC5C04" w:rsidRPr="00FE3A13" w:rsidRDefault="00DC5C04"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CAB5D6B" w14:textId="77777777" w:rsidR="00DC5C04" w:rsidRPr="00FE3A13" w:rsidRDefault="00DC5C04"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52BA56B" w14:textId="77777777" w:rsidR="00DC5C04" w:rsidRPr="00FE3A13" w:rsidRDefault="00DC5C04"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DC5C04" w:rsidRPr="00FE3A13" w14:paraId="605DAFCB"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E92FDF4" w14:textId="77777777" w:rsidR="00DC5C04" w:rsidRPr="00FE3A13" w:rsidRDefault="00DC5C04" w:rsidP="00D43EDA">
            <w:pPr>
              <w:pStyle w:val="NIVtableau"/>
              <w:rPr>
                <w:lang w:val="en-US"/>
              </w:rPr>
            </w:pPr>
            <w:r w:rsidRPr="00FE3A13">
              <w:rPr>
                <w:lang w:val="en-US"/>
              </w:rPr>
              <w:t>Etat</w:t>
            </w:r>
          </w:p>
        </w:tc>
        <w:tc>
          <w:tcPr>
            <w:tcW w:w="833" w:type="pct"/>
          </w:tcPr>
          <w:p w14:paraId="4825751F" w14:textId="226CE1DE" w:rsidR="00DC5C04" w:rsidRPr="00FE3A13" w:rsidRDefault="00DC5C04"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38 750</w:t>
            </w:r>
          </w:p>
        </w:tc>
        <w:tc>
          <w:tcPr>
            <w:tcW w:w="833" w:type="pct"/>
          </w:tcPr>
          <w:p w14:paraId="600B0D49" w14:textId="064CCE07" w:rsidR="00DC5C04" w:rsidRPr="00FE3A13" w:rsidRDefault="00DC5C04"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53 750</w:t>
            </w:r>
          </w:p>
        </w:tc>
        <w:tc>
          <w:tcPr>
            <w:tcW w:w="833" w:type="pct"/>
          </w:tcPr>
          <w:p w14:paraId="2309A05C" w14:textId="51DF8060" w:rsidR="00DC5C04" w:rsidRPr="00FE3A13" w:rsidRDefault="00DC5C04"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53 750</w:t>
            </w:r>
          </w:p>
        </w:tc>
        <w:tc>
          <w:tcPr>
            <w:tcW w:w="833" w:type="pct"/>
          </w:tcPr>
          <w:p w14:paraId="4359A00B" w14:textId="0599D22E" w:rsidR="00DC5C04" w:rsidRPr="00FE3A13" w:rsidRDefault="00DC5C04"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146 250</w:t>
            </w:r>
          </w:p>
        </w:tc>
      </w:tr>
      <w:tr w:rsidR="00DC5C04" w:rsidRPr="00FE3A13" w14:paraId="2147651F"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52DEADF" w14:textId="77777777" w:rsidR="00DC5C04" w:rsidRPr="00FE3A13" w:rsidRDefault="00DC5C04" w:rsidP="00D43EDA">
            <w:pPr>
              <w:pStyle w:val="NIVtableau"/>
              <w:rPr>
                <w:b w:val="0"/>
                <w:lang w:val="en-US"/>
              </w:rPr>
            </w:pPr>
            <w:r w:rsidRPr="00FE3A13">
              <w:rPr>
                <w:b w:val="0"/>
                <w:lang w:val="en-US"/>
              </w:rPr>
              <w:t>Communes</w:t>
            </w:r>
          </w:p>
        </w:tc>
        <w:tc>
          <w:tcPr>
            <w:tcW w:w="833" w:type="pct"/>
          </w:tcPr>
          <w:p w14:paraId="4D98249C" w14:textId="77777777" w:rsidR="00DC5C04" w:rsidRPr="00FE3A13" w:rsidRDefault="00DC5C04"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0C145F8" w14:textId="77777777" w:rsidR="00DC5C04" w:rsidRPr="00FE3A13" w:rsidRDefault="00DC5C04"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1A61801" w14:textId="77777777" w:rsidR="00DC5C04" w:rsidRPr="00FE3A13" w:rsidRDefault="00DC5C04"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BF3C132" w14:textId="77777777" w:rsidR="00DC5C04" w:rsidRPr="00FE3A13" w:rsidRDefault="00DC5C04"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906DD4A" w14:textId="368FD282" w:rsidR="00F03A91" w:rsidRPr="00FE3A13" w:rsidRDefault="00F03A91" w:rsidP="00F03A91">
      <w:pPr>
        <w:pStyle w:val="Listealphabtique"/>
        <w:numPr>
          <w:ilvl w:val="0"/>
          <w:numId w:val="0"/>
        </w:numPr>
        <w:rPr>
          <w:b/>
          <w:bCs/>
        </w:rPr>
      </w:pPr>
      <w:r w:rsidRPr="00FE3A13">
        <w:rPr>
          <w:b/>
          <w:bCs/>
        </w:rPr>
        <w:t>&gt;</w:t>
      </w:r>
      <w:r w:rsidRPr="00FE3A13">
        <w:rPr>
          <w:b/>
          <w:bCs/>
        </w:rPr>
        <w:tab/>
        <w:t>Renoncement aux mesures pénibilité</w:t>
      </w:r>
    </w:p>
    <w:p w14:paraId="1C1D4BDC" w14:textId="15AC970B" w:rsidR="00F03A91" w:rsidRPr="00FE3A13" w:rsidRDefault="00F03A91" w:rsidP="00F03A91">
      <w:r w:rsidRPr="00FE3A13">
        <w:t>La m</w:t>
      </w:r>
      <w:r w:rsidR="00F146D2" w:rsidRPr="00FE3A13">
        <w:t>esure propose de décaler les mesures pénibilité. Celles-ci n’entreront donc pas en vigueur en 2026 mais seront repoussées au-delà du PAFE à 2029. Cela concerne 200 collaborateurs.</w:t>
      </w:r>
    </w:p>
    <w:tbl>
      <w:tblPr>
        <w:tblStyle w:val="TableauEtatFR"/>
        <w:tblW w:w="5000" w:type="pct"/>
        <w:tblLook w:val="04E0" w:firstRow="1" w:lastRow="1" w:firstColumn="1" w:lastColumn="0" w:noHBand="0" w:noVBand="1"/>
      </w:tblPr>
      <w:tblGrid>
        <w:gridCol w:w="3312"/>
        <w:gridCol w:w="1653"/>
        <w:gridCol w:w="1653"/>
        <w:gridCol w:w="1653"/>
        <w:gridCol w:w="1649"/>
      </w:tblGrid>
      <w:tr w:rsidR="00F146D2" w:rsidRPr="00FE3A13" w14:paraId="195642D1"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A547464" w14:textId="77777777" w:rsidR="00F146D2" w:rsidRPr="00FE3A13" w:rsidRDefault="00F146D2" w:rsidP="00D43EDA">
            <w:pPr>
              <w:pStyle w:val="NIVtableau"/>
              <w:rPr>
                <w:color w:val="auto"/>
                <w:sz w:val="21"/>
                <w:lang w:val="fr-FR"/>
              </w:rPr>
            </w:pPr>
            <w:r w:rsidRPr="00FE3A13">
              <w:rPr>
                <w:lang w:val="fr-FR"/>
              </w:rPr>
              <w:t>Incidences financières en francs</w:t>
            </w:r>
          </w:p>
        </w:tc>
        <w:tc>
          <w:tcPr>
            <w:tcW w:w="833" w:type="pct"/>
          </w:tcPr>
          <w:p w14:paraId="5501FFA3" w14:textId="77777777" w:rsidR="00F146D2" w:rsidRPr="00FE3A13" w:rsidRDefault="00F146D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8B8EBDA" w14:textId="77777777" w:rsidR="00F146D2" w:rsidRPr="00FE3A13" w:rsidRDefault="00F146D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93CE9A7" w14:textId="77777777" w:rsidR="00F146D2" w:rsidRPr="00FE3A13" w:rsidRDefault="00F146D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0DC953E" w14:textId="77777777" w:rsidR="00F146D2" w:rsidRPr="00FE3A13" w:rsidRDefault="00F146D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F146D2" w:rsidRPr="00FE3A13" w14:paraId="0A2AD914"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D4E16DB" w14:textId="77777777" w:rsidR="00F146D2" w:rsidRPr="00FE3A13" w:rsidRDefault="00F146D2" w:rsidP="00D43EDA">
            <w:pPr>
              <w:pStyle w:val="NIVtableau"/>
              <w:rPr>
                <w:lang w:val="en-US"/>
              </w:rPr>
            </w:pPr>
            <w:r w:rsidRPr="00FE3A13">
              <w:rPr>
                <w:lang w:val="en-US"/>
              </w:rPr>
              <w:t>Etat</w:t>
            </w:r>
          </w:p>
        </w:tc>
        <w:tc>
          <w:tcPr>
            <w:tcW w:w="833" w:type="pct"/>
          </w:tcPr>
          <w:p w14:paraId="57CF9B9C" w14:textId="61BEB93A" w:rsidR="00F146D2" w:rsidRPr="00FE3A13" w:rsidRDefault="00F146D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52919786" w14:textId="0520225B" w:rsidR="00F146D2" w:rsidRPr="00FE3A13" w:rsidRDefault="00F146D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366EC014" w14:textId="34D90B04" w:rsidR="00F146D2" w:rsidRPr="00FE3A13" w:rsidRDefault="00F146D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51CB9548" w14:textId="046B3DE2" w:rsidR="00F146D2" w:rsidRPr="00FE3A13" w:rsidRDefault="00F146D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1 500 000</w:t>
            </w:r>
          </w:p>
        </w:tc>
      </w:tr>
      <w:tr w:rsidR="00F146D2" w:rsidRPr="00FE3A13" w14:paraId="50439E8B"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8D699A7" w14:textId="77777777" w:rsidR="00F146D2" w:rsidRPr="00FE3A13" w:rsidRDefault="00F146D2" w:rsidP="00D43EDA">
            <w:pPr>
              <w:pStyle w:val="NIVtableau"/>
              <w:rPr>
                <w:b w:val="0"/>
                <w:lang w:val="en-US"/>
              </w:rPr>
            </w:pPr>
            <w:r w:rsidRPr="00FE3A13">
              <w:rPr>
                <w:b w:val="0"/>
                <w:lang w:val="en-US"/>
              </w:rPr>
              <w:t>Communes</w:t>
            </w:r>
          </w:p>
        </w:tc>
        <w:tc>
          <w:tcPr>
            <w:tcW w:w="833" w:type="pct"/>
          </w:tcPr>
          <w:p w14:paraId="4BD156C9" w14:textId="77777777" w:rsidR="00F146D2" w:rsidRPr="00FE3A13" w:rsidRDefault="00F146D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8FB42EC" w14:textId="77777777" w:rsidR="00F146D2" w:rsidRPr="00FE3A13" w:rsidRDefault="00F146D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A4332C6" w14:textId="77777777" w:rsidR="00F146D2" w:rsidRPr="00FE3A13" w:rsidRDefault="00F146D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EFFA402" w14:textId="77777777" w:rsidR="00F146D2" w:rsidRPr="00FE3A13" w:rsidRDefault="00F146D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291EEE0" w14:textId="01E321BE" w:rsidR="00663552" w:rsidRPr="00FE3A13" w:rsidRDefault="00663552" w:rsidP="00663552">
      <w:pPr>
        <w:pStyle w:val="Listealphabtique"/>
        <w:numPr>
          <w:ilvl w:val="0"/>
          <w:numId w:val="0"/>
        </w:numPr>
        <w:rPr>
          <w:b/>
          <w:bCs/>
        </w:rPr>
      </w:pPr>
      <w:r w:rsidRPr="00FE3A13">
        <w:rPr>
          <w:b/>
          <w:bCs/>
        </w:rPr>
        <w:t>&gt;</w:t>
      </w:r>
      <w:r w:rsidRPr="00FE3A13">
        <w:rPr>
          <w:b/>
          <w:bCs/>
        </w:rPr>
        <w:tab/>
        <w:t>Renoncement aux primes de reconnaissance en faveur du personnel</w:t>
      </w:r>
    </w:p>
    <w:p w14:paraId="7385CF61" w14:textId="3D2645A1" w:rsidR="00663552" w:rsidRPr="00FE3A13" w:rsidRDefault="00663552" w:rsidP="00663552">
      <w:r w:rsidRPr="00FE3A13">
        <w:t>La mesure propose de renoncer temporairement aux primes de reconnaissance en faveur du personnel. Ces primes seront suspendues durant 3 ans. Cette mesure faisait partie des propositions de la FEDE.</w:t>
      </w:r>
    </w:p>
    <w:tbl>
      <w:tblPr>
        <w:tblStyle w:val="TableauEtatFR"/>
        <w:tblW w:w="5000" w:type="pct"/>
        <w:tblLook w:val="04E0" w:firstRow="1" w:lastRow="1" w:firstColumn="1" w:lastColumn="0" w:noHBand="0" w:noVBand="1"/>
      </w:tblPr>
      <w:tblGrid>
        <w:gridCol w:w="3312"/>
        <w:gridCol w:w="1653"/>
        <w:gridCol w:w="1653"/>
        <w:gridCol w:w="1653"/>
        <w:gridCol w:w="1649"/>
      </w:tblGrid>
      <w:tr w:rsidR="00663552" w:rsidRPr="00FE3A13" w14:paraId="14BDCBF4"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F71AB6E" w14:textId="77777777" w:rsidR="00663552" w:rsidRPr="00FE3A13" w:rsidRDefault="00663552" w:rsidP="00D43EDA">
            <w:pPr>
              <w:pStyle w:val="NIVtableau"/>
              <w:rPr>
                <w:color w:val="auto"/>
                <w:sz w:val="21"/>
                <w:lang w:val="fr-FR"/>
              </w:rPr>
            </w:pPr>
            <w:r w:rsidRPr="00FE3A13">
              <w:rPr>
                <w:lang w:val="fr-FR"/>
              </w:rPr>
              <w:t>Incidences financières en francs</w:t>
            </w:r>
          </w:p>
        </w:tc>
        <w:tc>
          <w:tcPr>
            <w:tcW w:w="833" w:type="pct"/>
          </w:tcPr>
          <w:p w14:paraId="76CA8A14" w14:textId="77777777" w:rsidR="00663552" w:rsidRPr="00FE3A13" w:rsidRDefault="0066355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320097D" w14:textId="77777777" w:rsidR="00663552" w:rsidRPr="00FE3A13" w:rsidRDefault="0066355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F18F3BA" w14:textId="77777777" w:rsidR="00663552" w:rsidRPr="00FE3A13" w:rsidRDefault="0066355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B4AEEF3" w14:textId="77777777" w:rsidR="00663552" w:rsidRPr="00FE3A13" w:rsidRDefault="00663552"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663552" w:rsidRPr="00FE3A13" w14:paraId="607339EF"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04603CA" w14:textId="77777777" w:rsidR="00663552" w:rsidRPr="00FE3A13" w:rsidRDefault="00663552" w:rsidP="00D43EDA">
            <w:pPr>
              <w:pStyle w:val="NIVtableau"/>
              <w:rPr>
                <w:lang w:val="en-US"/>
              </w:rPr>
            </w:pPr>
            <w:r w:rsidRPr="00FE3A13">
              <w:rPr>
                <w:lang w:val="en-US"/>
              </w:rPr>
              <w:t>Etat</w:t>
            </w:r>
          </w:p>
        </w:tc>
        <w:tc>
          <w:tcPr>
            <w:tcW w:w="833" w:type="pct"/>
          </w:tcPr>
          <w:p w14:paraId="290C4668" w14:textId="343CA034" w:rsidR="00663552" w:rsidRPr="00FE3A13" w:rsidRDefault="0066355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3" w:type="pct"/>
          </w:tcPr>
          <w:p w14:paraId="56F5DE72" w14:textId="28CE0D94" w:rsidR="00663552" w:rsidRPr="00FE3A13" w:rsidRDefault="0066355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3" w:type="pct"/>
          </w:tcPr>
          <w:p w14:paraId="31638D03" w14:textId="03B3A9BB" w:rsidR="00663552" w:rsidRPr="00FE3A13" w:rsidRDefault="0066355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3" w:type="pct"/>
          </w:tcPr>
          <w:p w14:paraId="53257E83" w14:textId="257207FE" w:rsidR="00663552" w:rsidRPr="00FE3A13" w:rsidRDefault="00663552"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1 800 000</w:t>
            </w:r>
          </w:p>
        </w:tc>
      </w:tr>
      <w:tr w:rsidR="00663552" w:rsidRPr="00FE3A13" w14:paraId="4E48BC8B"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F827791" w14:textId="77777777" w:rsidR="00663552" w:rsidRPr="00FE3A13" w:rsidRDefault="00663552" w:rsidP="00D43EDA">
            <w:pPr>
              <w:pStyle w:val="NIVtableau"/>
              <w:rPr>
                <w:b w:val="0"/>
                <w:lang w:val="en-US"/>
              </w:rPr>
            </w:pPr>
            <w:r w:rsidRPr="00FE3A13">
              <w:rPr>
                <w:b w:val="0"/>
                <w:lang w:val="en-US"/>
              </w:rPr>
              <w:t>Communes</w:t>
            </w:r>
          </w:p>
        </w:tc>
        <w:tc>
          <w:tcPr>
            <w:tcW w:w="833" w:type="pct"/>
          </w:tcPr>
          <w:p w14:paraId="0B31C52E" w14:textId="77777777" w:rsidR="00663552" w:rsidRPr="00FE3A13" w:rsidRDefault="0066355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F661E7A" w14:textId="77777777" w:rsidR="00663552" w:rsidRPr="00FE3A13" w:rsidRDefault="0066355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BABDA9A" w14:textId="77777777" w:rsidR="00663552" w:rsidRPr="00FE3A13" w:rsidRDefault="0066355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AEE2D32" w14:textId="77777777" w:rsidR="00663552" w:rsidRPr="00FE3A13" w:rsidRDefault="00663552"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05631F3" w14:textId="7A68DC1B" w:rsidR="0021273D" w:rsidRPr="00FE3A13" w:rsidRDefault="0021273D" w:rsidP="0021273D">
      <w:pPr>
        <w:pStyle w:val="Listealphabtique"/>
        <w:numPr>
          <w:ilvl w:val="0"/>
          <w:numId w:val="0"/>
        </w:numPr>
        <w:rPr>
          <w:b/>
          <w:bCs/>
        </w:rPr>
      </w:pPr>
      <w:r w:rsidRPr="00FE3A13">
        <w:rPr>
          <w:b/>
          <w:bCs/>
        </w:rPr>
        <w:t>&gt;</w:t>
      </w:r>
      <w:r w:rsidRPr="00FE3A13">
        <w:rPr>
          <w:b/>
          <w:bCs/>
        </w:rPr>
        <w:tab/>
        <w:t xml:space="preserve">Moratoire sur la réévaluation des fonctions du personnel (requêtes et demandes des </w:t>
      </w:r>
      <w:r w:rsidR="00E9412D" w:rsidRPr="00FE3A13">
        <w:rPr>
          <w:b/>
          <w:bCs/>
        </w:rPr>
        <w:t>D</w:t>
      </w:r>
      <w:r w:rsidRPr="00FE3A13">
        <w:rPr>
          <w:b/>
          <w:bCs/>
        </w:rPr>
        <w:t>irections)</w:t>
      </w:r>
    </w:p>
    <w:p w14:paraId="29D39445" w14:textId="3787C6BE" w:rsidR="00F146D2" w:rsidRPr="00FE3A13" w:rsidRDefault="0021273D" w:rsidP="00037FA5">
      <w:pPr>
        <w:pStyle w:val="Corpsdetexte"/>
      </w:pPr>
      <w:r w:rsidRPr="00FE3A13">
        <w:t xml:space="preserve">La mesure propose de renoncer temporairement </w:t>
      </w:r>
      <w:r w:rsidR="00037FA5" w:rsidRPr="00FE3A13">
        <w:t>à la revalorisation du personnel. Il s’agit d’un moratoire sur les effets EVALFRI et ce pour une période de 3 ans. Concrètement le lancement de nouveaux projets de revalorisation de fonctions du personnel est suspendu pour la période 2026-2028.</w:t>
      </w:r>
    </w:p>
    <w:tbl>
      <w:tblPr>
        <w:tblStyle w:val="TableauEtatFR"/>
        <w:tblW w:w="5000" w:type="pct"/>
        <w:tblLook w:val="04E0" w:firstRow="1" w:lastRow="1" w:firstColumn="1" w:lastColumn="0" w:noHBand="0" w:noVBand="1"/>
      </w:tblPr>
      <w:tblGrid>
        <w:gridCol w:w="3312"/>
        <w:gridCol w:w="1653"/>
        <w:gridCol w:w="1653"/>
        <w:gridCol w:w="1653"/>
        <w:gridCol w:w="1649"/>
      </w:tblGrid>
      <w:tr w:rsidR="00037FA5" w:rsidRPr="00FE3A13" w14:paraId="6D0AFF54"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5F9A0FD" w14:textId="77777777" w:rsidR="00037FA5" w:rsidRPr="00FE3A13" w:rsidRDefault="00037FA5" w:rsidP="00D43EDA">
            <w:pPr>
              <w:pStyle w:val="NIVtableau"/>
              <w:rPr>
                <w:color w:val="auto"/>
                <w:sz w:val="21"/>
                <w:lang w:val="fr-FR"/>
              </w:rPr>
            </w:pPr>
            <w:r w:rsidRPr="00FE3A13">
              <w:rPr>
                <w:lang w:val="fr-FR"/>
              </w:rPr>
              <w:lastRenderedPageBreak/>
              <w:t>Incidences financières en francs</w:t>
            </w:r>
          </w:p>
        </w:tc>
        <w:tc>
          <w:tcPr>
            <w:tcW w:w="833" w:type="pct"/>
          </w:tcPr>
          <w:p w14:paraId="24A1CDCC" w14:textId="77777777" w:rsidR="00037FA5" w:rsidRPr="00FE3A13" w:rsidRDefault="00037FA5"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E60D450" w14:textId="77777777" w:rsidR="00037FA5" w:rsidRPr="00FE3A13" w:rsidRDefault="00037FA5"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3BDECAA" w14:textId="77777777" w:rsidR="00037FA5" w:rsidRPr="00FE3A13" w:rsidRDefault="00037FA5"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82CE2F0" w14:textId="77777777" w:rsidR="00037FA5" w:rsidRPr="00FE3A13" w:rsidRDefault="00037FA5" w:rsidP="00D43EDA">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037FA5" w:rsidRPr="00FE3A13" w14:paraId="41E172F8"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9F23A51" w14:textId="77777777" w:rsidR="00037FA5" w:rsidRPr="00FE3A13" w:rsidRDefault="00037FA5" w:rsidP="00D43EDA">
            <w:pPr>
              <w:pStyle w:val="NIVtableau"/>
              <w:rPr>
                <w:lang w:val="en-US"/>
              </w:rPr>
            </w:pPr>
            <w:r w:rsidRPr="00FE3A13">
              <w:rPr>
                <w:lang w:val="en-US"/>
              </w:rPr>
              <w:t>Etat</w:t>
            </w:r>
          </w:p>
        </w:tc>
        <w:tc>
          <w:tcPr>
            <w:tcW w:w="833" w:type="pct"/>
          </w:tcPr>
          <w:p w14:paraId="3CB4188E" w14:textId="58FB13CB" w:rsidR="00037FA5" w:rsidRPr="00FE3A13" w:rsidRDefault="00037FA5"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641EE556" w14:textId="4C877092" w:rsidR="00037FA5" w:rsidRPr="00FE3A13" w:rsidRDefault="00037FA5"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105107B6" w14:textId="4243ED5A" w:rsidR="00037FA5" w:rsidRPr="00FE3A13" w:rsidRDefault="00037FA5"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0FA18113" w14:textId="183FA79B" w:rsidR="00037FA5" w:rsidRPr="00FE3A13" w:rsidRDefault="00037FA5" w:rsidP="00D43EDA">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 xml:space="preserve">1 </w:t>
            </w:r>
            <w:r w:rsidR="0070745A" w:rsidRPr="00FE3A13">
              <w:rPr>
                <w:lang w:val="en-US"/>
              </w:rPr>
              <w:t>20</w:t>
            </w:r>
            <w:r w:rsidRPr="00FE3A13">
              <w:rPr>
                <w:lang w:val="en-US"/>
              </w:rPr>
              <w:t>0 000</w:t>
            </w:r>
          </w:p>
        </w:tc>
      </w:tr>
      <w:tr w:rsidR="00037FA5" w:rsidRPr="00FE3A13" w14:paraId="757424A3"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1046F5C" w14:textId="77777777" w:rsidR="00037FA5" w:rsidRPr="00FE3A13" w:rsidRDefault="00037FA5" w:rsidP="00D43EDA">
            <w:pPr>
              <w:pStyle w:val="NIVtableau"/>
              <w:rPr>
                <w:b w:val="0"/>
                <w:lang w:val="en-US"/>
              </w:rPr>
            </w:pPr>
            <w:r w:rsidRPr="00FE3A13">
              <w:rPr>
                <w:b w:val="0"/>
                <w:lang w:val="en-US"/>
              </w:rPr>
              <w:t>Communes</w:t>
            </w:r>
          </w:p>
        </w:tc>
        <w:tc>
          <w:tcPr>
            <w:tcW w:w="833" w:type="pct"/>
          </w:tcPr>
          <w:p w14:paraId="2230D90A" w14:textId="71909BD0" w:rsidR="00037FA5" w:rsidRPr="00FE3A13" w:rsidRDefault="0070745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7032C73" w14:textId="18E9F5E3" w:rsidR="00037FA5" w:rsidRPr="00FE3A13" w:rsidRDefault="0070745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FCD189F" w14:textId="0360B3A0" w:rsidR="00037FA5" w:rsidRPr="00FE3A13" w:rsidRDefault="0070745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A367004" w14:textId="01F32137" w:rsidR="00037FA5" w:rsidRPr="00FE3A13" w:rsidRDefault="0070745A" w:rsidP="00D43EDA">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FE4F563" w14:textId="77777777" w:rsidR="002A446B" w:rsidRPr="00FE3A13" w:rsidRDefault="002A446B" w:rsidP="00DE120F"/>
    <w:p w14:paraId="431DBAD0" w14:textId="20F8D78A" w:rsidR="009877D1" w:rsidRPr="00FE3A13" w:rsidRDefault="009877D1" w:rsidP="009877D1">
      <w:pPr>
        <w:pStyle w:val="Titre3"/>
      </w:pPr>
      <w:bookmarkStart w:id="30" w:name="_Toc195714690"/>
      <w:r w:rsidRPr="00FE3A13">
        <w:t>Subventionnement</w:t>
      </w:r>
      <w:bookmarkEnd w:id="30"/>
    </w:p>
    <w:p w14:paraId="72BF3686" w14:textId="033427DB" w:rsidR="00B84E83" w:rsidRPr="00FE3A13" w:rsidRDefault="00B84E83" w:rsidP="00B84E83">
      <w:r w:rsidRPr="00FE3A13">
        <w:t>En matière de subventionnement, les mesures suivantes sont proposées.</w:t>
      </w:r>
    </w:p>
    <w:tbl>
      <w:tblPr>
        <w:tblStyle w:val="TableauEtatFR"/>
        <w:tblW w:w="9923" w:type="dxa"/>
        <w:tblLayout w:type="fixed"/>
        <w:tblLook w:val="04E0" w:firstRow="1" w:lastRow="1" w:firstColumn="1" w:lastColumn="0" w:noHBand="0" w:noVBand="1"/>
      </w:tblPr>
      <w:tblGrid>
        <w:gridCol w:w="9923"/>
      </w:tblGrid>
      <w:tr w:rsidR="00121680" w:rsidRPr="00FE3A13" w14:paraId="168CA298" w14:textId="77777777" w:rsidTr="00A96E0A">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9923" w:type="dxa"/>
          </w:tcPr>
          <w:p w14:paraId="34B172C4" w14:textId="4169C2A6" w:rsidR="00121680" w:rsidRPr="00FE3A13" w:rsidRDefault="00CB35B5" w:rsidP="00A96E0A">
            <w:pPr>
              <w:pStyle w:val="NIVtableau"/>
              <w:rPr>
                <w:b w:val="0"/>
                <w:color w:val="auto"/>
                <w:sz w:val="21"/>
                <w:lang w:val="fr-FR"/>
              </w:rPr>
            </w:pPr>
            <w:r w:rsidRPr="00FE3A13">
              <w:t>Liste des</w:t>
            </w:r>
            <w:r w:rsidR="00121680" w:rsidRPr="00FE3A13">
              <w:rPr>
                <w:lang w:val="fr-FR"/>
              </w:rPr>
              <w:t xml:space="preserve"> mesures de la compétence du Conseil d’Etat applicables dès 2026</w:t>
            </w:r>
            <w:r w:rsidRPr="00FE3A13">
              <w:rPr>
                <w:lang w:val="fr-FR"/>
              </w:rPr>
              <w:t xml:space="preserve"> ou 2027</w:t>
            </w:r>
            <w:r w:rsidR="00121680" w:rsidRPr="00FE3A13">
              <w:rPr>
                <w:lang w:val="fr-FR"/>
              </w:rPr>
              <w:t xml:space="preserve"> en matière de </w:t>
            </w:r>
            <w:r w:rsidR="00F17C21" w:rsidRPr="00FE3A13">
              <w:rPr>
                <w:lang w:val="fr-FR"/>
              </w:rPr>
              <w:t xml:space="preserve">subventionnement </w:t>
            </w:r>
          </w:p>
        </w:tc>
      </w:tr>
      <w:tr w:rsidR="00121680" w:rsidRPr="00FE3A13" w14:paraId="252E342B" w14:textId="77777777" w:rsidTr="00A96E0A">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9923" w:type="dxa"/>
          </w:tcPr>
          <w:p w14:paraId="2C466F72" w14:textId="6C7979F0" w:rsidR="00121680" w:rsidRPr="00FE3A13" w:rsidRDefault="00121680" w:rsidP="00A96E0A">
            <w:pPr>
              <w:pStyle w:val="NIVtableau"/>
              <w:spacing w:before="100" w:after="100" w:line="280" w:lineRule="atLeast"/>
            </w:pPr>
            <w:r w:rsidRPr="00FE3A13">
              <w:rPr>
                <w:b/>
                <w:bCs w:val="0"/>
              </w:rPr>
              <w:t>a) Mesures nécessaires pour respecter le plan financier</w:t>
            </w:r>
            <w:r w:rsidRPr="00FE3A13">
              <w:br/>
              <w:t xml:space="preserve">- </w:t>
            </w:r>
            <w:r w:rsidR="00F17C21" w:rsidRPr="00FE3A13">
              <w:t>Ralentissement sur les investissements et les rénovations dans les institutions spécialisées</w:t>
            </w:r>
            <w:r w:rsidRPr="00FE3A13">
              <w:br/>
              <w:t xml:space="preserve">- </w:t>
            </w:r>
            <w:r w:rsidR="002C2553" w:rsidRPr="00FE3A13">
              <w:t>Non-compensation des baisses des aides fédérales dans le domaine de l'environnement</w:t>
            </w:r>
            <w:r w:rsidRPr="00FE3A13">
              <w:br/>
              <w:t xml:space="preserve">- </w:t>
            </w:r>
            <w:r w:rsidR="002C2553" w:rsidRPr="00FE3A13">
              <w:t>Augmentation du coefficient par EPT pour le personnel de soins en EMS</w:t>
            </w:r>
            <w:r w:rsidRPr="00FE3A13">
              <w:br/>
              <w:t xml:space="preserve">- </w:t>
            </w:r>
            <w:r w:rsidR="002C2553" w:rsidRPr="00FE3A13">
              <w:t>Augmentation du coefficient par EPT et baisse de la dotation accompagnement en EMS</w:t>
            </w:r>
            <w:r w:rsidRPr="00FE3A13">
              <w:br/>
              <w:t xml:space="preserve">- </w:t>
            </w:r>
            <w:r w:rsidR="002C2553" w:rsidRPr="00FE3A13">
              <w:t>Stagnation des subventions pour les charges d’exploitation (hors salaires) des institutions spécialisées</w:t>
            </w:r>
            <w:r w:rsidRPr="00FE3A13">
              <w:br/>
              <w:t xml:space="preserve">- </w:t>
            </w:r>
            <w:r w:rsidR="002C2553" w:rsidRPr="00FE3A13">
              <w:t xml:space="preserve">Diminution de l’aide pour l'agriculture (qualité écologique et paysagère) </w:t>
            </w:r>
            <w:r w:rsidRPr="00FE3A13">
              <w:br/>
              <w:t xml:space="preserve">- </w:t>
            </w:r>
            <w:r w:rsidR="002C2553" w:rsidRPr="00FE3A13">
              <w:t>Réduction des subventions en faveur de la biodiversité</w:t>
            </w:r>
          </w:p>
        </w:tc>
      </w:tr>
      <w:tr w:rsidR="00121680" w:rsidRPr="00FE3A13" w14:paraId="65D9CB76" w14:textId="77777777" w:rsidTr="00A96E0A">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923" w:type="dxa"/>
          </w:tcPr>
          <w:p w14:paraId="78942198" w14:textId="296BFBD6" w:rsidR="00121680" w:rsidRPr="00FE3A13" w:rsidRDefault="00121680" w:rsidP="00A96E0A">
            <w:pPr>
              <w:pStyle w:val="NIVtableau"/>
              <w:spacing w:before="100" w:after="100" w:line="280" w:lineRule="atLeast"/>
              <w:rPr>
                <w:b w:val="0"/>
              </w:rPr>
            </w:pPr>
            <w:r w:rsidRPr="00FE3A13">
              <w:t>b)</w:t>
            </w:r>
            <w:r w:rsidRPr="00FE3A13">
              <w:rPr>
                <w:b w:val="0"/>
                <w:bCs w:val="0"/>
              </w:rPr>
              <w:t xml:space="preserve"> </w:t>
            </w:r>
            <w:r w:rsidRPr="00FE3A13">
              <w:rPr>
                <w:bCs w:val="0"/>
              </w:rPr>
              <w:t>Mesures du PAFE</w:t>
            </w:r>
            <w:r w:rsidRPr="00FE3A13">
              <w:rPr>
                <w:b w:val="0"/>
                <w:bCs w:val="0"/>
              </w:rPr>
              <w:br/>
              <w:t xml:space="preserve">- </w:t>
            </w:r>
            <w:r w:rsidR="002C2553" w:rsidRPr="00FE3A13">
              <w:rPr>
                <w:b w:val="0"/>
                <w:bCs w:val="0"/>
              </w:rPr>
              <w:t>Mutualisation de certaines tâches dans les institutions spécialisées</w:t>
            </w:r>
            <w:r w:rsidRPr="00FE3A13">
              <w:br/>
            </w:r>
            <w:r w:rsidRPr="00FE3A13">
              <w:rPr>
                <w:b w:val="0"/>
                <w:bCs w:val="0"/>
              </w:rPr>
              <w:t xml:space="preserve">- </w:t>
            </w:r>
            <w:r w:rsidR="002C2553" w:rsidRPr="00FE3A13">
              <w:rPr>
                <w:b w:val="0"/>
                <w:bCs w:val="0"/>
              </w:rPr>
              <w:t>Modification du mode de calcul des frais administratifs de ORS</w:t>
            </w:r>
            <w:r w:rsidRPr="00FE3A13">
              <w:rPr>
                <w:b w:val="0"/>
                <w:bCs w:val="0"/>
              </w:rPr>
              <w:br/>
              <w:t xml:space="preserve">- </w:t>
            </w:r>
            <w:r w:rsidR="002C2553" w:rsidRPr="00FE3A13">
              <w:rPr>
                <w:b w:val="0"/>
                <w:bCs w:val="0"/>
              </w:rPr>
              <w:t>Réduction des projets en lien avec la promotion de la santé</w:t>
            </w:r>
            <w:r w:rsidRPr="00FE3A13">
              <w:rPr>
                <w:b w:val="0"/>
                <w:bCs w:val="0"/>
              </w:rPr>
              <w:br/>
              <w:t xml:space="preserve">- </w:t>
            </w:r>
            <w:r w:rsidR="002C2553" w:rsidRPr="00FE3A13">
              <w:rPr>
                <w:b w:val="0"/>
                <w:bCs w:val="0"/>
              </w:rPr>
              <w:t>Participation accrue des parents aux frais pour les internats des institutions de pédagogie spécialisée</w:t>
            </w:r>
            <w:r w:rsidRPr="00FE3A13">
              <w:rPr>
                <w:b w:val="0"/>
                <w:bCs w:val="0"/>
              </w:rPr>
              <w:br/>
              <w:t xml:space="preserve">- </w:t>
            </w:r>
            <w:r w:rsidR="002C2553" w:rsidRPr="00FE3A13">
              <w:rPr>
                <w:b w:val="0"/>
                <w:bCs w:val="0"/>
              </w:rPr>
              <w:t>Réduction des aides dans le domaine du contrôle des viandes issues d'abattoirs</w:t>
            </w:r>
            <w:r w:rsidRPr="00FE3A13">
              <w:rPr>
                <w:b w:val="0"/>
                <w:bCs w:val="0"/>
              </w:rPr>
              <w:br/>
              <w:t xml:space="preserve">- </w:t>
            </w:r>
            <w:r w:rsidR="002C2553" w:rsidRPr="00FE3A13">
              <w:rPr>
                <w:b w:val="0"/>
                <w:bCs w:val="0"/>
              </w:rPr>
              <w:t>Modification des subventions des services d'aide et de soins à domicile</w:t>
            </w:r>
            <w:r w:rsidRPr="00FE3A13">
              <w:rPr>
                <w:b w:val="0"/>
                <w:bCs w:val="0"/>
              </w:rPr>
              <w:br/>
              <w:t xml:space="preserve">- </w:t>
            </w:r>
            <w:r w:rsidR="002C2553" w:rsidRPr="00FE3A13">
              <w:rPr>
                <w:b w:val="0"/>
                <w:bCs w:val="0"/>
              </w:rPr>
              <w:t>Stabilisation des PIG et autres prestations à l'HFR et limitation des PIG au RFSM</w:t>
            </w:r>
            <w:r w:rsidRPr="00FE3A13">
              <w:rPr>
                <w:b w:val="0"/>
                <w:bCs w:val="0"/>
              </w:rPr>
              <w:br/>
              <w:t xml:space="preserve">- </w:t>
            </w:r>
            <w:r w:rsidR="002C2553" w:rsidRPr="00FE3A13">
              <w:rPr>
                <w:b w:val="0"/>
                <w:bCs w:val="0"/>
              </w:rPr>
              <w:t>Institutions spécialisées – Autofinancement du CTTS (Buissonnets)</w:t>
            </w:r>
            <w:r w:rsidRPr="00FE3A13">
              <w:rPr>
                <w:b w:val="0"/>
                <w:bCs w:val="0"/>
              </w:rPr>
              <w:br/>
              <w:t xml:space="preserve">- </w:t>
            </w:r>
            <w:r w:rsidR="002C2553" w:rsidRPr="00FE3A13">
              <w:rPr>
                <w:b w:val="0"/>
                <w:bCs w:val="0"/>
              </w:rPr>
              <w:t>Abandon du soutien à la construction de bâtiments culturels</w:t>
            </w:r>
            <w:r w:rsidRPr="00FE3A13">
              <w:rPr>
                <w:b w:val="0"/>
                <w:bCs w:val="0"/>
              </w:rPr>
              <w:br/>
              <w:t xml:space="preserve">- </w:t>
            </w:r>
            <w:r w:rsidR="002C2553" w:rsidRPr="00FE3A13">
              <w:rPr>
                <w:b w:val="0"/>
                <w:bCs w:val="0"/>
              </w:rPr>
              <w:t>Réduction de l'aide pour l'agriculture (promotion et encouragement)</w:t>
            </w:r>
            <w:r w:rsidRPr="00FE3A13">
              <w:rPr>
                <w:b w:val="0"/>
                <w:bCs w:val="0"/>
              </w:rPr>
              <w:br/>
              <w:t>-</w:t>
            </w:r>
            <w:r w:rsidRPr="00FE3A13">
              <w:rPr>
                <w:b w:val="0"/>
              </w:rPr>
              <w:t xml:space="preserve"> </w:t>
            </w:r>
            <w:r w:rsidR="002C2553" w:rsidRPr="00FE3A13">
              <w:rPr>
                <w:b w:val="0"/>
              </w:rPr>
              <w:t>Réduction des subventions en faveur des améliorations foncières</w:t>
            </w:r>
            <w:r w:rsidR="002C2553" w:rsidRPr="00FE3A13">
              <w:rPr>
                <w:b w:val="0"/>
              </w:rPr>
              <w:br/>
              <w:t>- Réduction des subventions en faveur du développement durable</w:t>
            </w:r>
            <w:r w:rsidR="002C2553" w:rsidRPr="00FE3A13">
              <w:rPr>
                <w:b w:val="0"/>
              </w:rPr>
              <w:br/>
              <w:t xml:space="preserve">- </w:t>
            </w:r>
            <w:r w:rsidR="00AC59FB" w:rsidRPr="00FE3A13">
              <w:rPr>
                <w:b w:val="0"/>
              </w:rPr>
              <w:t>Réduction des subventions en faveur du plan climat</w:t>
            </w:r>
            <w:r w:rsidR="002C2553" w:rsidRPr="00FE3A13">
              <w:rPr>
                <w:b w:val="0"/>
              </w:rPr>
              <w:br/>
              <w:t xml:space="preserve">- </w:t>
            </w:r>
            <w:r w:rsidR="00AC59FB" w:rsidRPr="00FE3A13">
              <w:rPr>
                <w:b w:val="0"/>
              </w:rPr>
              <w:t>Réduction des subventions pour le développement du tourisme</w:t>
            </w:r>
            <w:r w:rsidR="00AC59FB" w:rsidRPr="00FE3A13">
              <w:rPr>
                <w:b w:val="0"/>
              </w:rPr>
              <w:br/>
              <w:t>- Renoncement aux subventions potestatives</w:t>
            </w:r>
            <w:r w:rsidR="00AC59FB" w:rsidRPr="00FE3A13">
              <w:rPr>
                <w:b w:val="0"/>
              </w:rPr>
              <w:br/>
              <w:t xml:space="preserve">- </w:t>
            </w:r>
            <w:r w:rsidR="005D308A" w:rsidRPr="00FE3A13">
              <w:rPr>
                <w:b w:val="0"/>
              </w:rPr>
              <w:t>Réduction du taux de subvention pour les plateformes multimodales</w:t>
            </w:r>
            <w:r w:rsidR="002C2553" w:rsidRPr="00FE3A13">
              <w:rPr>
                <w:b w:val="0"/>
              </w:rPr>
              <w:br/>
              <w:t xml:space="preserve">- </w:t>
            </w:r>
            <w:r w:rsidR="005D308A" w:rsidRPr="00FE3A13">
              <w:rPr>
                <w:b w:val="0"/>
              </w:rPr>
              <w:t>Réduction de l'enveloppe pour diverses mesures de soutien aux entreprises</w:t>
            </w:r>
            <w:r w:rsidR="002C2553" w:rsidRPr="00FE3A13">
              <w:rPr>
                <w:b w:val="0"/>
              </w:rPr>
              <w:br/>
              <w:t xml:space="preserve">- </w:t>
            </w:r>
            <w:r w:rsidR="005D308A" w:rsidRPr="00FE3A13">
              <w:rPr>
                <w:b w:val="0"/>
              </w:rPr>
              <w:t>Réduction pour l'entraide à l'étranger</w:t>
            </w:r>
          </w:p>
        </w:tc>
      </w:tr>
    </w:tbl>
    <w:p w14:paraId="51374C94" w14:textId="3A5E48F4" w:rsidR="00B84E83" w:rsidRPr="00FE3A13" w:rsidRDefault="00D350C8" w:rsidP="00D350C8">
      <w:pPr>
        <w:pStyle w:val="Listealphabtique"/>
        <w:numPr>
          <w:ilvl w:val="0"/>
          <w:numId w:val="31"/>
        </w:numPr>
        <w:ind w:left="426" w:hanging="426"/>
        <w:rPr>
          <w:b/>
          <w:bCs/>
        </w:rPr>
      </w:pPr>
      <w:r w:rsidRPr="00FE3A13">
        <w:rPr>
          <w:b/>
          <w:bCs/>
        </w:rPr>
        <w:t>Mesures nécessaires pour respecter le plan financier</w:t>
      </w:r>
    </w:p>
    <w:p w14:paraId="75D26E95" w14:textId="7CA3E0D1" w:rsidR="00D350C8" w:rsidRPr="00FE3A13" w:rsidRDefault="00D350C8" w:rsidP="00D350C8">
      <w:pPr>
        <w:pStyle w:val="Listealphabtique"/>
        <w:numPr>
          <w:ilvl w:val="0"/>
          <w:numId w:val="0"/>
        </w:numPr>
        <w:rPr>
          <w:b/>
          <w:bCs/>
        </w:rPr>
      </w:pPr>
      <w:r w:rsidRPr="00FE3A13">
        <w:rPr>
          <w:b/>
          <w:bCs/>
        </w:rPr>
        <w:t>&gt;</w:t>
      </w:r>
      <w:r w:rsidRPr="00FE3A13">
        <w:rPr>
          <w:b/>
          <w:bCs/>
        </w:rPr>
        <w:tab/>
      </w:r>
      <w:r w:rsidR="00B0194B" w:rsidRPr="00FE3A13">
        <w:rPr>
          <w:b/>
          <w:bCs/>
        </w:rPr>
        <w:t>Ralentissement sur les investissements et les rénovations dans les institutions spécialisées</w:t>
      </w:r>
    </w:p>
    <w:p w14:paraId="5869E885" w14:textId="56E3DFF8" w:rsidR="00D350C8" w:rsidRPr="00FE3A13" w:rsidRDefault="00D350C8" w:rsidP="00D350C8">
      <w:pPr>
        <w:pStyle w:val="Corpsdetexte"/>
      </w:pPr>
      <w:r w:rsidRPr="00FE3A13">
        <w:t>La m</w:t>
      </w:r>
      <w:r w:rsidR="00B0194B" w:rsidRPr="00FE3A13">
        <w:t>esure vise à reporter les projets d’investissements et de rénovations dans les institutions spécialisées jusqu’en 2029</w:t>
      </w:r>
      <w:r w:rsidR="008348CA" w:rsidRPr="00FE3A13">
        <w:t xml:space="preserve"> afin de limiter l’augmentation des frais financiers (intérêts et amortissement) liés à la construction ou la rénovation des institutions spécialisées fribourgeoises</w:t>
      </w:r>
      <w:r w:rsidR="00B0194B" w:rsidRPr="00FE3A13">
        <w:t>. Les projets déjà lancés et ceux en lien avec les nouvelles places ne sont pas concerné</w:t>
      </w:r>
      <w:r w:rsidR="00DE120F" w:rsidRPr="00FE3A13">
        <w:t>s</w:t>
      </w:r>
      <w:r w:rsidR="00B0194B" w:rsidRPr="00FE3A13">
        <w:t xml:space="preserve">. </w:t>
      </w:r>
      <w:r w:rsidR="00DE120F" w:rsidRPr="00FE3A13">
        <w:t>Ces charges seront, au moins partiellement, reportées</w:t>
      </w:r>
      <w:r w:rsidR="00B0194B" w:rsidRPr="00FE3A13">
        <w:t xml:space="preserve"> sur les années prochaines. Cette mesure demande de renoncer à environ 10 projets de construction et/ou de rénovation. </w:t>
      </w:r>
      <w:r w:rsidR="00DE120F" w:rsidRPr="00FE3A13">
        <w:t xml:space="preserve">Ces projets sont financés à </w:t>
      </w:r>
      <w:r w:rsidR="00B0194B" w:rsidRPr="00FE3A13">
        <w:t>45%</w:t>
      </w:r>
      <w:r w:rsidR="00DE120F" w:rsidRPr="00FE3A13">
        <w:t xml:space="preserve"> par l’</w:t>
      </w:r>
      <w:r w:rsidR="00B0194B" w:rsidRPr="00FE3A13">
        <w:t xml:space="preserve">Etat </w:t>
      </w:r>
      <w:r w:rsidR="00DE120F" w:rsidRPr="00FE3A13">
        <w:t xml:space="preserve">et à </w:t>
      </w:r>
      <w:r w:rsidR="00B0194B" w:rsidRPr="00FE3A13">
        <w:t xml:space="preserve">55% </w:t>
      </w:r>
      <w:r w:rsidR="00DE120F" w:rsidRPr="00FE3A13">
        <w:t xml:space="preserve">par les </w:t>
      </w:r>
      <w:r w:rsidR="00B0194B" w:rsidRPr="00FE3A13">
        <w:t>communes.</w:t>
      </w:r>
    </w:p>
    <w:tbl>
      <w:tblPr>
        <w:tblStyle w:val="TableauEtatFR"/>
        <w:tblW w:w="5000" w:type="pct"/>
        <w:tblLook w:val="04E0" w:firstRow="1" w:lastRow="1" w:firstColumn="1" w:lastColumn="0" w:noHBand="0" w:noVBand="1"/>
      </w:tblPr>
      <w:tblGrid>
        <w:gridCol w:w="3312"/>
        <w:gridCol w:w="1653"/>
        <w:gridCol w:w="1653"/>
        <w:gridCol w:w="1653"/>
        <w:gridCol w:w="1649"/>
      </w:tblGrid>
      <w:tr w:rsidR="00DE120F" w:rsidRPr="00FE3A13" w14:paraId="6D6A948B" w14:textId="77777777" w:rsidTr="00BF09D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BEF077E" w14:textId="77777777" w:rsidR="00DE120F" w:rsidRPr="00FE3A13" w:rsidRDefault="00DE120F" w:rsidP="00C270FC">
            <w:pPr>
              <w:pStyle w:val="NIVtableau"/>
              <w:rPr>
                <w:color w:val="auto"/>
                <w:sz w:val="21"/>
                <w:lang w:val="fr-FR"/>
              </w:rPr>
            </w:pPr>
            <w:r w:rsidRPr="00FE3A13">
              <w:rPr>
                <w:lang w:val="fr-FR"/>
              </w:rPr>
              <w:lastRenderedPageBreak/>
              <w:t>Incidences financières en francs</w:t>
            </w:r>
          </w:p>
        </w:tc>
        <w:tc>
          <w:tcPr>
            <w:tcW w:w="833" w:type="pct"/>
          </w:tcPr>
          <w:p w14:paraId="3BFF3036" w14:textId="77777777" w:rsidR="00DE120F" w:rsidRPr="00FE3A13" w:rsidRDefault="00DE120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7E94D60" w14:textId="77777777" w:rsidR="00DE120F" w:rsidRPr="00FE3A13" w:rsidRDefault="00DE120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C4A39D5" w14:textId="77777777" w:rsidR="00DE120F" w:rsidRPr="00FE3A13" w:rsidRDefault="00DE120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699980B" w14:textId="77777777" w:rsidR="00DE120F" w:rsidRPr="00FE3A13" w:rsidRDefault="00DE120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DE120F" w:rsidRPr="00FE3A13" w14:paraId="0ACAFE8C" w14:textId="77777777" w:rsidTr="00BF09D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CD17B54" w14:textId="77777777" w:rsidR="00DE120F" w:rsidRPr="00FE3A13" w:rsidRDefault="00DE120F" w:rsidP="00C270FC">
            <w:pPr>
              <w:pStyle w:val="NIVtableau"/>
              <w:rPr>
                <w:lang w:val="en-US"/>
              </w:rPr>
            </w:pPr>
            <w:r w:rsidRPr="00FE3A13">
              <w:rPr>
                <w:lang w:val="en-US"/>
              </w:rPr>
              <w:t>Etat</w:t>
            </w:r>
          </w:p>
        </w:tc>
        <w:tc>
          <w:tcPr>
            <w:tcW w:w="833" w:type="pct"/>
          </w:tcPr>
          <w:p w14:paraId="7B750F77" w14:textId="6B978E8D" w:rsidR="00DE120F" w:rsidRPr="00FE3A13" w:rsidRDefault="00DE120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349 000</w:t>
            </w:r>
          </w:p>
        </w:tc>
        <w:tc>
          <w:tcPr>
            <w:tcW w:w="833" w:type="pct"/>
          </w:tcPr>
          <w:p w14:paraId="54DF5326" w14:textId="70D4DA3D" w:rsidR="00DE120F" w:rsidRPr="00FE3A13" w:rsidRDefault="00DE120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515 000</w:t>
            </w:r>
          </w:p>
        </w:tc>
        <w:tc>
          <w:tcPr>
            <w:tcW w:w="833" w:type="pct"/>
          </w:tcPr>
          <w:p w14:paraId="1685A9A8" w14:textId="187E34A8" w:rsidR="00DE120F" w:rsidRPr="00FE3A13" w:rsidRDefault="00DE120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846 000</w:t>
            </w:r>
          </w:p>
        </w:tc>
        <w:tc>
          <w:tcPr>
            <w:tcW w:w="831" w:type="pct"/>
          </w:tcPr>
          <w:p w14:paraId="20CA4522" w14:textId="50C4B4CA" w:rsidR="00DE120F" w:rsidRPr="00FE3A13" w:rsidRDefault="00DE120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 xml:space="preserve">1 </w:t>
            </w:r>
            <w:r w:rsidR="0070745A" w:rsidRPr="00FE3A13">
              <w:rPr>
                <w:lang w:val="en-US"/>
              </w:rPr>
              <w:t>71</w:t>
            </w:r>
            <w:r w:rsidRPr="00FE3A13">
              <w:rPr>
                <w:lang w:val="en-US"/>
              </w:rPr>
              <w:t>0 000</w:t>
            </w:r>
          </w:p>
        </w:tc>
      </w:tr>
      <w:tr w:rsidR="00DE120F" w:rsidRPr="00FE3A13" w14:paraId="11AC9E75" w14:textId="77777777" w:rsidTr="00BF09D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894087E" w14:textId="77777777" w:rsidR="00DE120F" w:rsidRPr="00FE3A13" w:rsidRDefault="00DE120F" w:rsidP="00C270FC">
            <w:pPr>
              <w:pStyle w:val="NIVtableau"/>
              <w:rPr>
                <w:b w:val="0"/>
                <w:lang w:val="en-US"/>
              </w:rPr>
            </w:pPr>
            <w:r w:rsidRPr="00FE3A13">
              <w:rPr>
                <w:b w:val="0"/>
                <w:lang w:val="en-US"/>
              </w:rPr>
              <w:t>Communes</w:t>
            </w:r>
          </w:p>
        </w:tc>
        <w:tc>
          <w:tcPr>
            <w:tcW w:w="833" w:type="pct"/>
          </w:tcPr>
          <w:p w14:paraId="52169620" w14:textId="7031ED02" w:rsidR="00DE120F" w:rsidRPr="00FE3A13" w:rsidRDefault="0070745A"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426 000</w:t>
            </w:r>
          </w:p>
        </w:tc>
        <w:tc>
          <w:tcPr>
            <w:tcW w:w="833" w:type="pct"/>
          </w:tcPr>
          <w:p w14:paraId="478A26FC" w14:textId="4646EAD9" w:rsidR="00DE120F" w:rsidRPr="00FE3A13" w:rsidRDefault="0070745A"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630 000</w:t>
            </w:r>
          </w:p>
        </w:tc>
        <w:tc>
          <w:tcPr>
            <w:tcW w:w="833" w:type="pct"/>
          </w:tcPr>
          <w:p w14:paraId="1A0677D4" w14:textId="2E70ECBF" w:rsidR="00DE120F" w:rsidRPr="00FE3A13" w:rsidRDefault="0070745A"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1 034 000</w:t>
            </w:r>
          </w:p>
        </w:tc>
        <w:tc>
          <w:tcPr>
            <w:tcW w:w="831" w:type="pct"/>
          </w:tcPr>
          <w:p w14:paraId="052FB12C" w14:textId="1BE96E7E" w:rsidR="00DE120F" w:rsidRPr="00FE3A13" w:rsidRDefault="0070745A"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2 090 000</w:t>
            </w:r>
          </w:p>
        </w:tc>
      </w:tr>
    </w:tbl>
    <w:p w14:paraId="3910FED9" w14:textId="1C218E52" w:rsidR="002A446B" w:rsidRPr="00FE3A13" w:rsidRDefault="002A446B" w:rsidP="002A446B">
      <w:pPr>
        <w:pStyle w:val="Listealphabtique"/>
        <w:numPr>
          <w:ilvl w:val="0"/>
          <w:numId w:val="0"/>
        </w:numPr>
        <w:rPr>
          <w:b/>
          <w:bCs/>
        </w:rPr>
      </w:pPr>
      <w:r w:rsidRPr="00FE3A13">
        <w:rPr>
          <w:b/>
          <w:bCs/>
        </w:rPr>
        <w:t>&gt;</w:t>
      </w:r>
      <w:r w:rsidRPr="00FE3A13">
        <w:rPr>
          <w:b/>
          <w:bCs/>
        </w:rPr>
        <w:tab/>
        <w:t>Non-compensation des baisses des aides fédérales dans le domaine de l'environnemen</w:t>
      </w:r>
      <w:r w:rsidR="004A1325" w:rsidRPr="00FE3A13">
        <w:rPr>
          <w:b/>
          <w:bCs/>
        </w:rPr>
        <w:t>t</w:t>
      </w:r>
    </w:p>
    <w:p w14:paraId="5C0D9D40" w14:textId="0904939A" w:rsidR="002A446B" w:rsidRPr="00FE3A13" w:rsidRDefault="002A446B" w:rsidP="002A446B">
      <w:r w:rsidRPr="00FE3A13">
        <w:t xml:space="preserve">La mesure renonce à compenser la baisse des aides fédérales dans le domaine de l’environnement. Dans ce domaine, la Confédération prévoit des mesures d’économies avec une réduction de 10% </w:t>
      </w:r>
      <w:r w:rsidR="0070745A" w:rsidRPr="00FE3A13">
        <w:t xml:space="preserve">des subventions </w:t>
      </w:r>
      <w:r w:rsidRPr="00FE3A13">
        <w:t>dès 2026. Cette baisse ne sera pas compensée.</w:t>
      </w:r>
    </w:p>
    <w:tbl>
      <w:tblPr>
        <w:tblStyle w:val="TableauEtatFR"/>
        <w:tblW w:w="5000" w:type="pct"/>
        <w:tblLook w:val="04E0" w:firstRow="1" w:lastRow="1" w:firstColumn="1" w:lastColumn="0" w:noHBand="0" w:noVBand="1"/>
      </w:tblPr>
      <w:tblGrid>
        <w:gridCol w:w="3312"/>
        <w:gridCol w:w="1653"/>
        <w:gridCol w:w="1653"/>
        <w:gridCol w:w="1653"/>
        <w:gridCol w:w="1649"/>
      </w:tblGrid>
      <w:tr w:rsidR="002A446B" w:rsidRPr="00FE3A13" w14:paraId="43498DC0"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15698F6" w14:textId="77777777" w:rsidR="002A446B" w:rsidRPr="00FE3A13" w:rsidRDefault="002A446B" w:rsidP="00C270FC">
            <w:pPr>
              <w:pStyle w:val="NIVtableau"/>
              <w:rPr>
                <w:color w:val="auto"/>
                <w:sz w:val="21"/>
                <w:lang w:val="fr-FR"/>
              </w:rPr>
            </w:pPr>
            <w:r w:rsidRPr="00FE3A13">
              <w:rPr>
                <w:lang w:val="fr-FR"/>
              </w:rPr>
              <w:t>Incidences financières en francs</w:t>
            </w:r>
          </w:p>
        </w:tc>
        <w:tc>
          <w:tcPr>
            <w:tcW w:w="833" w:type="pct"/>
          </w:tcPr>
          <w:p w14:paraId="4236E0BF" w14:textId="77777777" w:rsidR="002A446B" w:rsidRPr="00FE3A13" w:rsidRDefault="002A446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E58CEE3" w14:textId="77777777" w:rsidR="002A446B" w:rsidRPr="00FE3A13" w:rsidRDefault="002A446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005A997" w14:textId="77777777" w:rsidR="002A446B" w:rsidRPr="00FE3A13" w:rsidRDefault="002A446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3447D881" w14:textId="77777777" w:rsidR="002A446B" w:rsidRPr="00FE3A13" w:rsidRDefault="002A446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A446B" w:rsidRPr="00FE3A13" w14:paraId="75430647"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7CFE420" w14:textId="77777777" w:rsidR="002A446B" w:rsidRPr="00FE3A13" w:rsidRDefault="002A446B" w:rsidP="00C270FC">
            <w:pPr>
              <w:pStyle w:val="NIVtableau"/>
              <w:rPr>
                <w:lang w:val="en-US"/>
              </w:rPr>
            </w:pPr>
            <w:r w:rsidRPr="00FE3A13">
              <w:rPr>
                <w:lang w:val="en-US"/>
              </w:rPr>
              <w:t>Etat</w:t>
            </w:r>
          </w:p>
        </w:tc>
        <w:tc>
          <w:tcPr>
            <w:tcW w:w="833" w:type="pct"/>
          </w:tcPr>
          <w:p w14:paraId="7D6F969C" w14:textId="77777777" w:rsidR="002A446B" w:rsidRPr="00FE3A13" w:rsidRDefault="002A446B"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1 320 000</w:t>
            </w:r>
          </w:p>
        </w:tc>
        <w:tc>
          <w:tcPr>
            <w:tcW w:w="833" w:type="pct"/>
          </w:tcPr>
          <w:p w14:paraId="3CF1C998" w14:textId="77777777" w:rsidR="002A446B" w:rsidRPr="00FE3A13" w:rsidRDefault="002A446B"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1 320 000</w:t>
            </w:r>
          </w:p>
        </w:tc>
        <w:tc>
          <w:tcPr>
            <w:tcW w:w="833" w:type="pct"/>
          </w:tcPr>
          <w:p w14:paraId="22CFADDA" w14:textId="77777777" w:rsidR="002A446B" w:rsidRPr="00FE3A13" w:rsidRDefault="002A446B"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1 320 000</w:t>
            </w:r>
          </w:p>
        </w:tc>
        <w:tc>
          <w:tcPr>
            <w:tcW w:w="831" w:type="pct"/>
          </w:tcPr>
          <w:p w14:paraId="144D51AD" w14:textId="77777777" w:rsidR="002A446B" w:rsidRPr="00FE3A13" w:rsidRDefault="002A446B"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3 960 000</w:t>
            </w:r>
          </w:p>
        </w:tc>
      </w:tr>
      <w:tr w:rsidR="002A446B" w:rsidRPr="00FE3A13" w14:paraId="55400A9D"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754C6FC" w14:textId="77777777" w:rsidR="002A446B" w:rsidRPr="00FE3A13" w:rsidRDefault="002A446B" w:rsidP="00C270FC">
            <w:pPr>
              <w:pStyle w:val="NIVtableau"/>
              <w:rPr>
                <w:b w:val="0"/>
                <w:lang w:val="en-US"/>
              </w:rPr>
            </w:pPr>
            <w:r w:rsidRPr="00FE3A13">
              <w:rPr>
                <w:b w:val="0"/>
                <w:lang w:val="en-US"/>
              </w:rPr>
              <w:t>Communes</w:t>
            </w:r>
          </w:p>
        </w:tc>
        <w:tc>
          <w:tcPr>
            <w:tcW w:w="833" w:type="pct"/>
          </w:tcPr>
          <w:p w14:paraId="7A626851" w14:textId="77777777" w:rsidR="002A446B" w:rsidRPr="00FE3A13" w:rsidRDefault="002A446B"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C48E32A" w14:textId="77777777" w:rsidR="002A446B" w:rsidRPr="00FE3A13" w:rsidRDefault="002A446B"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33F7FEE" w14:textId="77777777" w:rsidR="002A446B" w:rsidRPr="00FE3A13" w:rsidRDefault="002A446B"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361B6D62" w14:textId="77777777" w:rsidR="002A446B" w:rsidRPr="00FE3A13" w:rsidRDefault="002A446B"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4E41ADB" w14:textId="77777777" w:rsidR="002A446B" w:rsidRPr="00FE3A13" w:rsidRDefault="002A446B" w:rsidP="002A446B">
      <w:pPr>
        <w:pStyle w:val="Listealphabtique"/>
        <w:numPr>
          <w:ilvl w:val="0"/>
          <w:numId w:val="0"/>
        </w:numPr>
        <w:rPr>
          <w:b/>
          <w:bCs/>
        </w:rPr>
      </w:pPr>
      <w:r w:rsidRPr="00FE3A13">
        <w:rPr>
          <w:b/>
          <w:bCs/>
        </w:rPr>
        <w:t>&gt;</w:t>
      </w:r>
      <w:r w:rsidRPr="00FE3A13">
        <w:rPr>
          <w:b/>
          <w:bCs/>
        </w:rPr>
        <w:tab/>
        <w:t>Augmentation du coefficient par EPT pour le personnel de soins en EMS</w:t>
      </w:r>
    </w:p>
    <w:p w14:paraId="67E73A89" w14:textId="77777777" w:rsidR="008348CA" w:rsidRPr="00FE3A13" w:rsidRDefault="008348CA" w:rsidP="008348CA">
      <w:r w:rsidRPr="00FE3A13">
        <w:t xml:space="preserve">Avec cette mesure, pour le calcul de la dotation autorisée selon l’ordonnance du 3 décembre 2013 sur les besoins en soins et en accompagnement, le temps passé au lit du résident pris en considération passe à 1 806 heures par unité de personnel à plein temps, contre 1 772.40 heures aujourd’hui. </w:t>
      </w:r>
    </w:p>
    <w:p w14:paraId="2CBD825F" w14:textId="71CAACF4" w:rsidR="008348CA" w:rsidRPr="00FE3A13" w:rsidRDefault="009A653B" w:rsidP="008348CA">
      <w:r>
        <w:t>L</w:t>
      </w:r>
      <w:r w:rsidR="008348CA" w:rsidRPr="00FE3A13">
        <w:t>e calcul</w:t>
      </w:r>
      <w:r>
        <w:t xml:space="preserve"> est basé sur</w:t>
      </w:r>
      <w:r w:rsidR="008348CA" w:rsidRPr="00FE3A13">
        <w:t xml:space="preserve"> le temps de travail annuel (42 heures par semaine). Sont ensuite déduits les vacances, les jours fériés, les journées de formation continue ainsi que le temps d'habillage journalier. Le nouveau nombre d’heure</w:t>
      </w:r>
      <w:r w:rsidR="00090423">
        <w:t>s</w:t>
      </w:r>
      <w:r w:rsidR="008348CA" w:rsidRPr="00FE3A13">
        <w:t xml:space="preserve"> par unité de personnel à plein temps est lié aux modalités de remplacement du personnel de soins afin d’assurer la présence minimale au lit du résident en cas de maladie et accident. </w:t>
      </w:r>
    </w:p>
    <w:p w14:paraId="4960AC55" w14:textId="7D3F3FDD" w:rsidR="008348CA" w:rsidRPr="00FE3A13" w:rsidRDefault="008348CA" w:rsidP="008348CA">
      <w:r w:rsidRPr="00FE3A13">
        <w:t>Cette modification entraine une baisse de l’effectif de l’ordre de 1 EPT pour un EMS de 100 lits et par conséquent du coût des soins, tout en maintenant le même temps de présence au lit du patient.</w:t>
      </w:r>
    </w:p>
    <w:tbl>
      <w:tblPr>
        <w:tblStyle w:val="TableauEtatFR"/>
        <w:tblW w:w="5000" w:type="pct"/>
        <w:tblLook w:val="04E0" w:firstRow="1" w:lastRow="1" w:firstColumn="1" w:lastColumn="0" w:noHBand="0" w:noVBand="1"/>
      </w:tblPr>
      <w:tblGrid>
        <w:gridCol w:w="3312"/>
        <w:gridCol w:w="1653"/>
        <w:gridCol w:w="1653"/>
        <w:gridCol w:w="1653"/>
        <w:gridCol w:w="1649"/>
      </w:tblGrid>
      <w:tr w:rsidR="00155137" w:rsidRPr="00FE3A13" w14:paraId="15E6CD04"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A8EC841" w14:textId="77777777" w:rsidR="00155137" w:rsidRPr="00FE3A13" w:rsidRDefault="00155137" w:rsidP="00C270FC">
            <w:pPr>
              <w:pStyle w:val="NIVtableau"/>
              <w:rPr>
                <w:color w:val="auto"/>
                <w:sz w:val="21"/>
                <w:lang w:val="fr-FR"/>
              </w:rPr>
            </w:pPr>
            <w:r w:rsidRPr="00FE3A13">
              <w:rPr>
                <w:lang w:val="fr-FR"/>
              </w:rPr>
              <w:t>Incidences financières en francs</w:t>
            </w:r>
          </w:p>
        </w:tc>
        <w:tc>
          <w:tcPr>
            <w:tcW w:w="833" w:type="pct"/>
          </w:tcPr>
          <w:p w14:paraId="02A568BE" w14:textId="77777777" w:rsidR="00155137" w:rsidRPr="00FE3A13" w:rsidRDefault="0015513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EAFEF8E" w14:textId="77777777" w:rsidR="00155137" w:rsidRPr="00FE3A13" w:rsidRDefault="0015513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E85ECB5" w14:textId="77777777" w:rsidR="00155137" w:rsidRPr="00FE3A13" w:rsidRDefault="0015513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52D6CF98" w14:textId="77777777" w:rsidR="00155137" w:rsidRPr="00FE3A13" w:rsidRDefault="0015513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155137" w:rsidRPr="00FE3A13" w14:paraId="266332FA"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253E147" w14:textId="77777777" w:rsidR="00155137" w:rsidRPr="00FE3A13" w:rsidRDefault="00155137" w:rsidP="00C270FC">
            <w:pPr>
              <w:pStyle w:val="NIVtableau"/>
              <w:rPr>
                <w:lang w:val="en-US"/>
              </w:rPr>
            </w:pPr>
            <w:r w:rsidRPr="00FE3A13">
              <w:rPr>
                <w:lang w:val="en-US"/>
              </w:rPr>
              <w:t>Etat</w:t>
            </w:r>
          </w:p>
        </w:tc>
        <w:tc>
          <w:tcPr>
            <w:tcW w:w="833" w:type="pct"/>
          </w:tcPr>
          <w:p w14:paraId="76F63DED" w14:textId="7AD9D3BE" w:rsidR="00155137" w:rsidRPr="00FE3A13" w:rsidRDefault="0015513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885 000</w:t>
            </w:r>
          </w:p>
        </w:tc>
        <w:tc>
          <w:tcPr>
            <w:tcW w:w="833" w:type="pct"/>
          </w:tcPr>
          <w:p w14:paraId="5FB2A4D5" w14:textId="20B63DB5" w:rsidR="00155137" w:rsidRPr="00FE3A13" w:rsidRDefault="0015513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885 000</w:t>
            </w:r>
          </w:p>
        </w:tc>
        <w:tc>
          <w:tcPr>
            <w:tcW w:w="833" w:type="pct"/>
          </w:tcPr>
          <w:p w14:paraId="636A6368" w14:textId="6946D8CA" w:rsidR="00155137" w:rsidRPr="00FE3A13" w:rsidRDefault="0015513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885 000</w:t>
            </w:r>
          </w:p>
        </w:tc>
        <w:tc>
          <w:tcPr>
            <w:tcW w:w="831" w:type="pct"/>
          </w:tcPr>
          <w:p w14:paraId="0374796E" w14:textId="3CC2FD44" w:rsidR="00155137" w:rsidRPr="00FE3A13" w:rsidRDefault="0015513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2 655 000</w:t>
            </w:r>
          </w:p>
        </w:tc>
      </w:tr>
      <w:tr w:rsidR="00155137" w:rsidRPr="00FE3A13" w14:paraId="6D063525"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6A75545" w14:textId="77777777" w:rsidR="00155137" w:rsidRPr="00FE3A13" w:rsidRDefault="00155137" w:rsidP="00C270FC">
            <w:pPr>
              <w:pStyle w:val="NIVtableau"/>
              <w:rPr>
                <w:b w:val="0"/>
                <w:lang w:val="en-US"/>
              </w:rPr>
            </w:pPr>
            <w:r w:rsidRPr="00FE3A13">
              <w:rPr>
                <w:b w:val="0"/>
                <w:lang w:val="en-US"/>
              </w:rPr>
              <w:t>Communes</w:t>
            </w:r>
          </w:p>
        </w:tc>
        <w:tc>
          <w:tcPr>
            <w:tcW w:w="833" w:type="pct"/>
          </w:tcPr>
          <w:p w14:paraId="1C7F179A" w14:textId="606F3664" w:rsidR="00155137" w:rsidRPr="00FE3A13" w:rsidRDefault="0015513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1 080 000</w:t>
            </w:r>
          </w:p>
        </w:tc>
        <w:tc>
          <w:tcPr>
            <w:tcW w:w="833" w:type="pct"/>
          </w:tcPr>
          <w:p w14:paraId="52B93920" w14:textId="5101441D" w:rsidR="00155137" w:rsidRPr="00FE3A13" w:rsidRDefault="0015513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1 080 000</w:t>
            </w:r>
          </w:p>
        </w:tc>
        <w:tc>
          <w:tcPr>
            <w:tcW w:w="833" w:type="pct"/>
          </w:tcPr>
          <w:p w14:paraId="26D153B9" w14:textId="0EA02170" w:rsidR="00155137" w:rsidRPr="00FE3A13" w:rsidRDefault="0015513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1 080 000</w:t>
            </w:r>
          </w:p>
        </w:tc>
        <w:tc>
          <w:tcPr>
            <w:tcW w:w="831" w:type="pct"/>
          </w:tcPr>
          <w:p w14:paraId="4785A48B" w14:textId="3AB00D25" w:rsidR="00155137" w:rsidRPr="00FE3A13" w:rsidRDefault="0015513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3 240 000</w:t>
            </w:r>
          </w:p>
        </w:tc>
      </w:tr>
    </w:tbl>
    <w:p w14:paraId="18071B95" w14:textId="4254F631" w:rsidR="002E25F6" w:rsidRPr="00FE3A13" w:rsidRDefault="002E25F6" w:rsidP="002E25F6">
      <w:pPr>
        <w:pStyle w:val="Listealphabtique"/>
        <w:numPr>
          <w:ilvl w:val="0"/>
          <w:numId w:val="0"/>
        </w:numPr>
        <w:rPr>
          <w:b/>
          <w:bCs/>
        </w:rPr>
      </w:pPr>
      <w:r w:rsidRPr="00FE3A13">
        <w:rPr>
          <w:b/>
          <w:bCs/>
        </w:rPr>
        <w:t>&gt;</w:t>
      </w:r>
      <w:r w:rsidRPr="00FE3A13">
        <w:rPr>
          <w:b/>
          <w:bCs/>
        </w:rPr>
        <w:tab/>
        <w:t>Augmentation du coefficient par EPT et baisse de la dotation accompagnement en EMS</w:t>
      </w:r>
    </w:p>
    <w:p w14:paraId="33ECF83E" w14:textId="1DDFFE6D" w:rsidR="006B2BF9" w:rsidRPr="00FE3A13" w:rsidRDefault="006B2BF9" w:rsidP="006B2BF9">
      <w:pPr>
        <w:pStyle w:val="Corpsdetexte"/>
        <w:rPr>
          <w:lang w:val="fr-FR"/>
        </w:rPr>
      </w:pPr>
      <w:r w:rsidRPr="00FE3A13">
        <w:rPr>
          <w:lang w:val="fr-FR"/>
        </w:rPr>
        <w:t xml:space="preserve">Selon les mêmes principes que pour la mesure précédente </w:t>
      </w:r>
      <w:r w:rsidRPr="00090423">
        <w:rPr>
          <w:lang w:val="fr-FR"/>
        </w:rPr>
        <w:t>(</w:t>
      </w:r>
      <w:r w:rsidR="00090423">
        <w:rPr>
          <w:lang w:val="fr-FR"/>
        </w:rPr>
        <w:t>a</w:t>
      </w:r>
      <w:r w:rsidRPr="00082EB9">
        <w:rPr>
          <w:lang w:val="fr-FR"/>
        </w:rPr>
        <w:t>ugmentation du coefficient par EPT pour le personnel de soins en EMS</w:t>
      </w:r>
      <w:r w:rsidRPr="00090423">
        <w:rPr>
          <w:lang w:val="fr-FR"/>
        </w:rPr>
        <w:t>),</w:t>
      </w:r>
      <w:r w:rsidRPr="00FE3A13">
        <w:rPr>
          <w:lang w:val="fr-FR"/>
        </w:rPr>
        <w:t xml:space="preserve"> le coefficient d’heures au lit du résident pour les prestations d’accompagnement est également augmenté de 1772.40 à 1806 heures par unité de personnel à plein temps. </w:t>
      </w:r>
    </w:p>
    <w:p w14:paraId="72572C1D" w14:textId="5110A414" w:rsidR="006B2BF9" w:rsidRPr="00FE3A13" w:rsidRDefault="006B2BF9" w:rsidP="006B2BF9">
      <w:pPr>
        <w:pStyle w:val="Corpsdetexte"/>
        <w:rPr>
          <w:lang w:val="fr-FR"/>
        </w:rPr>
      </w:pPr>
      <w:r w:rsidRPr="00FE3A13">
        <w:rPr>
          <w:lang w:val="fr-FR"/>
        </w:rPr>
        <w:t>Ceci a pour conséquence une baisse de l’effectif de l’ordre de 1 EPT pour un EMS de 100 lits et donc du prix de l’accompagnement, tout en maintenant le même temps de présence au lit du patient. Pour les personnes ayant suffisamment de ressources propres, la facture journalière serait diminuée. Pour les autres, la subvention aux frais d'accompagnement serait diminuée.</w:t>
      </w:r>
    </w:p>
    <w:tbl>
      <w:tblPr>
        <w:tblStyle w:val="TableauEtatFR"/>
        <w:tblW w:w="5000" w:type="pct"/>
        <w:tblLook w:val="04E0" w:firstRow="1" w:lastRow="1" w:firstColumn="1" w:lastColumn="0" w:noHBand="0" w:noVBand="1"/>
      </w:tblPr>
      <w:tblGrid>
        <w:gridCol w:w="3312"/>
        <w:gridCol w:w="1653"/>
        <w:gridCol w:w="1653"/>
        <w:gridCol w:w="1653"/>
        <w:gridCol w:w="1649"/>
      </w:tblGrid>
      <w:tr w:rsidR="002E25F6" w:rsidRPr="00FE3A13" w14:paraId="48250020"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4BE9BCB" w14:textId="77777777" w:rsidR="002E25F6" w:rsidRPr="00FE3A13" w:rsidRDefault="002E25F6" w:rsidP="00C270FC">
            <w:pPr>
              <w:pStyle w:val="NIVtableau"/>
              <w:rPr>
                <w:color w:val="auto"/>
                <w:sz w:val="21"/>
                <w:lang w:val="fr-FR"/>
              </w:rPr>
            </w:pPr>
            <w:r w:rsidRPr="00FE3A13">
              <w:rPr>
                <w:lang w:val="fr-FR"/>
              </w:rPr>
              <w:t>Incidences financières en francs</w:t>
            </w:r>
          </w:p>
        </w:tc>
        <w:tc>
          <w:tcPr>
            <w:tcW w:w="833" w:type="pct"/>
          </w:tcPr>
          <w:p w14:paraId="5F6BA49E" w14:textId="77777777" w:rsidR="002E25F6" w:rsidRPr="00FE3A13" w:rsidRDefault="002E25F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F97347D" w14:textId="77777777" w:rsidR="002E25F6" w:rsidRPr="00FE3A13" w:rsidRDefault="002E25F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6C57940" w14:textId="77777777" w:rsidR="002E25F6" w:rsidRPr="00FE3A13" w:rsidRDefault="002E25F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0C95DED" w14:textId="77777777" w:rsidR="002E25F6" w:rsidRPr="00FE3A13" w:rsidRDefault="002E25F6"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E25F6" w:rsidRPr="00FE3A13" w14:paraId="4F60154C"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E8299DA" w14:textId="77777777" w:rsidR="002E25F6" w:rsidRPr="00FE3A13" w:rsidRDefault="002E25F6" w:rsidP="00C270FC">
            <w:pPr>
              <w:pStyle w:val="NIVtableau"/>
              <w:rPr>
                <w:lang w:val="en-US"/>
              </w:rPr>
            </w:pPr>
            <w:r w:rsidRPr="00FE3A13">
              <w:rPr>
                <w:lang w:val="en-US"/>
              </w:rPr>
              <w:t>Etat</w:t>
            </w:r>
          </w:p>
        </w:tc>
        <w:tc>
          <w:tcPr>
            <w:tcW w:w="833" w:type="pct"/>
          </w:tcPr>
          <w:p w14:paraId="0355176A" w14:textId="438465E1" w:rsidR="002E25F6" w:rsidRPr="00FE3A13" w:rsidRDefault="002E25F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1 310 000</w:t>
            </w:r>
          </w:p>
        </w:tc>
        <w:tc>
          <w:tcPr>
            <w:tcW w:w="833" w:type="pct"/>
          </w:tcPr>
          <w:p w14:paraId="72700177" w14:textId="691F83FE" w:rsidR="002E25F6" w:rsidRPr="00FE3A13" w:rsidRDefault="002E25F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1 310 000</w:t>
            </w:r>
          </w:p>
        </w:tc>
        <w:tc>
          <w:tcPr>
            <w:tcW w:w="833" w:type="pct"/>
          </w:tcPr>
          <w:p w14:paraId="4DF528C5" w14:textId="1152F455" w:rsidR="002E25F6" w:rsidRPr="00FE3A13" w:rsidRDefault="002E25F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1 310 000</w:t>
            </w:r>
          </w:p>
        </w:tc>
        <w:tc>
          <w:tcPr>
            <w:tcW w:w="831" w:type="pct"/>
          </w:tcPr>
          <w:p w14:paraId="5129E5C2" w14:textId="622E8EDF" w:rsidR="002E25F6" w:rsidRPr="00FE3A13" w:rsidRDefault="002E25F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3 930 000</w:t>
            </w:r>
          </w:p>
        </w:tc>
      </w:tr>
      <w:tr w:rsidR="002E25F6" w:rsidRPr="00FE3A13" w14:paraId="47B6CE85"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41DEBF0" w14:textId="77777777" w:rsidR="002E25F6" w:rsidRPr="00FE3A13" w:rsidRDefault="002E25F6" w:rsidP="00C270FC">
            <w:pPr>
              <w:pStyle w:val="NIVtableau"/>
              <w:rPr>
                <w:b w:val="0"/>
                <w:lang w:val="en-US"/>
              </w:rPr>
            </w:pPr>
            <w:r w:rsidRPr="00FE3A13">
              <w:rPr>
                <w:b w:val="0"/>
                <w:lang w:val="en-US"/>
              </w:rPr>
              <w:t>Communes</w:t>
            </w:r>
          </w:p>
        </w:tc>
        <w:tc>
          <w:tcPr>
            <w:tcW w:w="833" w:type="pct"/>
          </w:tcPr>
          <w:p w14:paraId="7AF11C2B" w14:textId="62757B28" w:rsidR="002E25F6" w:rsidRPr="00FE3A13" w:rsidRDefault="002E25F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1 600 000</w:t>
            </w:r>
          </w:p>
        </w:tc>
        <w:tc>
          <w:tcPr>
            <w:tcW w:w="833" w:type="pct"/>
          </w:tcPr>
          <w:p w14:paraId="0ED2907D" w14:textId="7351376D" w:rsidR="002E25F6" w:rsidRPr="00FE3A13" w:rsidRDefault="002E25F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1 600 000</w:t>
            </w:r>
          </w:p>
        </w:tc>
        <w:tc>
          <w:tcPr>
            <w:tcW w:w="833" w:type="pct"/>
          </w:tcPr>
          <w:p w14:paraId="3EFDD06B" w14:textId="5EEE3BD0" w:rsidR="002E25F6" w:rsidRPr="00FE3A13" w:rsidRDefault="002E25F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1 600 000</w:t>
            </w:r>
          </w:p>
        </w:tc>
        <w:tc>
          <w:tcPr>
            <w:tcW w:w="831" w:type="pct"/>
          </w:tcPr>
          <w:p w14:paraId="2A317DE0" w14:textId="24E4146D" w:rsidR="002E25F6" w:rsidRPr="00FE3A13" w:rsidRDefault="002E25F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4 800 000</w:t>
            </w:r>
          </w:p>
        </w:tc>
      </w:tr>
    </w:tbl>
    <w:p w14:paraId="18D8FE10" w14:textId="29A414F5" w:rsidR="005440A7" w:rsidRPr="00FE3A13" w:rsidRDefault="005440A7" w:rsidP="005440A7">
      <w:pPr>
        <w:pStyle w:val="Listealphabtique"/>
        <w:numPr>
          <w:ilvl w:val="0"/>
          <w:numId w:val="0"/>
        </w:numPr>
        <w:rPr>
          <w:b/>
          <w:bCs/>
        </w:rPr>
      </w:pPr>
      <w:r w:rsidRPr="00FE3A13">
        <w:rPr>
          <w:b/>
          <w:bCs/>
        </w:rPr>
        <w:t>&gt;</w:t>
      </w:r>
      <w:r w:rsidRPr="00FE3A13">
        <w:rPr>
          <w:b/>
          <w:bCs/>
        </w:rPr>
        <w:tab/>
        <w:t>Stagnation des subventions pour les charges d’exploitation (hors salaires) des institutions spécialisées</w:t>
      </w:r>
    </w:p>
    <w:p w14:paraId="45850A75" w14:textId="6B336657" w:rsidR="00DE120F" w:rsidRPr="00FE3A13" w:rsidRDefault="005440A7" w:rsidP="005440A7">
      <w:pPr>
        <w:pStyle w:val="Corpsdetexte"/>
      </w:pPr>
      <w:r w:rsidRPr="00FE3A13">
        <w:t>La mesure vise à maintenir les subventions pour les charges d’exploitation (hors salaire) des institutions spécialisées</w:t>
      </w:r>
      <w:r w:rsidR="006B506E" w:rsidRPr="00FE3A13">
        <w:t xml:space="preserve"> au niveau actuel</w:t>
      </w:r>
      <w:r w:rsidRPr="00FE3A13">
        <w:t xml:space="preserve">. Une grande partie des charges subventionnées dans les institutions spécialisées fribourgeoises </w:t>
      </w:r>
      <w:r w:rsidRPr="00FE3A13">
        <w:lastRenderedPageBreak/>
        <w:t>(handicap, addiction, mineur.e.s et jeunes adultes) sont des charges salariales</w:t>
      </w:r>
      <w:r w:rsidR="006B506E" w:rsidRPr="00FE3A13">
        <w:t xml:space="preserve"> qui ne sont pas inclues dans la mesure</w:t>
      </w:r>
      <w:r w:rsidRPr="00FE3A13">
        <w:t xml:space="preserve">. Pour les autres charges, aucune augmentation ne sera accordée dans les trois prochaines années. </w:t>
      </w:r>
      <w:r w:rsidR="006B2BF9" w:rsidRPr="00FE3A13">
        <w:rPr>
          <w:lang w:val="fr-FR"/>
        </w:rPr>
        <w:t xml:space="preserve">Les objectifs peuvent être atteints par des </w:t>
      </w:r>
      <w:r w:rsidR="006B2BF9" w:rsidRPr="00FE3A13">
        <w:t xml:space="preserve">ralentissements et des reports dans les investissements (par exemple informatique, en véhicules ou en machines), des mesures sur les recettes (facturation des places de parc dans les institutions ne le faisant pas déjà, adaptation des tarifs des repas, travail sur les prix dans les ateliers), de mesures touchant les bénéficiaires (adaptation des différents prix (par exemple transports) ou des fermetures de prestations avec de faibles taux d’occupation. </w:t>
      </w:r>
      <w:r w:rsidR="00B6107F" w:rsidRPr="00FE3A13">
        <w:t>Ces subventions sont assumées à</w:t>
      </w:r>
      <w:r w:rsidRPr="00FE3A13">
        <w:t xml:space="preserve"> 45% </w:t>
      </w:r>
      <w:r w:rsidR="00B6107F" w:rsidRPr="00FE3A13">
        <w:t>par l’</w:t>
      </w:r>
      <w:r w:rsidRPr="00FE3A13">
        <w:t xml:space="preserve">Etat </w:t>
      </w:r>
      <w:r w:rsidR="00B6107F" w:rsidRPr="00FE3A13">
        <w:t xml:space="preserve">et à </w:t>
      </w:r>
      <w:r w:rsidRPr="00FE3A13">
        <w:t xml:space="preserve">55% </w:t>
      </w:r>
      <w:r w:rsidR="00B6107F" w:rsidRPr="00FE3A13">
        <w:t xml:space="preserve">par les </w:t>
      </w:r>
      <w:r w:rsidRPr="00FE3A13">
        <w:t>communes</w:t>
      </w:r>
      <w:r w:rsidR="00B6107F"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B6107F" w:rsidRPr="00FE3A13" w14:paraId="7FFDBEE8"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13434B9" w14:textId="77777777" w:rsidR="00B6107F" w:rsidRPr="00FE3A13" w:rsidRDefault="00B6107F" w:rsidP="00C270FC">
            <w:pPr>
              <w:pStyle w:val="NIVtableau"/>
              <w:rPr>
                <w:color w:val="auto"/>
                <w:sz w:val="21"/>
                <w:lang w:val="fr-FR"/>
              </w:rPr>
            </w:pPr>
            <w:r w:rsidRPr="00FE3A13">
              <w:rPr>
                <w:lang w:val="fr-FR"/>
              </w:rPr>
              <w:t>Incidences financières en francs</w:t>
            </w:r>
          </w:p>
        </w:tc>
        <w:tc>
          <w:tcPr>
            <w:tcW w:w="833" w:type="pct"/>
          </w:tcPr>
          <w:p w14:paraId="2AD798D7" w14:textId="77777777" w:rsidR="00B6107F" w:rsidRPr="00FE3A13" w:rsidRDefault="00B6107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C0F3EB5" w14:textId="77777777" w:rsidR="00B6107F" w:rsidRPr="00FE3A13" w:rsidRDefault="00B6107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FE56DFC" w14:textId="77777777" w:rsidR="00B6107F" w:rsidRPr="00FE3A13" w:rsidRDefault="00B6107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7FB93A47" w14:textId="77777777" w:rsidR="00B6107F" w:rsidRPr="00FE3A13" w:rsidRDefault="00B6107F"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B6107F" w:rsidRPr="00FE3A13" w14:paraId="5F06ADB5"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491DA12" w14:textId="77777777" w:rsidR="00B6107F" w:rsidRPr="00FE3A13" w:rsidRDefault="00B6107F" w:rsidP="00C270FC">
            <w:pPr>
              <w:pStyle w:val="NIVtableau"/>
              <w:rPr>
                <w:lang w:val="en-US"/>
              </w:rPr>
            </w:pPr>
            <w:r w:rsidRPr="00FE3A13">
              <w:rPr>
                <w:lang w:val="en-US"/>
              </w:rPr>
              <w:t>Etat</w:t>
            </w:r>
          </w:p>
        </w:tc>
        <w:tc>
          <w:tcPr>
            <w:tcW w:w="833" w:type="pct"/>
          </w:tcPr>
          <w:p w14:paraId="2A67ADE5" w14:textId="0A32B04B" w:rsidR="00B6107F" w:rsidRPr="00FE3A13" w:rsidRDefault="00B6107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188 000</w:t>
            </w:r>
          </w:p>
        </w:tc>
        <w:tc>
          <w:tcPr>
            <w:tcW w:w="833" w:type="pct"/>
          </w:tcPr>
          <w:p w14:paraId="6686FD5C" w14:textId="72836CF5" w:rsidR="00B6107F" w:rsidRPr="00FE3A13" w:rsidRDefault="00B6107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432 000</w:t>
            </w:r>
          </w:p>
        </w:tc>
        <w:tc>
          <w:tcPr>
            <w:tcW w:w="833" w:type="pct"/>
          </w:tcPr>
          <w:p w14:paraId="63B2A416" w14:textId="01FB86BA" w:rsidR="00B6107F" w:rsidRPr="00FE3A13" w:rsidRDefault="00B6107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692 000</w:t>
            </w:r>
          </w:p>
        </w:tc>
        <w:tc>
          <w:tcPr>
            <w:tcW w:w="831" w:type="pct"/>
          </w:tcPr>
          <w:p w14:paraId="574DCEE3" w14:textId="59475442" w:rsidR="00B6107F" w:rsidRPr="00FE3A13" w:rsidRDefault="00B6107F"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1 312 000</w:t>
            </w:r>
          </w:p>
        </w:tc>
      </w:tr>
      <w:tr w:rsidR="00B6107F" w:rsidRPr="00FE3A13" w14:paraId="6B5DF645"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E42F164" w14:textId="77777777" w:rsidR="00B6107F" w:rsidRPr="00FE3A13" w:rsidRDefault="00B6107F" w:rsidP="00C270FC">
            <w:pPr>
              <w:pStyle w:val="NIVtableau"/>
              <w:rPr>
                <w:b w:val="0"/>
                <w:lang w:val="en-US"/>
              </w:rPr>
            </w:pPr>
            <w:r w:rsidRPr="00FE3A13">
              <w:rPr>
                <w:b w:val="0"/>
                <w:lang w:val="en-US"/>
              </w:rPr>
              <w:t>Communes</w:t>
            </w:r>
          </w:p>
        </w:tc>
        <w:tc>
          <w:tcPr>
            <w:tcW w:w="833" w:type="pct"/>
          </w:tcPr>
          <w:p w14:paraId="09334DBE" w14:textId="618D058B" w:rsidR="00B6107F" w:rsidRPr="00FE3A13" w:rsidRDefault="00B6107F"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230 000</w:t>
            </w:r>
          </w:p>
        </w:tc>
        <w:tc>
          <w:tcPr>
            <w:tcW w:w="833" w:type="pct"/>
          </w:tcPr>
          <w:p w14:paraId="103A1F49" w14:textId="43592D3D" w:rsidR="00B6107F" w:rsidRPr="00FE3A13" w:rsidRDefault="00B6107F"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527 000</w:t>
            </w:r>
          </w:p>
        </w:tc>
        <w:tc>
          <w:tcPr>
            <w:tcW w:w="833" w:type="pct"/>
          </w:tcPr>
          <w:p w14:paraId="20CEDBE8" w14:textId="571D3E8E" w:rsidR="00B6107F" w:rsidRPr="00FE3A13" w:rsidRDefault="00B6107F"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846 000</w:t>
            </w:r>
          </w:p>
        </w:tc>
        <w:tc>
          <w:tcPr>
            <w:tcW w:w="831" w:type="pct"/>
          </w:tcPr>
          <w:p w14:paraId="3AD72973" w14:textId="613CD2E9" w:rsidR="00B6107F" w:rsidRPr="00FE3A13" w:rsidRDefault="00B6107F"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1 603 000</w:t>
            </w:r>
          </w:p>
        </w:tc>
      </w:tr>
    </w:tbl>
    <w:p w14:paraId="4917EDBC" w14:textId="56F787B7" w:rsidR="006D642F" w:rsidRPr="00FE3A13" w:rsidRDefault="006D642F" w:rsidP="006D642F">
      <w:pPr>
        <w:pStyle w:val="Listealphabtique"/>
        <w:numPr>
          <w:ilvl w:val="0"/>
          <w:numId w:val="0"/>
        </w:numPr>
        <w:rPr>
          <w:b/>
          <w:bCs/>
        </w:rPr>
      </w:pPr>
      <w:r w:rsidRPr="00FE3A13">
        <w:rPr>
          <w:b/>
          <w:bCs/>
        </w:rPr>
        <w:t>&gt;</w:t>
      </w:r>
      <w:r w:rsidRPr="00FE3A13">
        <w:rPr>
          <w:b/>
          <w:bCs/>
        </w:rPr>
        <w:tab/>
        <w:t>Diminution de l’aide pour l'agriculture (qualité écologique et paysagère)</w:t>
      </w:r>
    </w:p>
    <w:p w14:paraId="5A4F8E3F" w14:textId="06736B4F" w:rsidR="002A446B" w:rsidRPr="00FE3A13" w:rsidRDefault="006D642F" w:rsidP="00C80005">
      <w:pPr>
        <w:pStyle w:val="Corpsdetexte"/>
      </w:pPr>
      <w:r w:rsidRPr="00FE3A13">
        <w:t xml:space="preserve">La mesure renonce à compenser la baisse de la contribution de la Confédération aux paiements directs pour la qualité écologique et paysagère. La baisse du financement </w:t>
      </w:r>
      <w:r w:rsidR="006B506E" w:rsidRPr="00FE3A13">
        <w:t xml:space="preserve">fédéral </w:t>
      </w:r>
      <w:r w:rsidR="00C80005" w:rsidRPr="00FE3A13">
        <w:t>induit une réduction</w:t>
      </w:r>
      <w:r w:rsidRPr="00FE3A13">
        <w:t xml:space="preserve"> de 90% à 50%</w:t>
      </w:r>
      <w:r w:rsidR="00C80005" w:rsidRPr="00FE3A13">
        <w:t xml:space="preserve"> représentant annuellement 7.2 millions </w:t>
      </w:r>
      <w:r w:rsidR="00A7171B" w:rsidRPr="00FE3A13">
        <w:t xml:space="preserve">de francs </w:t>
      </w:r>
      <w:r w:rsidRPr="00FE3A13">
        <w:t xml:space="preserve">pour le canton de Fribourg. </w:t>
      </w:r>
      <w:r w:rsidR="00C80005" w:rsidRPr="00FE3A13">
        <w:t>L’Etat ne compensera pas cette diminution</w:t>
      </w:r>
      <w:r w:rsidR="00F7244D">
        <w:t>, qui n’interviendra pas avant 2027.</w:t>
      </w:r>
    </w:p>
    <w:tbl>
      <w:tblPr>
        <w:tblStyle w:val="TableauEtatFR"/>
        <w:tblW w:w="5000" w:type="pct"/>
        <w:tblLook w:val="04E0" w:firstRow="1" w:lastRow="1" w:firstColumn="1" w:lastColumn="0" w:noHBand="0" w:noVBand="1"/>
      </w:tblPr>
      <w:tblGrid>
        <w:gridCol w:w="3312"/>
        <w:gridCol w:w="1653"/>
        <w:gridCol w:w="1653"/>
        <w:gridCol w:w="1653"/>
        <w:gridCol w:w="1649"/>
      </w:tblGrid>
      <w:tr w:rsidR="00C80005" w:rsidRPr="00FE3A13" w14:paraId="4689F206"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00AD53F" w14:textId="77777777" w:rsidR="00C80005" w:rsidRPr="00FE3A13" w:rsidRDefault="00C80005" w:rsidP="00C270FC">
            <w:pPr>
              <w:pStyle w:val="NIVtableau"/>
              <w:rPr>
                <w:color w:val="auto"/>
                <w:sz w:val="21"/>
                <w:lang w:val="fr-FR"/>
              </w:rPr>
            </w:pPr>
            <w:r w:rsidRPr="00FE3A13">
              <w:rPr>
                <w:lang w:val="fr-FR"/>
              </w:rPr>
              <w:t>Incidences financières en francs</w:t>
            </w:r>
          </w:p>
        </w:tc>
        <w:tc>
          <w:tcPr>
            <w:tcW w:w="833" w:type="pct"/>
          </w:tcPr>
          <w:p w14:paraId="6AA3C14E" w14:textId="77777777" w:rsidR="00C80005" w:rsidRPr="00FE3A13" w:rsidRDefault="00C8000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73BAB13" w14:textId="77777777" w:rsidR="00C80005" w:rsidRPr="00FE3A13" w:rsidRDefault="00C8000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71EB44C" w14:textId="77777777" w:rsidR="00C80005" w:rsidRPr="00FE3A13" w:rsidRDefault="00C8000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FF78A86" w14:textId="77777777" w:rsidR="00C80005" w:rsidRPr="00FE3A13" w:rsidRDefault="00C8000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C80005" w:rsidRPr="00FE3A13" w14:paraId="1FD6365F"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516A4A0" w14:textId="77777777" w:rsidR="00C80005" w:rsidRPr="00FE3A13" w:rsidRDefault="00C80005" w:rsidP="00C270FC">
            <w:pPr>
              <w:pStyle w:val="NIVtableau"/>
              <w:rPr>
                <w:lang w:val="en-US"/>
              </w:rPr>
            </w:pPr>
            <w:r w:rsidRPr="00FE3A13">
              <w:rPr>
                <w:lang w:val="en-US"/>
              </w:rPr>
              <w:t>Etat</w:t>
            </w:r>
          </w:p>
        </w:tc>
        <w:tc>
          <w:tcPr>
            <w:tcW w:w="833" w:type="pct"/>
          </w:tcPr>
          <w:p w14:paraId="40B65CCD" w14:textId="4C203369" w:rsidR="00C80005" w:rsidRPr="00FE3A13" w:rsidRDefault="00C80005"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2F12F3AC" w14:textId="415F5A60" w:rsidR="00C80005" w:rsidRPr="00FE3A13" w:rsidRDefault="00C80005"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7 200 000</w:t>
            </w:r>
          </w:p>
        </w:tc>
        <w:tc>
          <w:tcPr>
            <w:tcW w:w="833" w:type="pct"/>
          </w:tcPr>
          <w:p w14:paraId="051AE71A" w14:textId="3CFB10B5" w:rsidR="00C80005" w:rsidRPr="00FE3A13" w:rsidRDefault="00C80005"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7 200 000</w:t>
            </w:r>
          </w:p>
        </w:tc>
        <w:tc>
          <w:tcPr>
            <w:tcW w:w="833" w:type="pct"/>
          </w:tcPr>
          <w:p w14:paraId="74208D36" w14:textId="0A93F700" w:rsidR="00C80005" w:rsidRPr="00FE3A13" w:rsidRDefault="00C80005"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14 400 000</w:t>
            </w:r>
          </w:p>
        </w:tc>
      </w:tr>
      <w:tr w:rsidR="00C80005" w:rsidRPr="00FE3A13" w14:paraId="1E4DBC87"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7F0A7C2" w14:textId="77777777" w:rsidR="00C80005" w:rsidRPr="00FE3A13" w:rsidRDefault="00C80005" w:rsidP="00C270FC">
            <w:pPr>
              <w:pStyle w:val="NIVtableau"/>
              <w:rPr>
                <w:b w:val="0"/>
                <w:lang w:val="en-US"/>
              </w:rPr>
            </w:pPr>
            <w:r w:rsidRPr="00FE3A13">
              <w:rPr>
                <w:b w:val="0"/>
                <w:lang w:val="en-US"/>
              </w:rPr>
              <w:t>Communes</w:t>
            </w:r>
          </w:p>
        </w:tc>
        <w:tc>
          <w:tcPr>
            <w:tcW w:w="833" w:type="pct"/>
          </w:tcPr>
          <w:p w14:paraId="6660C818" w14:textId="4B9BD5F8" w:rsidR="00C80005" w:rsidRPr="00FE3A13" w:rsidRDefault="00C80005"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9E91C0F" w14:textId="5F3F4581" w:rsidR="00C80005" w:rsidRPr="00FE3A13" w:rsidRDefault="00C80005"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EE62F08" w14:textId="3713E503" w:rsidR="00C80005" w:rsidRPr="00FE3A13" w:rsidRDefault="00C80005"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FA73FF8" w14:textId="2EEF0850" w:rsidR="00C80005" w:rsidRPr="00FE3A13" w:rsidRDefault="00C80005"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92E955E" w14:textId="2A26D4D8" w:rsidR="00C80005" w:rsidRPr="00FE3A13" w:rsidRDefault="00C80005" w:rsidP="00C80005">
      <w:pPr>
        <w:pStyle w:val="Listealphabtique"/>
        <w:numPr>
          <w:ilvl w:val="0"/>
          <w:numId w:val="0"/>
        </w:numPr>
        <w:rPr>
          <w:b/>
          <w:bCs/>
        </w:rPr>
      </w:pPr>
      <w:r w:rsidRPr="00FE3A13">
        <w:rPr>
          <w:b/>
          <w:bCs/>
        </w:rPr>
        <w:t>&gt;</w:t>
      </w:r>
      <w:r w:rsidRPr="00FE3A13">
        <w:rPr>
          <w:b/>
          <w:bCs/>
        </w:rPr>
        <w:tab/>
        <w:t>Réduction des subventions en faveur de la biodiversité</w:t>
      </w:r>
    </w:p>
    <w:p w14:paraId="7DDAAC7B" w14:textId="28F1E632" w:rsidR="006D642F" w:rsidRPr="00FE3A13" w:rsidRDefault="00C80005" w:rsidP="00C80005">
      <w:pPr>
        <w:pStyle w:val="Corpsdetexte"/>
      </w:pPr>
      <w:r w:rsidRPr="00FE3A13">
        <w:t xml:space="preserve">La mesure propose de réduire les subventions en faveur de la biodiversité. </w:t>
      </w:r>
      <w:r w:rsidR="00363534" w:rsidRPr="00FE3A13">
        <w:t>Ce</w:t>
      </w:r>
      <w:r w:rsidRPr="00FE3A13">
        <w:t xml:space="preserve">s efforts </w:t>
      </w:r>
      <w:r w:rsidR="00363534" w:rsidRPr="00FE3A13">
        <w:t xml:space="preserve">sont nécessaires pour </w:t>
      </w:r>
      <w:r w:rsidR="009A6089">
        <w:t>respecter</w:t>
      </w:r>
      <w:r w:rsidR="00363534" w:rsidRPr="00FE3A13">
        <w:t xml:space="preserve"> la dernière version du plan </w:t>
      </w:r>
      <w:r w:rsidRPr="00FE3A13">
        <w:t>financier</w:t>
      </w:r>
      <w:r w:rsidR="00363534" w:rsidRPr="00FE3A13">
        <w:t>.</w:t>
      </w:r>
      <w:r w:rsidRPr="00FE3A13">
        <w:t xml:space="preserve"> </w:t>
      </w:r>
      <w:r w:rsidR="00363534" w:rsidRPr="00FE3A13">
        <w:t>Les moyens utilisés (compte</w:t>
      </w:r>
      <w:r w:rsidR="006B506E" w:rsidRPr="00FE3A13">
        <w:t>s</w:t>
      </w:r>
      <w:r w:rsidR="00363534" w:rsidRPr="00FE3A13">
        <w:t xml:space="preserve"> 2023) et prévus (budget</w:t>
      </w:r>
      <w:r w:rsidRPr="00FE3A13">
        <w:t xml:space="preserve"> 2024 et 2025 et PF 26-28</w:t>
      </w:r>
      <w:r w:rsidR="00363534" w:rsidRPr="00FE3A13">
        <w:t>)</w:t>
      </w:r>
      <w:r w:rsidRPr="00FE3A13">
        <w:t xml:space="preserve"> s’élèvent actuellement à</w:t>
      </w:r>
      <w:r w:rsidR="00363534" w:rsidRPr="00FE3A13">
        <w:t xml:space="preserve"> </w:t>
      </w:r>
      <w:r w:rsidRPr="00FE3A13">
        <w:t>11'777'798</w:t>
      </w:r>
      <w:r w:rsidR="00363534" w:rsidRPr="00FE3A13">
        <w:t xml:space="preserve"> francs</w:t>
      </w:r>
      <w:r w:rsidR="006B506E" w:rsidRPr="00FE3A13">
        <w:t>.</w:t>
      </w:r>
      <w:r w:rsidR="00363534" w:rsidRPr="00FE3A13">
        <w:t xml:space="preserve"> </w:t>
      </w:r>
    </w:p>
    <w:tbl>
      <w:tblPr>
        <w:tblStyle w:val="TableauEtatFR"/>
        <w:tblW w:w="5000" w:type="pct"/>
        <w:tblLook w:val="04E0" w:firstRow="1" w:lastRow="1" w:firstColumn="1" w:lastColumn="0" w:noHBand="0" w:noVBand="1"/>
      </w:tblPr>
      <w:tblGrid>
        <w:gridCol w:w="3312"/>
        <w:gridCol w:w="1653"/>
        <w:gridCol w:w="1653"/>
        <w:gridCol w:w="1653"/>
        <w:gridCol w:w="1649"/>
      </w:tblGrid>
      <w:tr w:rsidR="00363534" w:rsidRPr="00FE3A13" w14:paraId="1E6BF0C5"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3C74636" w14:textId="77777777" w:rsidR="00363534" w:rsidRPr="00FE3A13" w:rsidRDefault="00363534" w:rsidP="00C270FC">
            <w:pPr>
              <w:pStyle w:val="NIVtableau"/>
              <w:rPr>
                <w:color w:val="auto"/>
                <w:sz w:val="21"/>
                <w:lang w:val="fr-FR"/>
              </w:rPr>
            </w:pPr>
            <w:r w:rsidRPr="00FE3A13">
              <w:rPr>
                <w:lang w:val="fr-FR"/>
              </w:rPr>
              <w:t>Incidences financières en francs</w:t>
            </w:r>
          </w:p>
        </w:tc>
        <w:tc>
          <w:tcPr>
            <w:tcW w:w="833" w:type="pct"/>
          </w:tcPr>
          <w:p w14:paraId="5EDD3964" w14:textId="77777777" w:rsidR="00363534" w:rsidRPr="00FE3A13" w:rsidRDefault="00363534"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7EF9EDF" w14:textId="77777777" w:rsidR="00363534" w:rsidRPr="00FE3A13" w:rsidRDefault="00363534"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EAEC047" w14:textId="77777777" w:rsidR="00363534" w:rsidRPr="00FE3A13" w:rsidRDefault="00363534"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11359E1" w14:textId="77777777" w:rsidR="00363534" w:rsidRPr="00FE3A13" w:rsidRDefault="00363534"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363534" w:rsidRPr="00FE3A13" w14:paraId="6DA1C193"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E007BDA" w14:textId="77777777" w:rsidR="00363534" w:rsidRPr="00FE3A13" w:rsidRDefault="00363534" w:rsidP="00C270FC">
            <w:pPr>
              <w:pStyle w:val="NIVtableau"/>
              <w:rPr>
                <w:lang w:val="en-US"/>
              </w:rPr>
            </w:pPr>
            <w:r w:rsidRPr="00FE3A13">
              <w:rPr>
                <w:lang w:val="en-US"/>
              </w:rPr>
              <w:t>Etat</w:t>
            </w:r>
          </w:p>
        </w:tc>
        <w:tc>
          <w:tcPr>
            <w:tcW w:w="833" w:type="pct"/>
          </w:tcPr>
          <w:p w14:paraId="639C1C35" w14:textId="4E452F99" w:rsidR="00363534" w:rsidRPr="00FE3A13" w:rsidRDefault="00363534"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2 023 000</w:t>
            </w:r>
          </w:p>
        </w:tc>
        <w:tc>
          <w:tcPr>
            <w:tcW w:w="833" w:type="pct"/>
          </w:tcPr>
          <w:p w14:paraId="76F2F810" w14:textId="2423BBD2" w:rsidR="00363534" w:rsidRPr="00FE3A13" w:rsidRDefault="00363534"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1 584 000</w:t>
            </w:r>
          </w:p>
        </w:tc>
        <w:tc>
          <w:tcPr>
            <w:tcW w:w="833" w:type="pct"/>
          </w:tcPr>
          <w:p w14:paraId="622383B5" w14:textId="00667AA9" w:rsidR="00363534" w:rsidRPr="00FE3A13" w:rsidRDefault="00363534"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1 509 000</w:t>
            </w:r>
          </w:p>
        </w:tc>
        <w:tc>
          <w:tcPr>
            <w:tcW w:w="833" w:type="pct"/>
          </w:tcPr>
          <w:p w14:paraId="0780A760" w14:textId="0EB40D93" w:rsidR="00363534" w:rsidRPr="00FE3A13" w:rsidRDefault="00363534"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5 116 000</w:t>
            </w:r>
          </w:p>
        </w:tc>
      </w:tr>
      <w:tr w:rsidR="00363534" w:rsidRPr="00FE3A13" w14:paraId="74A57211"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18C0AFA" w14:textId="77777777" w:rsidR="00363534" w:rsidRPr="00FE3A13" w:rsidRDefault="00363534" w:rsidP="00C270FC">
            <w:pPr>
              <w:pStyle w:val="NIVtableau"/>
              <w:rPr>
                <w:b w:val="0"/>
                <w:lang w:val="en-US"/>
              </w:rPr>
            </w:pPr>
            <w:r w:rsidRPr="00FE3A13">
              <w:rPr>
                <w:b w:val="0"/>
                <w:lang w:val="en-US"/>
              </w:rPr>
              <w:t>Communes</w:t>
            </w:r>
          </w:p>
        </w:tc>
        <w:tc>
          <w:tcPr>
            <w:tcW w:w="833" w:type="pct"/>
          </w:tcPr>
          <w:p w14:paraId="248E0C49" w14:textId="77777777" w:rsidR="00363534" w:rsidRPr="00FE3A13" w:rsidRDefault="00363534"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87A22E9" w14:textId="77777777" w:rsidR="00363534" w:rsidRPr="00FE3A13" w:rsidRDefault="00363534"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09A2F0C" w14:textId="77777777" w:rsidR="00363534" w:rsidRPr="00FE3A13" w:rsidRDefault="00363534"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60B9023" w14:textId="77777777" w:rsidR="00363534" w:rsidRPr="00FE3A13" w:rsidRDefault="00363534"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5111B1C" w14:textId="77777777" w:rsidR="00363534" w:rsidRPr="00FE3A13" w:rsidRDefault="00363534" w:rsidP="00C80005">
      <w:pPr>
        <w:pStyle w:val="Corpsdetexte"/>
      </w:pPr>
    </w:p>
    <w:p w14:paraId="0B800166" w14:textId="33308490" w:rsidR="00D350C8" w:rsidRPr="00FE3A13" w:rsidRDefault="00D350C8" w:rsidP="00D350C8">
      <w:pPr>
        <w:pStyle w:val="Listealphabtique"/>
        <w:numPr>
          <w:ilvl w:val="0"/>
          <w:numId w:val="31"/>
        </w:numPr>
        <w:ind w:left="426" w:hanging="426"/>
        <w:rPr>
          <w:b/>
          <w:bCs/>
        </w:rPr>
      </w:pPr>
      <w:r w:rsidRPr="00FE3A13">
        <w:rPr>
          <w:b/>
          <w:bCs/>
        </w:rPr>
        <w:t>Mesures du PAFE</w:t>
      </w:r>
    </w:p>
    <w:p w14:paraId="3B96BEC8" w14:textId="7603056E" w:rsidR="006C6999" w:rsidRPr="00FE3A13" w:rsidRDefault="006C6999" w:rsidP="006C6999">
      <w:pPr>
        <w:pStyle w:val="Listealphabtique"/>
        <w:numPr>
          <w:ilvl w:val="0"/>
          <w:numId w:val="0"/>
        </w:numPr>
        <w:rPr>
          <w:b/>
          <w:bCs/>
        </w:rPr>
      </w:pPr>
      <w:r w:rsidRPr="00FE3A13">
        <w:rPr>
          <w:b/>
          <w:bCs/>
        </w:rPr>
        <w:t>&gt;</w:t>
      </w:r>
      <w:r w:rsidRPr="00FE3A13">
        <w:rPr>
          <w:b/>
          <w:bCs/>
        </w:rPr>
        <w:tab/>
        <w:t>Mutualisation de certaines tâches dans les institutions spécialisées</w:t>
      </w:r>
    </w:p>
    <w:p w14:paraId="635F30E3" w14:textId="1D92D068" w:rsidR="008348CA" w:rsidRPr="00FE3A13" w:rsidRDefault="008348CA" w:rsidP="00470617">
      <w:pPr>
        <w:pStyle w:val="Corpsdetexte"/>
      </w:pPr>
      <w:r w:rsidRPr="00FE3A13">
        <w:t>Certaines petites et moyennes institutions disposent de moyens limités pour garantir un service professionnel et efficace, pour les aspects administratifs, mais également pour certains aspects liés à la gouvernance.</w:t>
      </w:r>
    </w:p>
    <w:p w14:paraId="501722AE" w14:textId="109E0EE9" w:rsidR="006C6999" w:rsidRPr="00FE3A13" w:rsidRDefault="006C6999" w:rsidP="00470617">
      <w:pPr>
        <w:pStyle w:val="Corpsdetexte"/>
      </w:pPr>
      <w:r w:rsidRPr="00FE3A13">
        <w:t>La mesure impose la mutualisation de tâches administrative</w:t>
      </w:r>
      <w:r w:rsidR="00726551" w:rsidRPr="00FE3A13">
        <w:t>s</w:t>
      </w:r>
      <w:r w:rsidRPr="00FE3A13">
        <w:t xml:space="preserve"> ou </w:t>
      </w:r>
      <w:r w:rsidR="00213863" w:rsidRPr="00FE3A13">
        <w:t>la fusion</w:t>
      </w:r>
      <w:r w:rsidRPr="00FE3A13">
        <w:t xml:space="preserve"> </w:t>
      </w:r>
      <w:r w:rsidR="00213863" w:rsidRPr="00FE3A13">
        <w:t>de</w:t>
      </w:r>
      <w:r w:rsidRPr="00FE3A13">
        <w:t xml:space="preserve"> petites structures dans le domaine des institutions spécialisées. Cela doit permettre d’atteindre des tailles critiques suffisantes pour obtenir des gains d'efficacité concernant les aspects administratifs et/ou techniques.</w:t>
      </w:r>
      <w:r w:rsidR="00295E00">
        <w:t xml:space="preserve"> Cette mesure ne pourra pas être appliquée avant 2027.</w:t>
      </w:r>
    </w:p>
    <w:tbl>
      <w:tblPr>
        <w:tblStyle w:val="TableauEtatFR"/>
        <w:tblW w:w="5000" w:type="pct"/>
        <w:tblLook w:val="04E0" w:firstRow="1" w:lastRow="1" w:firstColumn="1" w:lastColumn="0" w:noHBand="0" w:noVBand="1"/>
      </w:tblPr>
      <w:tblGrid>
        <w:gridCol w:w="3312"/>
        <w:gridCol w:w="1653"/>
        <w:gridCol w:w="1653"/>
        <w:gridCol w:w="1653"/>
        <w:gridCol w:w="1649"/>
      </w:tblGrid>
      <w:tr w:rsidR="00213863" w:rsidRPr="00FE3A13" w14:paraId="415F3D9C"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CB34CD3" w14:textId="77777777" w:rsidR="00213863" w:rsidRPr="00FE3A13" w:rsidRDefault="00213863" w:rsidP="00C270FC">
            <w:pPr>
              <w:pStyle w:val="NIVtableau"/>
              <w:rPr>
                <w:color w:val="auto"/>
                <w:sz w:val="21"/>
                <w:lang w:val="fr-FR"/>
              </w:rPr>
            </w:pPr>
            <w:r w:rsidRPr="00FE3A13">
              <w:rPr>
                <w:lang w:val="fr-FR"/>
              </w:rPr>
              <w:t>Incidences financières en francs</w:t>
            </w:r>
          </w:p>
        </w:tc>
        <w:tc>
          <w:tcPr>
            <w:tcW w:w="833" w:type="pct"/>
          </w:tcPr>
          <w:p w14:paraId="0597292D" w14:textId="77777777" w:rsidR="00213863" w:rsidRPr="00FE3A13" w:rsidRDefault="00213863"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31353D4" w14:textId="77777777" w:rsidR="00213863" w:rsidRPr="00FE3A13" w:rsidRDefault="00213863"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783B37F" w14:textId="77777777" w:rsidR="00213863" w:rsidRPr="00FE3A13" w:rsidRDefault="00213863"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289F3EA" w14:textId="77777777" w:rsidR="00213863" w:rsidRPr="00FE3A13" w:rsidRDefault="00213863"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13863" w:rsidRPr="00FE3A13" w14:paraId="3C667B4E"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DCB6F32" w14:textId="77777777" w:rsidR="00213863" w:rsidRPr="00FE3A13" w:rsidRDefault="00213863" w:rsidP="00C270FC">
            <w:pPr>
              <w:pStyle w:val="NIVtableau"/>
              <w:rPr>
                <w:lang w:val="en-US"/>
              </w:rPr>
            </w:pPr>
            <w:r w:rsidRPr="00FE3A13">
              <w:rPr>
                <w:lang w:val="en-US"/>
              </w:rPr>
              <w:t>Etat</w:t>
            </w:r>
          </w:p>
        </w:tc>
        <w:tc>
          <w:tcPr>
            <w:tcW w:w="833" w:type="pct"/>
          </w:tcPr>
          <w:p w14:paraId="0075D617" w14:textId="7A4641AE" w:rsidR="00213863" w:rsidRPr="00FE3A13" w:rsidRDefault="00213863"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3A2ECD3" w14:textId="6D9F1001" w:rsidR="00213863" w:rsidRPr="00FE3A13" w:rsidRDefault="00213863"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160 000</w:t>
            </w:r>
          </w:p>
        </w:tc>
        <w:tc>
          <w:tcPr>
            <w:tcW w:w="833" w:type="pct"/>
          </w:tcPr>
          <w:p w14:paraId="5C642488" w14:textId="331BA530" w:rsidR="00213863" w:rsidRPr="00FE3A13" w:rsidRDefault="00213863"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160 000</w:t>
            </w:r>
          </w:p>
        </w:tc>
        <w:tc>
          <w:tcPr>
            <w:tcW w:w="833" w:type="pct"/>
          </w:tcPr>
          <w:p w14:paraId="08DA5E76" w14:textId="5DF40C68" w:rsidR="00213863" w:rsidRPr="00FE3A13" w:rsidRDefault="00213863"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320 000</w:t>
            </w:r>
          </w:p>
        </w:tc>
      </w:tr>
      <w:tr w:rsidR="00213863" w:rsidRPr="00FE3A13" w14:paraId="0AC811C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2954025" w14:textId="77777777" w:rsidR="00213863" w:rsidRPr="00FE3A13" w:rsidRDefault="00213863" w:rsidP="00C270FC">
            <w:pPr>
              <w:pStyle w:val="NIVtableau"/>
              <w:rPr>
                <w:b w:val="0"/>
                <w:lang w:val="en-US"/>
              </w:rPr>
            </w:pPr>
            <w:r w:rsidRPr="00FE3A13">
              <w:rPr>
                <w:b w:val="0"/>
                <w:lang w:val="en-US"/>
              </w:rPr>
              <w:t>Communes</w:t>
            </w:r>
          </w:p>
        </w:tc>
        <w:tc>
          <w:tcPr>
            <w:tcW w:w="833" w:type="pct"/>
          </w:tcPr>
          <w:p w14:paraId="72CA98FD" w14:textId="77777777" w:rsidR="00213863" w:rsidRPr="00FE3A13" w:rsidRDefault="00213863"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15C2209" w14:textId="38A3AAD2" w:rsidR="00213863" w:rsidRPr="00FE3A13" w:rsidRDefault="00213863"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200 000</w:t>
            </w:r>
          </w:p>
        </w:tc>
        <w:tc>
          <w:tcPr>
            <w:tcW w:w="833" w:type="pct"/>
          </w:tcPr>
          <w:p w14:paraId="2692A47D" w14:textId="2CAE7592" w:rsidR="00213863" w:rsidRPr="00FE3A13" w:rsidRDefault="00213863"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200 000</w:t>
            </w:r>
          </w:p>
        </w:tc>
        <w:tc>
          <w:tcPr>
            <w:tcW w:w="833" w:type="pct"/>
          </w:tcPr>
          <w:p w14:paraId="62BD147E" w14:textId="5E60001C" w:rsidR="00213863" w:rsidRPr="00FE3A13" w:rsidRDefault="00213863"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400 000</w:t>
            </w:r>
          </w:p>
        </w:tc>
      </w:tr>
    </w:tbl>
    <w:p w14:paraId="074B4E2B" w14:textId="5018D7BA" w:rsidR="00213863" w:rsidRPr="00FE3A13" w:rsidRDefault="00213863" w:rsidP="00213863">
      <w:pPr>
        <w:pStyle w:val="Listealphabtique"/>
        <w:numPr>
          <w:ilvl w:val="0"/>
          <w:numId w:val="0"/>
        </w:numPr>
        <w:rPr>
          <w:b/>
          <w:bCs/>
        </w:rPr>
      </w:pPr>
      <w:r w:rsidRPr="00FE3A13">
        <w:rPr>
          <w:b/>
          <w:bCs/>
        </w:rPr>
        <w:t>&gt;</w:t>
      </w:r>
      <w:r w:rsidRPr="00FE3A13">
        <w:rPr>
          <w:b/>
          <w:bCs/>
        </w:rPr>
        <w:tab/>
        <w:t xml:space="preserve">Modification </w:t>
      </w:r>
      <w:r w:rsidR="00726551" w:rsidRPr="00FE3A13">
        <w:rPr>
          <w:b/>
          <w:bCs/>
        </w:rPr>
        <w:t xml:space="preserve">du mode </w:t>
      </w:r>
      <w:r w:rsidRPr="00FE3A13">
        <w:rPr>
          <w:b/>
          <w:bCs/>
        </w:rPr>
        <w:t>de calcul des frais administratifs de ORS</w:t>
      </w:r>
    </w:p>
    <w:p w14:paraId="3460F15F" w14:textId="541B853F" w:rsidR="006C6999" w:rsidRPr="00FE3A13" w:rsidRDefault="00213863" w:rsidP="00470617">
      <w:pPr>
        <w:pStyle w:val="Corpsdetexte"/>
      </w:pPr>
      <w:r w:rsidRPr="00FE3A13">
        <w:lastRenderedPageBreak/>
        <w:t xml:space="preserve">La </w:t>
      </w:r>
      <w:r w:rsidR="00316ED5" w:rsidRPr="00FE3A13">
        <w:t xml:space="preserve">mesure </w:t>
      </w:r>
      <w:r w:rsidRPr="00FE3A13">
        <w:t xml:space="preserve">propose dans le domaine de l’asile un nouveau mode de calcul des frais administratifs de ORS. </w:t>
      </w:r>
      <w:r w:rsidR="00726551" w:rsidRPr="00FE3A13">
        <w:t xml:space="preserve">Le Conseil d’Etat avait </w:t>
      </w:r>
      <w:r w:rsidRPr="00FE3A13">
        <w:t xml:space="preserve">décidé de prendre en charge les frais administratifs de ORS progressivement à hauteur de 8% </w:t>
      </w:r>
      <w:r w:rsidR="009A653B">
        <w:t xml:space="preserve">du chiffre d’affaires </w:t>
      </w:r>
      <w:r w:rsidRPr="00FE3A13">
        <w:t xml:space="preserve">en 2022 jusqu'à 10% en 2026. Toutefois, depuis 2020, la situation de l'asile a considérablement évolué et le </w:t>
      </w:r>
      <w:r w:rsidR="009A653B">
        <w:t>volume total a plus que triplé</w:t>
      </w:r>
      <w:r w:rsidRPr="00FE3A13">
        <w:t xml:space="preserve">. </w:t>
      </w:r>
      <w:r w:rsidR="00316ED5" w:rsidRPr="00FE3A13">
        <w:t>Les frais administratifs</w:t>
      </w:r>
      <w:r w:rsidRPr="00FE3A13">
        <w:t xml:space="preserve"> n'évoluent pas de façon proportionnelle</w:t>
      </w:r>
      <w:r w:rsidR="00316ED5" w:rsidRPr="00FE3A13">
        <w:t xml:space="preserve"> et bénéficie</w:t>
      </w:r>
      <w:r w:rsidR="00126FB6" w:rsidRPr="00FE3A13">
        <w:t>nt</w:t>
      </w:r>
      <w:r w:rsidRPr="00FE3A13">
        <w:t xml:space="preserve"> d</w:t>
      </w:r>
      <w:r w:rsidR="00316ED5" w:rsidRPr="00FE3A13">
        <w:t>’</w:t>
      </w:r>
      <w:r w:rsidRPr="00FE3A13">
        <w:t xml:space="preserve">économies d'échelle. </w:t>
      </w:r>
      <w:r w:rsidR="00316ED5" w:rsidRPr="00FE3A13">
        <w:t>Ces frais seront renégociés dès 2027</w:t>
      </w:r>
      <w:r w:rsidRPr="00FE3A13">
        <w:t xml:space="preserve"> selon le principe : 10% jusqu'à 50 </w:t>
      </w:r>
      <w:r w:rsidR="00316ED5" w:rsidRPr="00FE3A13">
        <w:t>millions de francs</w:t>
      </w:r>
      <w:r w:rsidR="009A653B">
        <w:t xml:space="preserve"> de chiffre d’affaires</w:t>
      </w:r>
      <w:r w:rsidRPr="00FE3A13">
        <w:t xml:space="preserve"> puis 5% au-delà</w:t>
      </w:r>
      <w:r w:rsidR="00316ED5"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316ED5" w:rsidRPr="00FE3A13" w14:paraId="60861699"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7E1560D" w14:textId="77777777" w:rsidR="00316ED5" w:rsidRPr="00FE3A13" w:rsidRDefault="00316ED5" w:rsidP="00C270FC">
            <w:pPr>
              <w:pStyle w:val="NIVtableau"/>
              <w:rPr>
                <w:color w:val="auto"/>
                <w:sz w:val="21"/>
                <w:lang w:val="fr-FR"/>
              </w:rPr>
            </w:pPr>
            <w:r w:rsidRPr="00FE3A13">
              <w:rPr>
                <w:lang w:val="fr-FR"/>
              </w:rPr>
              <w:t>Incidences financières en francs</w:t>
            </w:r>
          </w:p>
        </w:tc>
        <w:tc>
          <w:tcPr>
            <w:tcW w:w="833" w:type="pct"/>
          </w:tcPr>
          <w:p w14:paraId="2AAF0013" w14:textId="77777777" w:rsidR="00316ED5" w:rsidRPr="00FE3A13" w:rsidRDefault="00316ED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6A29A18" w14:textId="77777777" w:rsidR="00316ED5" w:rsidRPr="00FE3A13" w:rsidRDefault="00316ED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6FE3F3E" w14:textId="77777777" w:rsidR="00316ED5" w:rsidRPr="00FE3A13" w:rsidRDefault="00316ED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2CD1407" w14:textId="77777777" w:rsidR="00316ED5" w:rsidRPr="00FE3A13" w:rsidRDefault="00316ED5"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316ED5" w:rsidRPr="00FE3A13" w14:paraId="4AE0A30A"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31DE56B" w14:textId="77777777" w:rsidR="00316ED5" w:rsidRPr="00FE3A13" w:rsidRDefault="00316ED5" w:rsidP="00C270FC">
            <w:pPr>
              <w:pStyle w:val="NIVtableau"/>
              <w:rPr>
                <w:lang w:val="en-US"/>
              </w:rPr>
            </w:pPr>
            <w:r w:rsidRPr="00FE3A13">
              <w:rPr>
                <w:lang w:val="en-US"/>
              </w:rPr>
              <w:t>Etat</w:t>
            </w:r>
          </w:p>
        </w:tc>
        <w:tc>
          <w:tcPr>
            <w:tcW w:w="833" w:type="pct"/>
          </w:tcPr>
          <w:p w14:paraId="7CF6FAAE" w14:textId="77777777" w:rsidR="00316ED5" w:rsidRPr="00FE3A13" w:rsidRDefault="00316ED5"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29FBE9FC" w14:textId="69FBB24C" w:rsidR="00316ED5" w:rsidRPr="00FE3A13" w:rsidRDefault="00126FB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168 000</w:t>
            </w:r>
          </w:p>
        </w:tc>
        <w:tc>
          <w:tcPr>
            <w:tcW w:w="833" w:type="pct"/>
          </w:tcPr>
          <w:p w14:paraId="404C3D4B" w14:textId="663073D9" w:rsidR="00316ED5" w:rsidRPr="00FE3A13" w:rsidRDefault="00126FB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7D82A6E" w14:textId="723D47C4" w:rsidR="00316ED5" w:rsidRPr="00FE3A13" w:rsidRDefault="00A7171B"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168</w:t>
            </w:r>
            <w:r w:rsidR="00316ED5" w:rsidRPr="00FE3A13">
              <w:rPr>
                <w:lang w:val="en-US"/>
              </w:rPr>
              <w:t xml:space="preserve"> 000</w:t>
            </w:r>
          </w:p>
        </w:tc>
      </w:tr>
      <w:tr w:rsidR="00316ED5" w:rsidRPr="00FE3A13" w14:paraId="4EC4E24E"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6DB91BF" w14:textId="77777777" w:rsidR="00316ED5" w:rsidRPr="00FE3A13" w:rsidRDefault="00316ED5" w:rsidP="00C270FC">
            <w:pPr>
              <w:pStyle w:val="NIVtableau"/>
              <w:rPr>
                <w:b w:val="0"/>
                <w:lang w:val="en-US"/>
              </w:rPr>
            </w:pPr>
            <w:r w:rsidRPr="00FE3A13">
              <w:rPr>
                <w:b w:val="0"/>
                <w:lang w:val="en-US"/>
              </w:rPr>
              <w:t>Communes</w:t>
            </w:r>
          </w:p>
        </w:tc>
        <w:tc>
          <w:tcPr>
            <w:tcW w:w="833" w:type="pct"/>
          </w:tcPr>
          <w:p w14:paraId="5073216E" w14:textId="77777777" w:rsidR="00316ED5" w:rsidRPr="00FE3A13" w:rsidRDefault="00316ED5"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BD65904" w14:textId="20C566BE" w:rsidR="00316ED5" w:rsidRPr="00FE3A13" w:rsidRDefault="00126FB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921E96A" w14:textId="52833639" w:rsidR="00316ED5" w:rsidRPr="00FE3A13" w:rsidRDefault="00126FB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5043DD5" w14:textId="0F40F671" w:rsidR="00316ED5" w:rsidRPr="00FE3A13" w:rsidRDefault="00126FB6"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E38D0FA" w14:textId="5AA02124" w:rsidR="00987779" w:rsidRPr="00FE3A13" w:rsidRDefault="00987779" w:rsidP="00987779">
      <w:pPr>
        <w:pStyle w:val="Listealphabtique"/>
        <w:numPr>
          <w:ilvl w:val="0"/>
          <w:numId w:val="0"/>
        </w:numPr>
        <w:rPr>
          <w:b/>
          <w:bCs/>
        </w:rPr>
      </w:pPr>
      <w:r w:rsidRPr="00FE3A13">
        <w:rPr>
          <w:b/>
          <w:bCs/>
        </w:rPr>
        <w:t>&gt;</w:t>
      </w:r>
      <w:r w:rsidRPr="00FE3A13">
        <w:rPr>
          <w:b/>
          <w:bCs/>
        </w:rPr>
        <w:tab/>
        <w:t>Réduction des projets en lien avec la promotion de la santé</w:t>
      </w:r>
    </w:p>
    <w:p w14:paraId="22699035" w14:textId="4DB772C5" w:rsidR="00316ED5" w:rsidRPr="00FE3A13" w:rsidRDefault="00987779" w:rsidP="00470617">
      <w:pPr>
        <w:pStyle w:val="Corpsdetexte"/>
      </w:pPr>
      <w:r w:rsidRPr="00FE3A13">
        <w:t xml:space="preserve">La mesure </w:t>
      </w:r>
      <w:r w:rsidR="0068105E" w:rsidRPr="00FE3A13">
        <w:t xml:space="preserve">vise à stabiliser le montant brut </w:t>
      </w:r>
      <w:r w:rsidR="00726551" w:rsidRPr="00FE3A13">
        <w:t xml:space="preserve">mis </w:t>
      </w:r>
      <w:r w:rsidR="0068105E" w:rsidRPr="00FE3A13">
        <w:t xml:space="preserve">à disposition de la promotion de la santé. Ce montant sera plafonné à 3.3 millions de francs. </w:t>
      </w:r>
    </w:p>
    <w:tbl>
      <w:tblPr>
        <w:tblStyle w:val="TableauEtatFR"/>
        <w:tblW w:w="5000" w:type="pct"/>
        <w:tblLook w:val="04E0" w:firstRow="1" w:lastRow="1" w:firstColumn="1" w:lastColumn="0" w:noHBand="0" w:noVBand="1"/>
      </w:tblPr>
      <w:tblGrid>
        <w:gridCol w:w="3312"/>
        <w:gridCol w:w="1653"/>
        <w:gridCol w:w="1653"/>
        <w:gridCol w:w="1653"/>
        <w:gridCol w:w="1649"/>
      </w:tblGrid>
      <w:tr w:rsidR="0068105E" w:rsidRPr="00FE3A13" w14:paraId="1612C3D7"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C89E938" w14:textId="77777777" w:rsidR="0068105E" w:rsidRPr="00FE3A13" w:rsidRDefault="0068105E" w:rsidP="00C270FC">
            <w:pPr>
              <w:pStyle w:val="NIVtableau"/>
              <w:rPr>
                <w:color w:val="auto"/>
                <w:sz w:val="21"/>
                <w:lang w:val="fr-FR"/>
              </w:rPr>
            </w:pPr>
            <w:r w:rsidRPr="00FE3A13">
              <w:rPr>
                <w:lang w:val="fr-FR"/>
              </w:rPr>
              <w:t>Incidences financières en francs</w:t>
            </w:r>
          </w:p>
        </w:tc>
        <w:tc>
          <w:tcPr>
            <w:tcW w:w="833" w:type="pct"/>
          </w:tcPr>
          <w:p w14:paraId="71C4B985" w14:textId="77777777" w:rsidR="0068105E" w:rsidRPr="00FE3A13" w:rsidRDefault="0068105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30E1BA7" w14:textId="77777777" w:rsidR="0068105E" w:rsidRPr="00FE3A13" w:rsidRDefault="0068105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F47A4B7" w14:textId="77777777" w:rsidR="0068105E" w:rsidRPr="00FE3A13" w:rsidRDefault="0068105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A86F286" w14:textId="77777777" w:rsidR="0068105E" w:rsidRPr="00FE3A13" w:rsidRDefault="0068105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68105E" w:rsidRPr="00FE3A13" w14:paraId="6A50129A"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8EFDBAE" w14:textId="77777777" w:rsidR="0068105E" w:rsidRPr="00FE3A13" w:rsidRDefault="0068105E" w:rsidP="00C270FC">
            <w:pPr>
              <w:pStyle w:val="NIVtableau"/>
              <w:rPr>
                <w:lang w:val="en-US"/>
              </w:rPr>
            </w:pPr>
            <w:r w:rsidRPr="00FE3A13">
              <w:rPr>
                <w:lang w:val="en-US"/>
              </w:rPr>
              <w:t>Etat</w:t>
            </w:r>
          </w:p>
        </w:tc>
        <w:tc>
          <w:tcPr>
            <w:tcW w:w="833" w:type="pct"/>
          </w:tcPr>
          <w:p w14:paraId="54CB947A" w14:textId="3BB1BB49" w:rsidR="0068105E" w:rsidRPr="00FE3A13" w:rsidRDefault="0068105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210BE63D" w14:textId="285E03BD" w:rsidR="0068105E" w:rsidRPr="00FE3A13" w:rsidRDefault="0068105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180 000</w:t>
            </w:r>
          </w:p>
        </w:tc>
        <w:tc>
          <w:tcPr>
            <w:tcW w:w="833" w:type="pct"/>
          </w:tcPr>
          <w:p w14:paraId="608C646F" w14:textId="7919543D" w:rsidR="0068105E" w:rsidRPr="00FE3A13" w:rsidRDefault="0068105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180 000</w:t>
            </w:r>
          </w:p>
        </w:tc>
        <w:tc>
          <w:tcPr>
            <w:tcW w:w="833" w:type="pct"/>
          </w:tcPr>
          <w:p w14:paraId="04F5F1F6" w14:textId="2C308A3D" w:rsidR="0068105E" w:rsidRPr="00FE3A13" w:rsidRDefault="0068105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460 000</w:t>
            </w:r>
          </w:p>
        </w:tc>
      </w:tr>
      <w:tr w:rsidR="0068105E" w:rsidRPr="00FE3A13" w14:paraId="28F4DB2C"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CE68C8B" w14:textId="77777777" w:rsidR="0068105E" w:rsidRPr="00FE3A13" w:rsidRDefault="0068105E" w:rsidP="00C270FC">
            <w:pPr>
              <w:pStyle w:val="NIVtableau"/>
              <w:rPr>
                <w:b w:val="0"/>
                <w:lang w:val="en-US"/>
              </w:rPr>
            </w:pPr>
            <w:r w:rsidRPr="00FE3A13">
              <w:rPr>
                <w:b w:val="0"/>
                <w:lang w:val="en-US"/>
              </w:rPr>
              <w:t>Communes</w:t>
            </w:r>
          </w:p>
        </w:tc>
        <w:tc>
          <w:tcPr>
            <w:tcW w:w="833" w:type="pct"/>
          </w:tcPr>
          <w:p w14:paraId="53AA67DE" w14:textId="77777777" w:rsidR="0068105E" w:rsidRPr="00FE3A13" w:rsidRDefault="0068105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B5F9267" w14:textId="77777777" w:rsidR="0068105E" w:rsidRPr="00FE3A13" w:rsidRDefault="0068105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C8062B2" w14:textId="77777777" w:rsidR="0068105E" w:rsidRPr="00FE3A13" w:rsidRDefault="0068105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4570202" w14:textId="77777777" w:rsidR="0068105E" w:rsidRPr="00FE3A13" w:rsidRDefault="0068105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639D477" w14:textId="5EF5C466" w:rsidR="0068105E" w:rsidRPr="00FE3A13" w:rsidRDefault="0068105E" w:rsidP="0068105E">
      <w:pPr>
        <w:pStyle w:val="Listealphabtique"/>
        <w:numPr>
          <w:ilvl w:val="0"/>
          <w:numId w:val="0"/>
        </w:numPr>
        <w:rPr>
          <w:b/>
          <w:bCs/>
        </w:rPr>
      </w:pPr>
      <w:r w:rsidRPr="00FE3A13">
        <w:rPr>
          <w:b/>
          <w:bCs/>
        </w:rPr>
        <w:t>&gt;</w:t>
      </w:r>
      <w:r w:rsidRPr="00FE3A13">
        <w:rPr>
          <w:b/>
          <w:bCs/>
        </w:rPr>
        <w:tab/>
        <w:t>Participation accrue des parents aux frais pour les internats des institutions de pédagogie spécialisée</w:t>
      </w:r>
    </w:p>
    <w:p w14:paraId="7D83342C" w14:textId="2C038CAF" w:rsidR="006C6999" w:rsidRPr="00FE3A13" w:rsidRDefault="0068105E" w:rsidP="00470617">
      <w:pPr>
        <w:pStyle w:val="Corpsdetexte"/>
      </w:pPr>
      <w:r w:rsidRPr="00FE3A13">
        <w:t xml:space="preserve">La mesure renforce la contribution des parents pour la prise en charge des élèves fribourgeois à besoins éducatifs particuliers dans les internats des institutions de pédagogie spécialisée fribourgeoises et hors canton. Cette contribution augmentera de 17.50 francs à 22.50 francs par nuitée pour toutes les offres à caractère résidentiel. </w:t>
      </w:r>
      <w:r w:rsidR="00E54B3C" w:rsidRPr="00FE3A13">
        <w:t xml:space="preserve">Il s’agirait d’un alignement avec le tarif pratiqué dans les foyers pour mineurs. </w:t>
      </w:r>
      <w:r w:rsidRPr="00FE3A13">
        <w:t>Cette prestation est assumée à 45% par l’Etat et à 55% par les communes.</w:t>
      </w:r>
    </w:p>
    <w:tbl>
      <w:tblPr>
        <w:tblStyle w:val="TableauEtatFR"/>
        <w:tblW w:w="5000" w:type="pct"/>
        <w:tblLook w:val="04E0" w:firstRow="1" w:lastRow="1" w:firstColumn="1" w:lastColumn="0" w:noHBand="0" w:noVBand="1"/>
      </w:tblPr>
      <w:tblGrid>
        <w:gridCol w:w="3312"/>
        <w:gridCol w:w="1653"/>
        <w:gridCol w:w="1653"/>
        <w:gridCol w:w="1653"/>
        <w:gridCol w:w="1649"/>
      </w:tblGrid>
      <w:tr w:rsidR="000A2E1C" w:rsidRPr="00FE3A13" w14:paraId="16F1A917"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1150BA5" w14:textId="77777777" w:rsidR="000A2E1C" w:rsidRPr="00FE3A13" w:rsidRDefault="000A2E1C" w:rsidP="00C270FC">
            <w:pPr>
              <w:pStyle w:val="NIVtableau"/>
              <w:rPr>
                <w:color w:val="auto"/>
                <w:sz w:val="21"/>
                <w:lang w:val="fr-FR"/>
              </w:rPr>
            </w:pPr>
            <w:r w:rsidRPr="00FE3A13">
              <w:rPr>
                <w:lang w:val="fr-FR"/>
              </w:rPr>
              <w:t>Incidences financières en francs</w:t>
            </w:r>
          </w:p>
        </w:tc>
        <w:tc>
          <w:tcPr>
            <w:tcW w:w="833" w:type="pct"/>
          </w:tcPr>
          <w:p w14:paraId="7F6C9B2B"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489C5D9"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477C7CF"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2392FF4"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0A2E1C" w:rsidRPr="00FE3A13" w14:paraId="6DD6560E"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FF09E29" w14:textId="77777777" w:rsidR="000A2E1C" w:rsidRPr="00FE3A13" w:rsidRDefault="000A2E1C" w:rsidP="00C270FC">
            <w:pPr>
              <w:pStyle w:val="NIVtableau"/>
              <w:rPr>
                <w:lang w:val="en-US"/>
              </w:rPr>
            </w:pPr>
            <w:r w:rsidRPr="00FE3A13">
              <w:rPr>
                <w:lang w:val="en-US"/>
              </w:rPr>
              <w:t>Etat</w:t>
            </w:r>
          </w:p>
        </w:tc>
        <w:tc>
          <w:tcPr>
            <w:tcW w:w="833" w:type="pct"/>
          </w:tcPr>
          <w:p w14:paraId="5CF07DAF" w14:textId="37CF9F2A"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29 475</w:t>
            </w:r>
          </w:p>
        </w:tc>
        <w:tc>
          <w:tcPr>
            <w:tcW w:w="833" w:type="pct"/>
          </w:tcPr>
          <w:p w14:paraId="111286E8" w14:textId="1C6471EA"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29 475</w:t>
            </w:r>
          </w:p>
        </w:tc>
        <w:tc>
          <w:tcPr>
            <w:tcW w:w="833" w:type="pct"/>
          </w:tcPr>
          <w:p w14:paraId="0ECE2E14" w14:textId="48106622"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29 475</w:t>
            </w:r>
          </w:p>
        </w:tc>
        <w:tc>
          <w:tcPr>
            <w:tcW w:w="833" w:type="pct"/>
          </w:tcPr>
          <w:p w14:paraId="16CA66CC" w14:textId="4BBF8479"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88 425</w:t>
            </w:r>
          </w:p>
        </w:tc>
      </w:tr>
      <w:tr w:rsidR="000A2E1C" w:rsidRPr="00FE3A13" w14:paraId="62E6AE5C"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2B04EE5" w14:textId="77777777" w:rsidR="000A2E1C" w:rsidRPr="00FE3A13" w:rsidRDefault="000A2E1C" w:rsidP="00C270FC">
            <w:pPr>
              <w:pStyle w:val="NIVtableau"/>
              <w:rPr>
                <w:b w:val="0"/>
                <w:lang w:val="en-US"/>
              </w:rPr>
            </w:pPr>
            <w:r w:rsidRPr="00FE3A13">
              <w:rPr>
                <w:b w:val="0"/>
                <w:lang w:val="en-US"/>
              </w:rPr>
              <w:t>Communes</w:t>
            </w:r>
          </w:p>
        </w:tc>
        <w:tc>
          <w:tcPr>
            <w:tcW w:w="833" w:type="pct"/>
          </w:tcPr>
          <w:p w14:paraId="50CF921D" w14:textId="1FC4914A"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36 025</w:t>
            </w:r>
          </w:p>
        </w:tc>
        <w:tc>
          <w:tcPr>
            <w:tcW w:w="833" w:type="pct"/>
          </w:tcPr>
          <w:p w14:paraId="46254417" w14:textId="16E786A0"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36 025</w:t>
            </w:r>
          </w:p>
        </w:tc>
        <w:tc>
          <w:tcPr>
            <w:tcW w:w="833" w:type="pct"/>
          </w:tcPr>
          <w:p w14:paraId="1EB2133B" w14:textId="3C0C74BB"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36 025</w:t>
            </w:r>
          </w:p>
        </w:tc>
        <w:tc>
          <w:tcPr>
            <w:tcW w:w="833" w:type="pct"/>
          </w:tcPr>
          <w:p w14:paraId="30986EFD" w14:textId="4FD2F918"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108 075</w:t>
            </w:r>
          </w:p>
        </w:tc>
      </w:tr>
    </w:tbl>
    <w:p w14:paraId="55C997F5" w14:textId="0EC8ACF8" w:rsidR="000A2E1C" w:rsidRPr="00FE3A13" w:rsidRDefault="000A2E1C" w:rsidP="000A2E1C">
      <w:pPr>
        <w:pStyle w:val="Listealphabtique"/>
        <w:numPr>
          <w:ilvl w:val="0"/>
          <w:numId w:val="0"/>
        </w:numPr>
        <w:rPr>
          <w:b/>
          <w:bCs/>
        </w:rPr>
      </w:pPr>
      <w:r w:rsidRPr="00FE3A13">
        <w:rPr>
          <w:b/>
          <w:bCs/>
        </w:rPr>
        <w:t>&gt;</w:t>
      </w:r>
      <w:r w:rsidRPr="00FE3A13">
        <w:rPr>
          <w:b/>
          <w:bCs/>
        </w:rPr>
        <w:tab/>
        <w:t>Réduction des aides dans le domaine du contrôle des viandes issues d'abattoirs</w:t>
      </w:r>
    </w:p>
    <w:p w14:paraId="33C5E0EC" w14:textId="582BBED8" w:rsidR="0068105E" w:rsidRPr="00FE3A13" w:rsidRDefault="000A2E1C" w:rsidP="000A2E1C">
      <w:pPr>
        <w:pStyle w:val="Corpsdetexte"/>
        <w:rPr>
          <w:sz w:val="20"/>
          <w:szCs w:val="20"/>
        </w:rPr>
      </w:pPr>
      <w:r w:rsidRPr="00FE3A13">
        <w:t xml:space="preserve">La mesure propose de supprimer le rabais de la promotion économique de 10% sur le coût du contrôle des viandes dans les </w:t>
      </w:r>
      <w:r w:rsidR="009A6089">
        <w:t xml:space="preserve">très grands </w:t>
      </w:r>
      <w:r w:rsidRPr="00FE3A13">
        <w:t>abattoirs. Les émoluments augmenteront dans la même proportion</w:t>
      </w:r>
      <w:r w:rsidRPr="00FE3A13">
        <w:rPr>
          <w:sz w:val="20"/>
          <w:szCs w:val="20"/>
        </w:rPr>
        <w:t>.</w:t>
      </w:r>
    </w:p>
    <w:tbl>
      <w:tblPr>
        <w:tblStyle w:val="TableauEtatFR"/>
        <w:tblW w:w="5000" w:type="pct"/>
        <w:tblLook w:val="04E0" w:firstRow="1" w:lastRow="1" w:firstColumn="1" w:lastColumn="0" w:noHBand="0" w:noVBand="1"/>
      </w:tblPr>
      <w:tblGrid>
        <w:gridCol w:w="3312"/>
        <w:gridCol w:w="1653"/>
        <w:gridCol w:w="1653"/>
        <w:gridCol w:w="1653"/>
        <w:gridCol w:w="1649"/>
      </w:tblGrid>
      <w:tr w:rsidR="000A2E1C" w:rsidRPr="00FE3A13" w14:paraId="7D05CB6F"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E4849EB" w14:textId="77777777" w:rsidR="000A2E1C" w:rsidRPr="00FE3A13" w:rsidRDefault="000A2E1C" w:rsidP="00C270FC">
            <w:pPr>
              <w:pStyle w:val="NIVtableau"/>
              <w:rPr>
                <w:color w:val="auto"/>
                <w:sz w:val="21"/>
                <w:lang w:val="fr-FR"/>
              </w:rPr>
            </w:pPr>
            <w:r w:rsidRPr="00FE3A13">
              <w:rPr>
                <w:lang w:val="fr-FR"/>
              </w:rPr>
              <w:t>Incidences financières en francs</w:t>
            </w:r>
          </w:p>
        </w:tc>
        <w:tc>
          <w:tcPr>
            <w:tcW w:w="833" w:type="pct"/>
          </w:tcPr>
          <w:p w14:paraId="264898FC"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A21C281"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C2FA93B"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B7BF229" w14:textId="77777777" w:rsidR="000A2E1C" w:rsidRPr="00FE3A13" w:rsidRDefault="000A2E1C"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0A2E1C" w:rsidRPr="00FE3A13" w14:paraId="721DBD86"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25A5889" w14:textId="77777777" w:rsidR="000A2E1C" w:rsidRPr="00FE3A13" w:rsidRDefault="000A2E1C" w:rsidP="00C270FC">
            <w:pPr>
              <w:pStyle w:val="NIVtableau"/>
              <w:rPr>
                <w:lang w:val="en-US"/>
              </w:rPr>
            </w:pPr>
            <w:r w:rsidRPr="00FE3A13">
              <w:rPr>
                <w:lang w:val="en-US"/>
              </w:rPr>
              <w:t>Etat</w:t>
            </w:r>
          </w:p>
        </w:tc>
        <w:tc>
          <w:tcPr>
            <w:tcW w:w="833" w:type="pct"/>
          </w:tcPr>
          <w:p w14:paraId="3F03594F" w14:textId="6CC16096"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337 000</w:t>
            </w:r>
          </w:p>
        </w:tc>
        <w:tc>
          <w:tcPr>
            <w:tcW w:w="833" w:type="pct"/>
          </w:tcPr>
          <w:p w14:paraId="7E8607DC" w14:textId="2F2BE7A9"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337 000</w:t>
            </w:r>
          </w:p>
        </w:tc>
        <w:tc>
          <w:tcPr>
            <w:tcW w:w="833" w:type="pct"/>
          </w:tcPr>
          <w:p w14:paraId="76E86CCB" w14:textId="462FD009" w:rsidR="000A2E1C" w:rsidRPr="00FE3A13" w:rsidRDefault="000A2E1C"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337 000</w:t>
            </w:r>
          </w:p>
        </w:tc>
        <w:tc>
          <w:tcPr>
            <w:tcW w:w="833" w:type="pct"/>
          </w:tcPr>
          <w:p w14:paraId="4DA29AE9" w14:textId="33833E5E" w:rsidR="000A2E1C" w:rsidRPr="00FE3A13" w:rsidRDefault="000A2E1C" w:rsidP="000A2E1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1 011 000</w:t>
            </w:r>
          </w:p>
        </w:tc>
      </w:tr>
      <w:tr w:rsidR="000A2E1C" w:rsidRPr="00FE3A13" w14:paraId="369BE2F8"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9FCB88F" w14:textId="77777777" w:rsidR="000A2E1C" w:rsidRPr="00FE3A13" w:rsidRDefault="000A2E1C" w:rsidP="00C270FC">
            <w:pPr>
              <w:pStyle w:val="NIVtableau"/>
              <w:rPr>
                <w:b w:val="0"/>
                <w:lang w:val="en-US"/>
              </w:rPr>
            </w:pPr>
            <w:r w:rsidRPr="00FE3A13">
              <w:rPr>
                <w:b w:val="0"/>
                <w:lang w:val="en-US"/>
              </w:rPr>
              <w:t>Communes</w:t>
            </w:r>
          </w:p>
        </w:tc>
        <w:tc>
          <w:tcPr>
            <w:tcW w:w="833" w:type="pct"/>
          </w:tcPr>
          <w:p w14:paraId="6F4141F4" w14:textId="7AF2A3AD"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58C1F28" w14:textId="07A9F381"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B942290" w14:textId="01B2238C"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CFED0C4" w14:textId="6C48C121" w:rsidR="000A2E1C" w:rsidRPr="00FE3A13" w:rsidRDefault="000A2E1C"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A2068EA" w14:textId="2FAA042D" w:rsidR="00470617" w:rsidRPr="00FE3A13" w:rsidRDefault="00470617" w:rsidP="00470617">
      <w:pPr>
        <w:pStyle w:val="Listealphabtique"/>
        <w:numPr>
          <w:ilvl w:val="0"/>
          <w:numId w:val="0"/>
        </w:numPr>
        <w:rPr>
          <w:b/>
          <w:bCs/>
        </w:rPr>
      </w:pPr>
      <w:r w:rsidRPr="00FE3A13">
        <w:rPr>
          <w:b/>
          <w:bCs/>
        </w:rPr>
        <w:t>&gt;</w:t>
      </w:r>
      <w:r w:rsidRPr="00FE3A13">
        <w:rPr>
          <w:b/>
          <w:bCs/>
        </w:rPr>
        <w:tab/>
        <w:t>Modification des subventions des services d'aide et de soins à domicile</w:t>
      </w:r>
    </w:p>
    <w:p w14:paraId="53EAC0E9" w14:textId="7CC4158C" w:rsidR="000A2E1C" w:rsidRPr="00FE3A13" w:rsidRDefault="00470617" w:rsidP="00E2023F">
      <w:pPr>
        <w:pStyle w:val="Corpsdetexte"/>
      </w:pPr>
      <w:r w:rsidRPr="00FE3A13">
        <w:t>La mesure induit une modification dans le calcul des subventions accordée</w:t>
      </w:r>
      <w:r w:rsidR="00A7171B" w:rsidRPr="00FE3A13">
        <w:t>s</w:t>
      </w:r>
      <w:r w:rsidRPr="00FE3A13">
        <w:t xml:space="preserve"> aux associations dans le cadre des services d’aide et de soins à domicile. </w:t>
      </w:r>
      <w:r w:rsidR="008348CA" w:rsidRPr="00FE3A13">
        <w:t>Actuellement, conformément à l’article 29 alinéa 2 du Règlement du 23 janvier 2018 sur les prestations médico-sociales, seules les recettes liées à la facturation à la charge de l'assurance obligatoire sont considérées pour le calcul de la subvention cantonale. La mesure propose que l’ensemble des recettes liées au soins et à l’aide à domicile de ces services soit prise</w:t>
      </w:r>
      <w:r w:rsidR="00737631">
        <w:t>s</w:t>
      </w:r>
      <w:r w:rsidR="008348CA" w:rsidRPr="00FE3A13">
        <w:t xml:space="preserve"> en considération dans le calcul.</w:t>
      </w:r>
    </w:p>
    <w:tbl>
      <w:tblPr>
        <w:tblStyle w:val="TableauEtatFR"/>
        <w:tblW w:w="5000" w:type="pct"/>
        <w:tblLook w:val="04E0" w:firstRow="1" w:lastRow="1" w:firstColumn="1" w:lastColumn="0" w:noHBand="0" w:noVBand="1"/>
      </w:tblPr>
      <w:tblGrid>
        <w:gridCol w:w="3312"/>
        <w:gridCol w:w="1653"/>
        <w:gridCol w:w="1653"/>
        <w:gridCol w:w="1653"/>
        <w:gridCol w:w="1649"/>
      </w:tblGrid>
      <w:tr w:rsidR="00470617" w:rsidRPr="00FE3A13" w14:paraId="305E7CC5"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43F7072" w14:textId="77777777" w:rsidR="00470617" w:rsidRPr="00FE3A13" w:rsidRDefault="00470617" w:rsidP="00C270FC">
            <w:pPr>
              <w:pStyle w:val="NIVtableau"/>
              <w:rPr>
                <w:color w:val="auto"/>
                <w:sz w:val="21"/>
                <w:lang w:val="fr-FR"/>
              </w:rPr>
            </w:pPr>
            <w:r w:rsidRPr="00FE3A13">
              <w:rPr>
                <w:lang w:val="fr-FR"/>
              </w:rPr>
              <w:lastRenderedPageBreak/>
              <w:t>Incidences financières en francs</w:t>
            </w:r>
          </w:p>
        </w:tc>
        <w:tc>
          <w:tcPr>
            <w:tcW w:w="833" w:type="pct"/>
          </w:tcPr>
          <w:p w14:paraId="30C98AF3" w14:textId="77777777" w:rsidR="00470617" w:rsidRPr="00FE3A13" w:rsidRDefault="0047061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EE45555" w14:textId="77777777" w:rsidR="00470617" w:rsidRPr="00FE3A13" w:rsidRDefault="0047061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8AA7B8A" w14:textId="77777777" w:rsidR="00470617" w:rsidRPr="00FE3A13" w:rsidRDefault="0047061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F5238EC" w14:textId="77777777" w:rsidR="00470617" w:rsidRPr="00FE3A13" w:rsidRDefault="0047061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470617" w:rsidRPr="00FE3A13" w14:paraId="360380B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3E54C89" w14:textId="77777777" w:rsidR="00470617" w:rsidRPr="00FE3A13" w:rsidRDefault="00470617" w:rsidP="00C270FC">
            <w:pPr>
              <w:pStyle w:val="NIVtableau"/>
              <w:rPr>
                <w:lang w:val="en-US"/>
              </w:rPr>
            </w:pPr>
            <w:r w:rsidRPr="00FE3A13">
              <w:rPr>
                <w:lang w:val="en-US"/>
              </w:rPr>
              <w:t>Etat</w:t>
            </w:r>
          </w:p>
        </w:tc>
        <w:tc>
          <w:tcPr>
            <w:tcW w:w="833" w:type="pct"/>
          </w:tcPr>
          <w:p w14:paraId="7EB5FBBB" w14:textId="7A689C4C" w:rsidR="00470617" w:rsidRPr="00FE3A13" w:rsidRDefault="0047061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26873E94" w14:textId="3A081864" w:rsidR="00470617" w:rsidRPr="00FE3A13" w:rsidRDefault="0047061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2D78812B" w14:textId="64013BA6" w:rsidR="00470617" w:rsidRPr="00FE3A13" w:rsidRDefault="0047061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400 000</w:t>
            </w:r>
          </w:p>
        </w:tc>
        <w:tc>
          <w:tcPr>
            <w:tcW w:w="833" w:type="pct"/>
          </w:tcPr>
          <w:p w14:paraId="03001A74" w14:textId="4050F5CB" w:rsidR="00470617" w:rsidRPr="00FE3A13" w:rsidRDefault="0047061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1 200 000</w:t>
            </w:r>
          </w:p>
        </w:tc>
      </w:tr>
      <w:tr w:rsidR="00470617" w:rsidRPr="00FE3A13" w14:paraId="532548A3"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F6E15F9" w14:textId="77777777" w:rsidR="00470617" w:rsidRPr="00FE3A13" w:rsidRDefault="00470617" w:rsidP="00C270FC">
            <w:pPr>
              <w:pStyle w:val="NIVtableau"/>
              <w:rPr>
                <w:b w:val="0"/>
                <w:lang w:val="en-US"/>
              </w:rPr>
            </w:pPr>
            <w:r w:rsidRPr="00FE3A13">
              <w:rPr>
                <w:b w:val="0"/>
                <w:lang w:val="en-US"/>
              </w:rPr>
              <w:t>Communes</w:t>
            </w:r>
          </w:p>
        </w:tc>
        <w:tc>
          <w:tcPr>
            <w:tcW w:w="833" w:type="pct"/>
          </w:tcPr>
          <w:p w14:paraId="7D4DB6FD" w14:textId="078F7CD8" w:rsidR="00470617" w:rsidRPr="00FE3A13" w:rsidRDefault="0047061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-400 000</w:t>
            </w:r>
          </w:p>
        </w:tc>
        <w:tc>
          <w:tcPr>
            <w:tcW w:w="833" w:type="pct"/>
          </w:tcPr>
          <w:p w14:paraId="2971F755" w14:textId="7E532897" w:rsidR="00470617" w:rsidRPr="00FE3A13" w:rsidRDefault="0047061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-400 000</w:t>
            </w:r>
          </w:p>
        </w:tc>
        <w:tc>
          <w:tcPr>
            <w:tcW w:w="833" w:type="pct"/>
          </w:tcPr>
          <w:p w14:paraId="142A2F41" w14:textId="250CA946" w:rsidR="00470617" w:rsidRPr="00FE3A13" w:rsidRDefault="0047061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-400 000</w:t>
            </w:r>
          </w:p>
        </w:tc>
        <w:tc>
          <w:tcPr>
            <w:tcW w:w="833" w:type="pct"/>
          </w:tcPr>
          <w:p w14:paraId="31638D02" w14:textId="49C39AB9" w:rsidR="00470617" w:rsidRPr="00FE3A13" w:rsidRDefault="0047061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-1 200 000</w:t>
            </w:r>
          </w:p>
        </w:tc>
      </w:tr>
    </w:tbl>
    <w:p w14:paraId="4CE5FFC1" w14:textId="0FF7B11F" w:rsidR="00091418" w:rsidRPr="00FE3A13" w:rsidRDefault="00091418" w:rsidP="00091418">
      <w:pPr>
        <w:pStyle w:val="Listealphabtique"/>
        <w:numPr>
          <w:ilvl w:val="0"/>
          <w:numId w:val="0"/>
        </w:numPr>
        <w:rPr>
          <w:b/>
          <w:bCs/>
        </w:rPr>
      </w:pPr>
      <w:r w:rsidRPr="00FE3A13">
        <w:rPr>
          <w:b/>
          <w:bCs/>
        </w:rPr>
        <w:t>&gt;</w:t>
      </w:r>
      <w:r w:rsidRPr="00FE3A13">
        <w:rPr>
          <w:b/>
          <w:bCs/>
        </w:rPr>
        <w:tab/>
        <w:t>Stabilisation des PIG et autres prestations à l'HFR et limitation des PIG au RFSM</w:t>
      </w:r>
    </w:p>
    <w:p w14:paraId="47FEF45C" w14:textId="1E69AFB4" w:rsidR="00470617" w:rsidRPr="00FE3A13" w:rsidRDefault="00091418" w:rsidP="00E2023F">
      <w:pPr>
        <w:pStyle w:val="Corpsdetexte"/>
      </w:pPr>
      <w:r w:rsidRPr="00FE3A13">
        <w:t xml:space="preserve">La mesure cherche à stabiliser les </w:t>
      </w:r>
      <w:r w:rsidR="00E54B3C" w:rsidRPr="00FE3A13">
        <w:t>prestations d’intérêt général (PIG)</w:t>
      </w:r>
      <w:r w:rsidRPr="00FE3A13">
        <w:t xml:space="preserve"> et autres prestations à l’HFR par rapport au montant du budget 2025 tout en considérant une</w:t>
      </w:r>
      <w:r w:rsidR="00E54B3C" w:rsidRPr="00FE3A13">
        <w:t xml:space="preserve"> </w:t>
      </w:r>
      <w:r w:rsidRPr="00FE3A13">
        <w:t>adaptation à la comptabilité analytique représentant environ 1 million de francs par année. Les PIG du RFSM seront aussi stabilisées.</w:t>
      </w:r>
    </w:p>
    <w:tbl>
      <w:tblPr>
        <w:tblStyle w:val="TableauEtatFR"/>
        <w:tblW w:w="5000" w:type="pct"/>
        <w:tblLook w:val="04E0" w:firstRow="1" w:lastRow="1" w:firstColumn="1" w:lastColumn="0" w:noHBand="0" w:noVBand="1"/>
      </w:tblPr>
      <w:tblGrid>
        <w:gridCol w:w="3312"/>
        <w:gridCol w:w="1653"/>
        <w:gridCol w:w="1653"/>
        <w:gridCol w:w="1653"/>
        <w:gridCol w:w="1649"/>
      </w:tblGrid>
      <w:tr w:rsidR="00091418" w:rsidRPr="00FE3A13" w14:paraId="21A78119"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9F9DBF4" w14:textId="77777777" w:rsidR="00091418" w:rsidRPr="00FE3A13" w:rsidRDefault="00091418" w:rsidP="00C270FC">
            <w:pPr>
              <w:pStyle w:val="NIVtableau"/>
              <w:rPr>
                <w:color w:val="auto"/>
                <w:sz w:val="21"/>
                <w:lang w:val="fr-FR"/>
              </w:rPr>
            </w:pPr>
            <w:r w:rsidRPr="00FE3A13">
              <w:rPr>
                <w:lang w:val="fr-FR"/>
              </w:rPr>
              <w:t>Incidences financières en francs</w:t>
            </w:r>
          </w:p>
        </w:tc>
        <w:tc>
          <w:tcPr>
            <w:tcW w:w="833" w:type="pct"/>
          </w:tcPr>
          <w:p w14:paraId="1177F6A3" w14:textId="77777777" w:rsidR="00091418" w:rsidRPr="00FE3A13" w:rsidRDefault="0009141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23D7A45" w14:textId="77777777" w:rsidR="00091418" w:rsidRPr="00FE3A13" w:rsidRDefault="0009141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B88859A" w14:textId="77777777" w:rsidR="00091418" w:rsidRPr="00FE3A13" w:rsidRDefault="0009141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F7A4B4C" w14:textId="77777777" w:rsidR="00091418" w:rsidRPr="00FE3A13" w:rsidRDefault="0009141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091418" w:rsidRPr="00FE3A13" w14:paraId="2511290E"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210516F" w14:textId="77777777" w:rsidR="00091418" w:rsidRPr="00FE3A13" w:rsidRDefault="00091418" w:rsidP="00C270FC">
            <w:pPr>
              <w:pStyle w:val="NIVtableau"/>
              <w:rPr>
                <w:lang w:val="en-US"/>
              </w:rPr>
            </w:pPr>
            <w:r w:rsidRPr="00FE3A13">
              <w:rPr>
                <w:lang w:val="en-US"/>
              </w:rPr>
              <w:t>Etat</w:t>
            </w:r>
          </w:p>
        </w:tc>
        <w:tc>
          <w:tcPr>
            <w:tcW w:w="833" w:type="pct"/>
          </w:tcPr>
          <w:p w14:paraId="3710CF64" w14:textId="284779C0" w:rsidR="00091418" w:rsidRPr="00FE3A13" w:rsidRDefault="0009141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2 589 000</w:t>
            </w:r>
          </w:p>
        </w:tc>
        <w:tc>
          <w:tcPr>
            <w:tcW w:w="833" w:type="pct"/>
          </w:tcPr>
          <w:p w14:paraId="1AF0EE6C" w14:textId="1BB3BCAE" w:rsidR="00091418" w:rsidRPr="00FE3A13" w:rsidRDefault="0009141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2 952 000</w:t>
            </w:r>
          </w:p>
        </w:tc>
        <w:tc>
          <w:tcPr>
            <w:tcW w:w="833" w:type="pct"/>
          </w:tcPr>
          <w:p w14:paraId="27F75677" w14:textId="5C5C062F" w:rsidR="00091418" w:rsidRPr="00FE3A13" w:rsidRDefault="0009141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2 523 000</w:t>
            </w:r>
          </w:p>
        </w:tc>
        <w:tc>
          <w:tcPr>
            <w:tcW w:w="833" w:type="pct"/>
          </w:tcPr>
          <w:p w14:paraId="56BCD3AB" w14:textId="10C74D58" w:rsidR="00091418" w:rsidRPr="00FE3A13" w:rsidRDefault="0009141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8 064 000</w:t>
            </w:r>
          </w:p>
        </w:tc>
      </w:tr>
      <w:tr w:rsidR="00091418" w:rsidRPr="00FE3A13" w14:paraId="4B8F6D1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1E60C113" w14:textId="77777777" w:rsidR="00091418" w:rsidRPr="00FE3A13" w:rsidRDefault="00091418" w:rsidP="00C270FC">
            <w:pPr>
              <w:pStyle w:val="NIVtableau"/>
              <w:rPr>
                <w:b w:val="0"/>
                <w:lang w:val="en-US"/>
              </w:rPr>
            </w:pPr>
            <w:r w:rsidRPr="00FE3A13">
              <w:rPr>
                <w:b w:val="0"/>
                <w:lang w:val="en-US"/>
              </w:rPr>
              <w:t>Communes</w:t>
            </w:r>
          </w:p>
        </w:tc>
        <w:tc>
          <w:tcPr>
            <w:tcW w:w="833" w:type="pct"/>
          </w:tcPr>
          <w:p w14:paraId="00DBB838" w14:textId="62609227" w:rsidR="00091418" w:rsidRPr="00FE3A13" w:rsidRDefault="0009141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836E64F" w14:textId="0A799AA3" w:rsidR="00091418" w:rsidRPr="00FE3A13" w:rsidRDefault="0009141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D2E0D63" w14:textId="5FD50A61" w:rsidR="00091418" w:rsidRPr="00FE3A13" w:rsidRDefault="0009141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AC46625" w14:textId="013363C1" w:rsidR="00091418" w:rsidRPr="00FE3A13" w:rsidRDefault="0009141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3B1CC54" w14:textId="567B2664" w:rsidR="00E2023F" w:rsidRPr="00FE3A13" w:rsidRDefault="00E2023F" w:rsidP="00E2023F">
      <w:pPr>
        <w:pStyle w:val="Listealphabtique"/>
        <w:numPr>
          <w:ilvl w:val="0"/>
          <w:numId w:val="0"/>
        </w:numPr>
        <w:rPr>
          <w:b/>
          <w:bCs/>
        </w:rPr>
      </w:pPr>
      <w:r w:rsidRPr="00FE3A13">
        <w:rPr>
          <w:b/>
          <w:bCs/>
        </w:rPr>
        <w:t>&gt;</w:t>
      </w:r>
      <w:r w:rsidRPr="00FE3A13">
        <w:rPr>
          <w:b/>
          <w:bCs/>
        </w:rPr>
        <w:tab/>
        <w:t>Institutions spécialisées – Autofinancement du CTTS (Buissonnets)</w:t>
      </w:r>
    </w:p>
    <w:p w14:paraId="4B5B8F43" w14:textId="7521FF4B" w:rsidR="00091418" w:rsidRPr="00FE3A13" w:rsidRDefault="00E2023F" w:rsidP="00E2023F">
      <w:pPr>
        <w:pStyle w:val="Corpsdetexte"/>
      </w:pPr>
      <w:r w:rsidRPr="00FE3A13">
        <w:t>La mesure vise à atteindre l’autofinancement du Centre de thérapie physioergo des Buissonets. Ce service offre des prestations de physiothérapie et d’ergothérapie et est actuellement déficitaire. Les coûts de la structure devront être couvert</w:t>
      </w:r>
      <w:r w:rsidR="00AA2C58" w:rsidRPr="00FE3A13">
        <w:t>s</w:t>
      </w:r>
      <w:r w:rsidRPr="00FE3A13">
        <w:t xml:space="preserve"> par les tarifs provenant des assureurs maladie. Cette institution est financée à 45% par l’Etat et à 55% par les communes.</w:t>
      </w:r>
    </w:p>
    <w:tbl>
      <w:tblPr>
        <w:tblStyle w:val="TableauEtatFR"/>
        <w:tblW w:w="5000" w:type="pct"/>
        <w:tblLook w:val="04E0" w:firstRow="1" w:lastRow="1" w:firstColumn="1" w:lastColumn="0" w:noHBand="0" w:noVBand="1"/>
      </w:tblPr>
      <w:tblGrid>
        <w:gridCol w:w="3312"/>
        <w:gridCol w:w="1653"/>
        <w:gridCol w:w="1653"/>
        <w:gridCol w:w="1653"/>
        <w:gridCol w:w="1649"/>
      </w:tblGrid>
      <w:tr w:rsidR="004E231D" w:rsidRPr="00FE3A13" w14:paraId="1CFB6582"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507A2945" w14:textId="77777777" w:rsidR="004E231D" w:rsidRPr="00FE3A13" w:rsidRDefault="004E231D" w:rsidP="00C270FC">
            <w:pPr>
              <w:pStyle w:val="NIVtableau"/>
              <w:rPr>
                <w:color w:val="auto"/>
                <w:sz w:val="21"/>
                <w:lang w:val="fr-FR"/>
              </w:rPr>
            </w:pPr>
            <w:r w:rsidRPr="00FE3A13">
              <w:rPr>
                <w:lang w:val="fr-FR"/>
              </w:rPr>
              <w:t>Incidences financières en francs</w:t>
            </w:r>
          </w:p>
        </w:tc>
        <w:tc>
          <w:tcPr>
            <w:tcW w:w="833" w:type="pct"/>
          </w:tcPr>
          <w:p w14:paraId="798E1C7F" w14:textId="77777777" w:rsidR="004E231D" w:rsidRPr="00FE3A13" w:rsidRDefault="004E231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BE82B92" w14:textId="77777777" w:rsidR="004E231D" w:rsidRPr="00FE3A13" w:rsidRDefault="004E231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4DC6E8E" w14:textId="77777777" w:rsidR="004E231D" w:rsidRPr="00FE3A13" w:rsidRDefault="004E231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78A3AB7" w14:textId="77777777" w:rsidR="004E231D" w:rsidRPr="00FE3A13" w:rsidRDefault="004E231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4E231D" w:rsidRPr="00FE3A13" w14:paraId="02921D8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371FCB2" w14:textId="77777777" w:rsidR="004E231D" w:rsidRPr="00FE3A13" w:rsidRDefault="004E231D" w:rsidP="00C270FC">
            <w:pPr>
              <w:pStyle w:val="NIVtableau"/>
              <w:rPr>
                <w:lang w:val="en-US"/>
              </w:rPr>
            </w:pPr>
            <w:r w:rsidRPr="00FE3A13">
              <w:rPr>
                <w:lang w:val="en-US"/>
              </w:rPr>
              <w:t>Etat</w:t>
            </w:r>
          </w:p>
        </w:tc>
        <w:tc>
          <w:tcPr>
            <w:tcW w:w="833" w:type="pct"/>
          </w:tcPr>
          <w:p w14:paraId="76F83C03" w14:textId="50AA2611" w:rsidR="004E231D" w:rsidRPr="00FE3A13" w:rsidRDefault="004E231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112 500</w:t>
            </w:r>
          </w:p>
        </w:tc>
        <w:tc>
          <w:tcPr>
            <w:tcW w:w="833" w:type="pct"/>
          </w:tcPr>
          <w:p w14:paraId="2C2328F7" w14:textId="18334E68" w:rsidR="004E231D" w:rsidRPr="00FE3A13" w:rsidRDefault="004E231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112 500</w:t>
            </w:r>
          </w:p>
        </w:tc>
        <w:tc>
          <w:tcPr>
            <w:tcW w:w="833" w:type="pct"/>
          </w:tcPr>
          <w:p w14:paraId="5BE75888" w14:textId="10C2573C" w:rsidR="004E231D" w:rsidRPr="00FE3A13" w:rsidRDefault="004E231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112 500</w:t>
            </w:r>
          </w:p>
        </w:tc>
        <w:tc>
          <w:tcPr>
            <w:tcW w:w="833" w:type="pct"/>
          </w:tcPr>
          <w:p w14:paraId="553C3A36" w14:textId="1D5A4A8A" w:rsidR="004E231D" w:rsidRPr="00FE3A13" w:rsidRDefault="004E231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337 500</w:t>
            </w:r>
          </w:p>
        </w:tc>
      </w:tr>
      <w:tr w:rsidR="004E231D" w:rsidRPr="00FE3A13" w14:paraId="49AD3C9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A83C42C" w14:textId="77777777" w:rsidR="004E231D" w:rsidRPr="00FE3A13" w:rsidRDefault="004E231D" w:rsidP="00C270FC">
            <w:pPr>
              <w:pStyle w:val="NIVtableau"/>
              <w:rPr>
                <w:b w:val="0"/>
                <w:lang w:val="en-US"/>
              </w:rPr>
            </w:pPr>
            <w:r w:rsidRPr="00FE3A13">
              <w:rPr>
                <w:b w:val="0"/>
                <w:lang w:val="en-US"/>
              </w:rPr>
              <w:t>Communes</w:t>
            </w:r>
          </w:p>
        </w:tc>
        <w:tc>
          <w:tcPr>
            <w:tcW w:w="833" w:type="pct"/>
          </w:tcPr>
          <w:p w14:paraId="6C0996B0" w14:textId="2DA50AEC" w:rsidR="004E231D" w:rsidRPr="00FE3A13" w:rsidRDefault="004E231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137 500</w:t>
            </w:r>
          </w:p>
        </w:tc>
        <w:tc>
          <w:tcPr>
            <w:tcW w:w="833" w:type="pct"/>
          </w:tcPr>
          <w:p w14:paraId="46E6D273" w14:textId="62EABC13" w:rsidR="004E231D" w:rsidRPr="00FE3A13" w:rsidRDefault="004E231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137 500</w:t>
            </w:r>
          </w:p>
        </w:tc>
        <w:tc>
          <w:tcPr>
            <w:tcW w:w="833" w:type="pct"/>
          </w:tcPr>
          <w:p w14:paraId="20247101" w14:textId="05C41493" w:rsidR="004E231D" w:rsidRPr="00FE3A13" w:rsidRDefault="004E231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137 500</w:t>
            </w:r>
          </w:p>
        </w:tc>
        <w:tc>
          <w:tcPr>
            <w:tcW w:w="833" w:type="pct"/>
          </w:tcPr>
          <w:p w14:paraId="310FE411" w14:textId="59526210" w:rsidR="004E231D" w:rsidRPr="00FE3A13" w:rsidRDefault="004E231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412 500</w:t>
            </w:r>
          </w:p>
        </w:tc>
      </w:tr>
    </w:tbl>
    <w:p w14:paraId="1253EE72" w14:textId="4B7E5B5A" w:rsidR="00E21FED" w:rsidRPr="00FE3A13" w:rsidRDefault="00E21FED" w:rsidP="00E21FED">
      <w:pPr>
        <w:pStyle w:val="Listealphabtique"/>
        <w:numPr>
          <w:ilvl w:val="0"/>
          <w:numId w:val="0"/>
        </w:numPr>
        <w:rPr>
          <w:b/>
          <w:bCs/>
        </w:rPr>
      </w:pPr>
      <w:r w:rsidRPr="00FE3A13">
        <w:rPr>
          <w:b/>
          <w:bCs/>
        </w:rPr>
        <w:t>&gt;</w:t>
      </w:r>
      <w:r w:rsidRPr="00FE3A13">
        <w:rPr>
          <w:b/>
          <w:bCs/>
        </w:rPr>
        <w:tab/>
        <w:t>Abandon du soutien à la construction de bâtiments culturels</w:t>
      </w:r>
    </w:p>
    <w:p w14:paraId="6C6F1B98" w14:textId="3329E468" w:rsidR="00E2023F" w:rsidRPr="00FE3A13" w:rsidRDefault="00E21FED" w:rsidP="00E21FED">
      <w:pPr>
        <w:pStyle w:val="Corpsdetexte"/>
      </w:pPr>
      <w:r w:rsidRPr="00FE3A13">
        <w:t xml:space="preserve">La mesure prévoit de renoncer au soutien financier pour la création de la Maison des Amériques à Châtel-St-Denis en 2027. Le plan financier n’envisageait </w:t>
      </w:r>
      <w:r w:rsidR="005A5E57" w:rsidRPr="00FE3A13">
        <w:t>pas d’autre projet dans ce domaine</w:t>
      </w:r>
      <w:r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E21FED" w:rsidRPr="00FE3A13" w14:paraId="6D892B25"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16F25A5E" w14:textId="77777777" w:rsidR="00E21FED" w:rsidRPr="00FE3A13" w:rsidRDefault="00E21FED" w:rsidP="00C270FC">
            <w:pPr>
              <w:pStyle w:val="NIVtableau"/>
              <w:rPr>
                <w:color w:val="auto"/>
                <w:sz w:val="21"/>
                <w:lang w:val="fr-FR"/>
              </w:rPr>
            </w:pPr>
            <w:r w:rsidRPr="00FE3A13">
              <w:rPr>
                <w:lang w:val="fr-FR"/>
              </w:rPr>
              <w:t>Incidences financières en francs</w:t>
            </w:r>
          </w:p>
        </w:tc>
        <w:tc>
          <w:tcPr>
            <w:tcW w:w="833" w:type="pct"/>
          </w:tcPr>
          <w:p w14:paraId="6A818729" w14:textId="77777777" w:rsidR="00E21FED" w:rsidRPr="00FE3A13" w:rsidRDefault="00E21FE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062B26E2" w14:textId="77777777" w:rsidR="00E21FED" w:rsidRPr="00FE3A13" w:rsidRDefault="00E21FE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07F70A9" w14:textId="77777777" w:rsidR="00E21FED" w:rsidRPr="00FE3A13" w:rsidRDefault="00E21FE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411E4F3" w14:textId="77777777" w:rsidR="00E21FED" w:rsidRPr="00FE3A13" w:rsidRDefault="00E21FED"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21FED" w:rsidRPr="00FE3A13" w14:paraId="1F0284AF"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24927CC" w14:textId="77777777" w:rsidR="00E21FED" w:rsidRPr="00FE3A13" w:rsidRDefault="00E21FED" w:rsidP="00C270FC">
            <w:pPr>
              <w:pStyle w:val="NIVtableau"/>
              <w:rPr>
                <w:lang w:val="en-US"/>
              </w:rPr>
            </w:pPr>
            <w:r w:rsidRPr="00FE3A13">
              <w:rPr>
                <w:lang w:val="en-US"/>
              </w:rPr>
              <w:t>Etat</w:t>
            </w:r>
          </w:p>
        </w:tc>
        <w:tc>
          <w:tcPr>
            <w:tcW w:w="833" w:type="pct"/>
          </w:tcPr>
          <w:p w14:paraId="0B88929B" w14:textId="03CBE712" w:rsidR="00E21FED" w:rsidRPr="00FE3A13" w:rsidRDefault="00E21FE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116D0174" w14:textId="3826D30B" w:rsidR="00E21FED" w:rsidRPr="00FE3A13" w:rsidRDefault="00E21FE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300 000</w:t>
            </w:r>
          </w:p>
        </w:tc>
        <w:tc>
          <w:tcPr>
            <w:tcW w:w="833" w:type="pct"/>
          </w:tcPr>
          <w:p w14:paraId="1DDD7B03" w14:textId="44FAC0FD" w:rsidR="00E21FED" w:rsidRPr="00FE3A13" w:rsidRDefault="00E21FE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54C4DA96" w14:textId="790BCB8B" w:rsidR="00E21FED" w:rsidRPr="00FE3A13" w:rsidRDefault="00E21FED"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300 000</w:t>
            </w:r>
          </w:p>
        </w:tc>
      </w:tr>
      <w:tr w:rsidR="00E21FED" w:rsidRPr="00FE3A13" w14:paraId="0F2486EF"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EA8FF65" w14:textId="77777777" w:rsidR="00E21FED" w:rsidRPr="00FE3A13" w:rsidRDefault="00E21FED" w:rsidP="00C270FC">
            <w:pPr>
              <w:pStyle w:val="NIVtableau"/>
              <w:rPr>
                <w:b w:val="0"/>
                <w:lang w:val="en-US"/>
              </w:rPr>
            </w:pPr>
            <w:r w:rsidRPr="00FE3A13">
              <w:rPr>
                <w:b w:val="0"/>
                <w:lang w:val="en-US"/>
              </w:rPr>
              <w:t>Communes</w:t>
            </w:r>
          </w:p>
        </w:tc>
        <w:tc>
          <w:tcPr>
            <w:tcW w:w="833" w:type="pct"/>
          </w:tcPr>
          <w:p w14:paraId="745AAD04" w14:textId="2D730993" w:rsidR="00E21FED" w:rsidRPr="00FE3A13" w:rsidRDefault="00E21FE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5AC5ECC" w14:textId="76FC9741" w:rsidR="00E21FED" w:rsidRPr="00FE3A13" w:rsidRDefault="00E21FE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0BDAB20" w14:textId="625BC654" w:rsidR="00E21FED" w:rsidRPr="00FE3A13" w:rsidRDefault="00E21FE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75ABD80" w14:textId="74677EDA" w:rsidR="00E21FED" w:rsidRPr="00FE3A13" w:rsidRDefault="00E21FED"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84AE167" w14:textId="71482FAC" w:rsidR="005A5E57" w:rsidRPr="00FE3A13" w:rsidRDefault="005A5E57" w:rsidP="005A5E57">
      <w:pPr>
        <w:pStyle w:val="Listealphabtique"/>
        <w:numPr>
          <w:ilvl w:val="0"/>
          <w:numId w:val="0"/>
        </w:numPr>
        <w:rPr>
          <w:b/>
          <w:bCs/>
        </w:rPr>
      </w:pPr>
      <w:r w:rsidRPr="00FE3A13">
        <w:rPr>
          <w:b/>
          <w:bCs/>
        </w:rPr>
        <w:t>&gt;</w:t>
      </w:r>
      <w:r w:rsidRPr="00FE3A13">
        <w:rPr>
          <w:b/>
          <w:bCs/>
        </w:rPr>
        <w:tab/>
        <w:t>Réduction de l'aide pour l'agriculture (promotion et encouragement)</w:t>
      </w:r>
    </w:p>
    <w:p w14:paraId="34564A6E" w14:textId="128F56EA" w:rsidR="00E21FED" w:rsidRPr="00FE3A13" w:rsidRDefault="005A5E57" w:rsidP="005A5E57">
      <w:pPr>
        <w:pStyle w:val="Corpsdetexte"/>
      </w:pPr>
      <w:r w:rsidRPr="00FE3A13">
        <w:t>La mesure propose de réduire l’aide pour l’agriculture dans le domaine de la promotion et de l’encouragement. Ces restrictions impacteront des organisations et/ou des projets agricoles. Concrètement la réduction touchera la promotion des produits du terroir, AOP et AOC, la promotion de l’élevage bovin, caprin, ovin et chevalin, l’écoulement du bétail ainsi que des projets d’innovations.</w:t>
      </w:r>
    </w:p>
    <w:tbl>
      <w:tblPr>
        <w:tblStyle w:val="TableauEtatFR"/>
        <w:tblW w:w="5000" w:type="pct"/>
        <w:tblLook w:val="04E0" w:firstRow="1" w:lastRow="1" w:firstColumn="1" w:lastColumn="0" w:noHBand="0" w:noVBand="1"/>
      </w:tblPr>
      <w:tblGrid>
        <w:gridCol w:w="3312"/>
        <w:gridCol w:w="1653"/>
        <w:gridCol w:w="1653"/>
        <w:gridCol w:w="1653"/>
        <w:gridCol w:w="1649"/>
      </w:tblGrid>
      <w:tr w:rsidR="005A5E57" w:rsidRPr="00FE3A13" w14:paraId="62234B8B" w14:textId="77777777" w:rsidTr="00BF09D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3815E0D0" w14:textId="77777777" w:rsidR="005A5E57" w:rsidRPr="00FE3A13" w:rsidRDefault="005A5E57" w:rsidP="00C270FC">
            <w:pPr>
              <w:pStyle w:val="NIVtableau"/>
              <w:rPr>
                <w:color w:val="auto"/>
                <w:sz w:val="21"/>
                <w:lang w:val="fr-FR"/>
              </w:rPr>
            </w:pPr>
            <w:r w:rsidRPr="00FE3A13">
              <w:rPr>
                <w:lang w:val="fr-FR"/>
              </w:rPr>
              <w:t>Incidences financières en francs</w:t>
            </w:r>
          </w:p>
        </w:tc>
        <w:tc>
          <w:tcPr>
            <w:tcW w:w="833" w:type="pct"/>
          </w:tcPr>
          <w:p w14:paraId="3A5E5E6F" w14:textId="77777777" w:rsidR="005A5E57" w:rsidRPr="00FE3A13" w:rsidRDefault="005A5E5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1599E1E" w14:textId="77777777" w:rsidR="005A5E57" w:rsidRPr="00FE3A13" w:rsidRDefault="005A5E5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613BDE9" w14:textId="77777777" w:rsidR="005A5E57" w:rsidRPr="00FE3A13" w:rsidRDefault="005A5E5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6E698BC1" w14:textId="77777777" w:rsidR="005A5E57" w:rsidRPr="00FE3A13" w:rsidRDefault="005A5E57"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5A5E57" w:rsidRPr="00FE3A13" w14:paraId="4A2FF4FA" w14:textId="77777777" w:rsidTr="00BF09D3">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F160B01" w14:textId="77777777" w:rsidR="005A5E57" w:rsidRPr="00FE3A13" w:rsidRDefault="005A5E57" w:rsidP="00C270FC">
            <w:pPr>
              <w:pStyle w:val="NIVtableau"/>
              <w:rPr>
                <w:lang w:val="en-US"/>
              </w:rPr>
            </w:pPr>
            <w:r w:rsidRPr="00FE3A13">
              <w:rPr>
                <w:lang w:val="en-US"/>
              </w:rPr>
              <w:t>Etat</w:t>
            </w:r>
          </w:p>
        </w:tc>
        <w:tc>
          <w:tcPr>
            <w:tcW w:w="833" w:type="pct"/>
          </w:tcPr>
          <w:p w14:paraId="0BB11AB4" w14:textId="68EDE03E" w:rsidR="005A5E57" w:rsidRPr="00FE3A13" w:rsidRDefault="005A5E5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245A3040" w14:textId="46D06E94" w:rsidR="005A5E57" w:rsidRPr="00FE3A13" w:rsidRDefault="005A5E5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32F9DE51" w14:textId="38E23C2D" w:rsidR="005A5E57" w:rsidRPr="00FE3A13" w:rsidRDefault="005A5E5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1" w:type="pct"/>
          </w:tcPr>
          <w:p w14:paraId="36D2A5D0" w14:textId="77777777" w:rsidR="005A5E57" w:rsidRPr="00FE3A13" w:rsidRDefault="005A5E57"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300 000</w:t>
            </w:r>
          </w:p>
        </w:tc>
      </w:tr>
      <w:tr w:rsidR="005A5E57" w:rsidRPr="00FE3A13" w14:paraId="57AE855E" w14:textId="77777777" w:rsidTr="00BF09D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CD6018C" w14:textId="77777777" w:rsidR="005A5E57" w:rsidRPr="00FE3A13" w:rsidRDefault="005A5E57" w:rsidP="00C270FC">
            <w:pPr>
              <w:pStyle w:val="NIVtableau"/>
              <w:rPr>
                <w:b w:val="0"/>
                <w:lang w:val="en-US"/>
              </w:rPr>
            </w:pPr>
            <w:r w:rsidRPr="00FE3A13">
              <w:rPr>
                <w:b w:val="0"/>
                <w:lang w:val="en-US"/>
              </w:rPr>
              <w:t>Communes</w:t>
            </w:r>
          </w:p>
        </w:tc>
        <w:tc>
          <w:tcPr>
            <w:tcW w:w="833" w:type="pct"/>
          </w:tcPr>
          <w:p w14:paraId="290632D3" w14:textId="77777777" w:rsidR="005A5E57" w:rsidRPr="00FE3A13" w:rsidRDefault="005A5E5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DD88FC2" w14:textId="77777777" w:rsidR="005A5E57" w:rsidRPr="00FE3A13" w:rsidRDefault="005A5E5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280FEDC7" w14:textId="77777777" w:rsidR="005A5E57" w:rsidRPr="00FE3A13" w:rsidRDefault="005A5E5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0621BF24" w14:textId="77777777" w:rsidR="005A5E57" w:rsidRPr="00FE3A13" w:rsidRDefault="005A5E57"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429F0FD" w14:textId="580AC828" w:rsidR="004B10C0" w:rsidRPr="00FE3A13" w:rsidRDefault="004B10C0" w:rsidP="004B10C0">
      <w:pPr>
        <w:pStyle w:val="Listealphabtique"/>
        <w:numPr>
          <w:ilvl w:val="0"/>
          <w:numId w:val="0"/>
        </w:numPr>
        <w:rPr>
          <w:b/>
          <w:bCs/>
        </w:rPr>
      </w:pPr>
      <w:r w:rsidRPr="00FE3A13">
        <w:rPr>
          <w:b/>
          <w:bCs/>
        </w:rPr>
        <w:t>&gt;</w:t>
      </w:r>
      <w:r w:rsidRPr="00FE3A13">
        <w:rPr>
          <w:b/>
          <w:bCs/>
        </w:rPr>
        <w:tab/>
        <w:t>Réduction des subventions en faveur des améliorations foncières</w:t>
      </w:r>
    </w:p>
    <w:p w14:paraId="7D6ADB3C" w14:textId="58EF5091" w:rsidR="00E2023F" w:rsidRPr="00FE3A13" w:rsidRDefault="009A6089" w:rsidP="004B10C0">
      <w:pPr>
        <w:pStyle w:val="Corpsdetexte"/>
      </w:pPr>
      <w:r>
        <w:lastRenderedPageBreak/>
        <w:t xml:space="preserve">La mesure </w:t>
      </w:r>
      <w:r w:rsidR="00A97AA0">
        <w:t>vise à réduire l’augmentation des subventions en faveur des améliorations foncières. Le budget global dans ce domaine sera limité à 11,1 millions de francs, conformément à l’enveloppe budgétaire disponible de la Confédération. Une priorisation des subventions sera sans doute nécessaire pour respecter la nouvelle enveloppe</w:t>
      </w:r>
      <w:r w:rsidR="00833D12"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833D12" w:rsidRPr="00FE3A13" w14:paraId="5AA649E5"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D7300E4" w14:textId="77777777" w:rsidR="00833D12" w:rsidRPr="00FE3A13" w:rsidRDefault="00833D12" w:rsidP="00C270FC">
            <w:pPr>
              <w:pStyle w:val="NIVtableau"/>
              <w:rPr>
                <w:color w:val="auto"/>
                <w:sz w:val="21"/>
                <w:lang w:val="fr-FR"/>
              </w:rPr>
            </w:pPr>
            <w:r w:rsidRPr="00FE3A13">
              <w:rPr>
                <w:lang w:val="fr-FR"/>
              </w:rPr>
              <w:t>Incidences financières en francs</w:t>
            </w:r>
          </w:p>
        </w:tc>
        <w:tc>
          <w:tcPr>
            <w:tcW w:w="833" w:type="pct"/>
          </w:tcPr>
          <w:p w14:paraId="6FF62A21" w14:textId="77777777" w:rsidR="00833D12" w:rsidRPr="00FE3A13" w:rsidRDefault="00833D1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1BB2534" w14:textId="77777777" w:rsidR="00833D12" w:rsidRPr="00FE3A13" w:rsidRDefault="00833D1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38F276A" w14:textId="77777777" w:rsidR="00833D12" w:rsidRPr="00FE3A13" w:rsidRDefault="00833D1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5E7DA15" w14:textId="77777777" w:rsidR="00833D12" w:rsidRPr="00FE3A13" w:rsidRDefault="00833D1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833D12" w:rsidRPr="00FE3A13" w14:paraId="667011F7"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86DB02E" w14:textId="77777777" w:rsidR="00833D12" w:rsidRPr="00FE3A13" w:rsidRDefault="00833D12" w:rsidP="00C270FC">
            <w:pPr>
              <w:pStyle w:val="NIVtableau"/>
              <w:rPr>
                <w:lang w:val="en-US"/>
              </w:rPr>
            </w:pPr>
            <w:r w:rsidRPr="00FE3A13">
              <w:rPr>
                <w:lang w:val="en-US"/>
              </w:rPr>
              <w:t>Etat</w:t>
            </w:r>
          </w:p>
        </w:tc>
        <w:tc>
          <w:tcPr>
            <w:tcW w:w="833" w:type="pct"/>
          </w:tcPr>
          <w:p w14:paraId="630CB451" w14:textId="7F4F10C4" w:rsidR="00833D12" w:rsidRPr="00FE3A13" w:rsidRDefault="00833D12"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796E7EEF" w14:textId="195AB964" w:rsidR="00833D12" w:rsidRPr="00FE3A13" w:rsidRDefault="00833D12"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494 000</w:t>
            </w:r>
          </w:p>
        </w:tc>
        <w:tc>
          <w:tcPr>
            <w:tcW w:w="833" w:type="pct"/>
          </w:tcPr>
          <w:p w14:paraId="1F088C2A" w14:textId="28BDC929" w:rsidR="00833D12" w:rsidRPr="00FE3A13" w:rsidRDefault="00833D12"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530 000</w:t>
            </w:r>
          </w:p>
        </w:tc>
        <w:tc>
          <w:tcPr>
            <w:tcW w:w="833" w:type="pct"/>
          </w:tcPr>
          <w:p w14:paraId="25F5EC1E" w14:textId="06E3FAA1" w:rsidR="00833D12" w:rsidRPr="00FE3A13" w:rsidRDefault="00833D12"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1 024 000</w:t>
            </w:r>
          </w:p>
        </w:tc>
      </w:tr>
      <w:tr w:rsidR="00833D12" w:rsidRPr="00FE3A13" w14:paraId="55CFD8FD"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46E0D1D" w14:textId="77777777" w:rsidR="00833D12" w:rsidRPr="00FE3A13" w:rsidRDefault="00833D12" w:rsidP="00C270FC">
            <w:pPr>
              <w:pStyle w:val="NIVtableau"/>
              <w:rPr>
                <w:b w:val="0"/>
                <w:lang w:val="en-US"/>
              </w:rPr>
            </w:pPr>
            <w:r w:rsidRPr="00FE3A13">
              <w:rPr>
                <w:b w:val="0"/>
                <w:lang w:val="en-US"/>
              </w:rPr>
              <w:t>Communes</w:t>
            </w:r>
          </w:p>
        </w:tc>
        <w:tc>
          <w:tcPr>
            <w:tcW w:w="833" w:type="pct"/>
          </w:tcPr>
          <w:p w14:paraId="3CFA1050" w14:textId="77777777" w:rsidR="00833D12" w:rsidRPr="00FE3A13" w:rsidRDefault="00833D1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050B3CA" w14:textId="0DC2AA85" w:rsidR="00833D12" w:rsidRPr="00FE3A13" w:rsidRDefault="00833D1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-120 000</w:t>
            </w:r>
          </w:p>
        </w:tc>
        <w:tc>
          <w:tcPr>
            <w:tcW w:w="833" w:type="pct"/>
          </w:tcPr>
          <w:p w14:paraId="130E2759" w14:textId="2CD8F03C" w:rsidR="00833D12" w:rsidRPr="00FE3A13" w:rsidRDefault="00833D1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-130 000</w:t>
            </w:r>
          </w:p>
        </w:tc>
        <w:tc>
          <w:tcPr>
            <w:tcW w:w="833" w:type="pct"/>
          </w:tcPr>
          <w:p w14:paraId="21084871" w14:textId="3B9B4D42" w:rsidR="00833D12" w:rsidRPr="00FE3A13" w:rsidRDefault="00833D1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-250 000</w:t>
            </w:r>
          </w:p>
        </w:tc>
      </w:tr>
    </w:tbl>
    <w:p w14:paraId="32E714EC" w14:textId="00697182" w:rsidR="006002F5" w:rsidRPr="00FE3A13" w:rsidRDefault="006002F5" w:rsidP="006002F5">
      <w:pPr>
        <w:pStyle w:val="Listealphabtique"/>
        <w:numPr>
          <w:ilvl w:val="0"/>
          <w:numId w:val="0"/>
        </w:numPr>
        <w:rPr>
          <w:b/>
          <w:bCs/>
        </w:rPr>
      </w:pPr>
      <w:r w:rsidRPr="00FE3A13">
        <w:rPr>
          <w:b/>
          <w:bCs/>
        </w:rPr>
        <w:t>&gt;</w:t>
      </w:r>
      <w:r w:rsidRPr="00FE3A13">
        <w:rPr>
          <w:b/>
          <w:bCs/>
        </w:rPr>
        <w:tab/>
        <w:t>Réduction des subventions en faveur du développement durable</w:t>
      </w:r>
    </w:p>
    <w:p w14:paraId="06796615" w14:textId="50631705" w:rsidR="00833D12" w:rsidRPr="00FE3A13" w:rsidRDefault="006002F5" w:rsidP="00240688">
      <w:pPr>
        <w:pStyle w:val="Corpsdetexte"/>
      </w:pPr>
      <w:r w:rsidRPr="00FE3A13">
        <w:t xml:space="preserve">La mesure </w:t>
      </w:r>
      <w:r w:rsidR="006F4EED" w:rsidRPr="00FE3A13">
        <w:t>consiste en</w:t>
      </w:r>
      <w:r w:rsidRPr="00FE3A13">
        <w:t xml:space="preserve"> une réduction</w:t>
      </w:r>
      <w:r w:rsidR="006F4EED" w:rsidRPr="00FE3A13">
        <w:t xml:space="preserve"> des </w:t>
      </w:r>
      <w:r w:rsidRPr="00FE3A13">
        <w:t>subventions en faveur du développement durable</w:t>
      </w:r>
      <w:r w:rsidR="0068168E" w:rsidRPr="00FE3A13">
        <w:t>, qui sont gérées par divers services de plusieurs Direction</w:t>
      </w:r>
      <w:r w:rsidR="00737631">
        <w:t>s</w:t>
      </w:r>
      <w:r w:rsidR="0068168E" w:rsidRPr="00FE3A13">
        <w:t xml:space="preserve"> de l’Etat</w:t>
      </w:r>
      <w:r w:rsidRPr="00FE3A13">
        <w:t xml:space="preserve">. </w:t>
      </w:r>
      <w:r w:rsidR="00240688" w:rsidRPr="00FE3A13">
        <w:t xml:space="preserve">L’aide sera réduite de 20% </w:t>
      </w:r>
      <w:r w:rsidR="006F4EED" w:rsidRPr="00FE3A13">
        <w:t>par rapport aux intentions initiales. Cela pourrait concerner, pour des montants limités en valeur absolue,</w:t>
      </w:r>
      <w:r w:rsidR="00240688" w:rsidRPr="00FE3A13">
        <w:t xml:space="preserve"> </w:t>
      </w:r>
      <w:r w:rsidRPr="00FE3A13">
        <w:t xml:space="preserve">l’agriculture, les eaux, le prix </w:t>
      </w:r>
      <w:r w:rsidR="00240688" w:rsidRPr="00FE3A13">
        <w:t>innovation Fribourg Freiburg</w:t>
      </w:r>
      <w:r w:rsidRPr="00FE3A13">
        <w:t>, les écoles, les communes, les forêts</w:t>
      </w:r>
      <w:r w:rsidR="006F4EED" w:rsidRPr="00FE3A13">
        <w:t xml:space="preserve"> et </w:t>
      </w:r>
      <w:r w:rsidRPr="00FE3A13">
        <w:t>les milieux associatifs.</w:t>
      </w:r>
    </w:p>
    <w:tbl>
      <w:tblPr>
        <w:tblStyle w:val="TableauEtatFR"/>
        <w:tblW w:w="5000" w:type="pct"/>
        <w:tblLook w:val="04E0" w:firstRow="1" w:lastRow="1" w:firstColumn="1" w:lastColumn="0" w:noHBand="0" w:noVBand="1"/>
      </w:tblPr>
      <w:tblGrid>
        <w:gridCol w:w="3312"/>
        <w:gridCol w:w="1653"/>
        <w:gridCol w:w="1653"/>
        <w:gridCol w:w="1653"/>
        <w:gridCol w:w="1649"/>
      </w:tblGrid>
      <w:tr w:rsidR="00240688" w:rsidRPr="00FE3A13" w14:paraId="7FF66DE1"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BADFDB2" w14:textId="77777777" w:rsidR="00240688" w:rsidRPr="00FE3A13" w:rsidRDefault="00240688" w:rsidP="00C270FC">
            <w:pPr>
              <w:pStyle w:val="NIVtableau"/>
              <w:rPr>
                <w:color w:val="auto"/>
                <w:sz w:val="21"/>
                <w:lang w:val="fr-FR"/>
              </w:rPr>
            </w:pPr>
            <w:r w:rsidRPr="00FE3A13">
              <w:rPr>
                <w:lang w:val="fr-FR"/>
              </w:rPr>
              <w:t>Incidences financières en francs</w:t>
            </w:r>
          </w:p>
        </w:tc>
        <w:tc>
          <w:tcPr>
            <w:tcW w:w="833" w:type="pct"/>
          </w:tcPr>
          <w:p w14:paraId="2CEA5E6C" w14:textId="77777777" w:rsidR="00240688" w:rsidRPr="00FE3A13" w:rsidRDefault="0024068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6351706" w14:textId="77777777" w:rsidR="00240688" w:rsidRPr="00FE3A13" w:rsidRDefault="0024068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DC10717" w14:textId="77777777" w:rsidR="00240688" w:rsidRPr="00FE3A13" w:rsidRDefault="0024068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6139C2E3" w14:textId="77777777" w:rsidR="00240688" w:rsidRPr="00FE3A13" w:rsidRDefault="00240688"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40688" w:rsidRPr="00FE3A13" w14:paraId="5FC3C2F4"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BE254C3" w14:textId="77777777" w:rsidR="00240688" w:rsidRPr="00FE3A13" w:rsidRDefault="00240688" w:rsidP="00C270FC">
            <w:pPr>
              <w:pStyle w:val="NIVtableau"/>
              <w:rPr>
                <w:lang w:val="en-US"/>
              </w:rPr>
            </w:pPr>
            <w:r w:rsidRPr="00FE3A13">
              <w:rPr>
                <w:lang w:val="en-US"/>
              </w:rPr>
              <w:t>Etat</w:t>
            </w:r>
          </w:p>
        </w:tc>
        <w:tc>
          <w:tcPr>
            <w:tcW w:w="833" w:type="pct"/>
          </w:tcPr>
          <w:p w14:paraId="24DA98C7" w14:textId="46D6CE3B" w:rsidR="00240688" w:rsidRPr="00FE3A13" w:rsidRDefault="0024068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35 000</w:t>
            </w:r>
          </w:p>
        </w:tc>
        <w:tc>
          <w:tcPr>
            <w:tcW w:w="833" w:type="pct"/>
          </w:tcPr>
          <w:p w14:paraId="7123DF42" w14:textId="52C891AE" w:rsidR="00240688" w:rsidRPr="00FE3A13" w:rsidRDefault="0024068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35 000</w:t>
            </w:r>
          </w:p>
        </w:tc>
        <w:tc>
          <w:tcPr>
            <w:tcW w:w="833" w:type="pct"/>
          </w:tcPr>
          <w:p w14:paraId="0838E66F" w14:textId="7648553F" w:rsidR="00240688" w:rsidRPr="00FE3A13" w:rsidRDefault="0024068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35 000</w:t>
            </w:r>
          </w:p>
        </w:tc>
        <w:tc>
          <w:tcPr>
            <w:tcW w:w="833" w:type="pct"/>
          </w:tcPr>
          <w:p w14:paraId="09ECE2C1" w14:textId="48F0A24A" w:rsidR="00240688" w:rsidRPr="00FE3A13" w:rsidRDefault="00240688"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105 000</w:t>
            </w:r>
          </w:p>
        </w:tc>
      </w:tr>
      <w:tr w:rsidR="00240688" w:rsidRPr="00FE3A13" w14:paraId="6BE84BC7"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41AF75C" w14:textId="77777777" w:rsidR="00240688" w:rsidRPr="00FE3A13" w:rsidRDefault="00240688" w:rsidP="00C270FC">
            <w:pPr>
              <w:pStyle w:val="NIVtableau"/>
              <w:rPr>
                <w:b w:val="0"/>
                <w:lang w:val="en-US"/>
              </w:rPr>
            </w:pPr>
            <w:r w:rsidRPr="00FE3A13">
              <w:rPr>
                <w:b w:val="0"/>
                <w:lang w:val="en-US"/>
              </w:rPr>
              <w:t>Communes</w:t>
            </w:r>
          </w:p>
        </w:tc>
        <w:tc>
          <w:tcPr>
            <w:tcW w:w="833" w:type="pct"/>
          </w:tcPr>
          <w:p w14:paraId="499073C4" w14:textId="20A8F27B" w:rsidR="00240688" w:rsidRPr="00FE3A13" w:rsidRDefault="0024068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-10 000</w:t>
            </w:r>
          </w:p>
        </w:tc>
        <w:tc>
          <w:tcPr>
            <w:tcW w:w="833" w:type="pct"/>
          </w:tcPr>
          <w:p w14:paraId="45B5FD0C" w14:textId="0C6B2710" w:rsidR="00240688" w:rsidRPr="00FE3A13" w:rsidRDefault="0024068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-10 000</w:t>
            </w:r>
          </w:p>
        </w:tc>
        <w:tc>
          <w:tcPr>
            <w:tcW w:w="833" w:type="pct"/>
          </w:tcPr>
          <w:p w14:paraId="71B97CD7" w14:textId="05C64424" w:rsidR="00240688" w:rsidRPr="00FE3A13" w:rsidRDefault="0024068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-10 000</w:t>
            </w:r>
          </w:p>
        </w:tc>
        <w:tc>
          <w:tcPr>
            <w:tcW w:w="833" w:type="pct"/>
          </w:tcPr>
          <w:p w14:paraId="73F728E2" w14:textId="2230DCD1" w:rsidR="00240688" w:rsidRPr="00FE3A13" w:rsidRDefault="00240688"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-30 000</w:t>
            </w:r>
          </w:p>
        </w:tc>
      </w:tr>
    </w:tbl>
    <w:p w14:paraId="7FB66DE5" w14:textId="12AEA14A" w:rsidR="008E4FF3" w:rsidRPr="00FE3A13" w:rsidRDefault="008E4FF3" w:rsidP="008E4FF3">
      <w:pPr>
        <w:pStyle w:val="Listealphabtique"/>
        <w:numPr>
          <w:ilvl w:val="0"/>
          <w:numId w:val="0"/>
        </w:numPr>
        <w:rPr>
          <w:b/>
          <w:bCs/>
        </w:rPr>
      </w:pPr>
      <w:r w:rsidRPr="00FE3A13">
        <w:rPr>
          <w:b/>
          <w:bCs/>
        </w:rPr>
        <w:t>&gt;</w:t>
      </w:r>
      <w:r w:rsidRPr="00FE3A13">
        <w:rPr>
          <w:b/>
          <w:bCs/>
        </w:rPr>
        <w:tab/>
        <w:t>Réduction des subventions en faveur du plan climat</w:t>
      </w:r>
    </w:p>
    <w:p w14:paraId="554A0836" w14:textId="5E41EDB0" w:rsidR="004B10C0" w:rsidRPr="00FE3A13" w:rsidRDefault="008E4FF3" w:rsidP="008E4FF3">
      <w:pPr>
        <w:pStyle w:val="Corpsdetexte"/>
      </w:pPr>
      <w:r w:rsidRPr="00FE3A13">
        <w:t xml:space="preserve">La mesure réduit les subventions en faveur du plan climat. </w:t>
      </w:r>
      <w:r w:rsidR="00EB4CCE" w:rsidRPr="00FE3A13">
        <w:t>Pour la période 2021-2026, c</w:t>
      </w:r>
      <w:r w:rsidRPr="00FE3A13">
        <w:t xml:space="preserve">ertaines mesures de soutien financier </w:t>
      </w:r>
      <w:r w:rsidR="00EB4CCE" w:rsidRPr="00FE3A13">
        <w:t>dans le domaine</w:t>
      </w:r>
      <w:r w:rsidRPr="00FE3A13">
        <w:t xml:space="preserve"> n'ont pas pu être mise</w:t>
      </w:r>
      <w:r w:rsidR="00EB4CCE" w:rsidRPr="00FE3A13">
        <w:t>s</w:t>
      </w:r>
      <w:r w:rsidRPr="00FE3A13">
        <w:t xml:space="preserve"> en œuvre en raison du retard pris avec la règlementation d'exécution de la loi sur le climat à l'exception de celles pour lesquelles des ordonnances à durée limitée ont été adoptée</w:t>
      </w:r>
      <w:r w:rsidR="00497727">
        <w:t>s</w:t>
      </w:r>
      <w:r w:rsidRPr="00FE3A13">
        <w:t xml:space="preserve"> par le CE. Cette situation implique un frein automatique à l’octroi de nouvelles subventions. </w:t>
      </w:r>
      <w:r w:rsidR="00EB4CCE" w:rsidRPr="00FE3A13">
        <w:t>La baisse</w:t>
      </w:r>
      <w:r w:rsidRPr="00FE3A13">
        <w:t xml:space="preserve"> représent</w:t>
      </w:r>
      <w:r w:rsidR="00EB4CCE" w:rsidRPr="00FE3A13">
        <w:t>era</w:t>
      </w:r>
      <w:r w:rsidRPr="00FE3A13">
        <w:t xml:space="preserve"> 15,5%</w:t>
      </w:r>
      <w:r w:rsidR="00EB4CCE" w:rsidRPr="00FE3A13">
        <w:t xml:space="preserve"> par rapport aux</w:t>
      </w:r>
      <w:r w:rsidRPr="00FE3A13">
        <w:t xml:space="preserve"> montants </w:t>
      </w:r>
      <w:r w:rsidR="00EB4CCE" w:rsidRPr="00FE3A13">
        <w:t xml:space="preserve">initialement </w:t>
      </w:r>
      <w:r w:rsidRPr="00FE3A13">
        <w:t>prévus.</w:t>
      </w:r>
    </w:p>
    <w:tbl>
      <w:tblPr>
        <w:tblStyle w:val="TableauEtatFR"/>
        <w:tblW w:w="5000" w:type="pct"/>
        <w:tblLook w:val="04E0" w:firstRow="1" w:lastRow="1" w:firstColumn="1" w:lastColumn="0" w:noHBand="0" w:noVBand="1"/>
      </w:tblPr>
      <w:tblGrid>
        <w:gridCol w:w="3312"/>
        <w:gridCol w:w="1653"/>
        <w:gridCol w:w="1653"/>
        <w:gridCol w:w="1653"/>
        <w:gridCol w:w="1649"/>
      </w:tblGrid>
      <w:tr w:rsidR="00EB4CCE" w:rsidRPr="00FE3A13" w14:paraId="6245C9B9"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033C711C" w14:textId="77777777" w:rsidR="00EB4CCE" w:rsidRPr="00FE3A13" w:rsidRDefault="00EB4CCE" w:rsidP="00C270FC">
            <w:pPr>
              <w:pStyle w:val="NIVtableau"/>
              <w:rPr>
                <w:color w:val="auto"/>
                <w:sz w:val="21"/>
                <w:lang w:val="fr-FR"/>
              </w:rPr>
            </w:pPr>
            <w:r w:rsidRPr="00FE3A13">
              <w:rPr>
                <w:lang w:val="fr-FR"/>
              </w:rPr>
              <w:t>Incidences financières en francs</w:t>
            </w:r>
          </w:p>
        </w:tc>
        <w:tc>
          <w:tcPr>
            <w:tcW w:w="833" w:type="pct"/>
          </w:tcPr>
          <w:p w14:paraId="40CBF7F8"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BF4B2CB"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57C1474"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24295F9D"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B4CCE" w:rsidRPr="00FE3A13" w14:paraId="25E25338"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A58A72F" w14:textId="77777777" w:rsidR="00EB4CCE" w:rsidRPr="00FE3A13" w:rsidRDefault="00EB4CCE" w:rsidP="00C270FC">
            <w:pPr>
              <w:pStyle w:val="NIVtableau"/>
              <w:rPr>
                <w:lang w:val="en-US"/>
              </w:rPr>
            </w:pPr>
            <w:r w:rsidRPr="00FE3A13">
              <w:rPr>
                <w:lang w:val="en-US"/>
              </w:rPr>
              <w:t>Etat</w:t>
            </w:r>
          </w:p>
        </w:tc>
        <w:tc>
          <w:tcPr>
            <w:tcW w:w="833" w:type="pct"/>
          </w:tcPr>
          <w:p w14:paraId="26127BE9" w14:textId="1010813B"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140 500</w:t>
            </w:r>
          </w:p>
        </w:tc>
        <w:tc>
          <w:tcPr>
            <w:tcW w:w="833" w:type="pct"/>
          </w:tcPr>
          <w:p w14:paraId="2E285836" w14:textId="440D9774"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168 000</w:t>
            </w:r>
          </w:p>
        </w:tc>
        <w:tc>
          <w:tcPr>
            <w:tcW w:w="833" w:type="pct"/>
          </w:tcPr>
          <w:p w14:paraId="5CCCDCCB" w14:textId="54663811"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191 500</w:t>
            </w:r>
          </w:p>
        </w:tc>
        <w:tc>
          <w:tcPr>
            <w:tcW w:w="833" w:type="pct"/>
          </w:tcPr>
          <w:p w14:paraId="3A3F3508" w14:textId="3D3B4621"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r>
      <w:tr w:rsidR="00EB4CCE" w:rsidRPr="00FE3A13" w14:paraId="75D63BA7"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69F409D" w14:textId="77777777" w:rsidR="00EB4CCE" w:rsidRPr="00FE3A13" w:rsidRDefault="00EB4CCE" w:rsidP="00C270FC">
            <w:pPr>
              <w:pStyle w:val="NIVtableau"/>
              <w:rPr>
                <w:b w:val="0"/>
                <w:lang w:val="en-US"/>
              </w:rPr>
            </w:pPr>
            <w:r w:rsidRPr="00FE3A13">
              <w:rPr>
                <w:b w:val="0"/>
                <w:lang w:val="en-US"/>
              </w:rPr>
              <w:t>Communes</w:t>
            </w:r>
          </w:p>
        </w:tc>
        <w:tc>
          <w:tcPr>
            <w:tcW w:w="833" w:type="pct"/>
          </w:tcPr>
          <w:p w14:paraId="567ECCDB" w14:textId="3FAB2225"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-59</w:t>
            </w:r>
            <w:r w:rsidR="00AA2C58" w:rsidRPr="00FE3A13">
              <w:rPr>
                <w:b w:val="0"/>
                <w:bCs w:val="0"/>
                <w:lang w:val="en-US"/>
              </w:rPr>
              <w:t xml:space="preserve"> </w:t>
            </w:r>
            <w:r w:rsidRPr="00FE3A13">
              <w:rPr>
                <w:b w:val="0"/>
                <w:bCs w:val="0"/>
                <w:lang w:val="en-US"/>
              </w:rPr>
              <w:t>000</w:t>
            </w:r>
          </w:p>
        </w:tc>
        <w:tc>
          <w:tcPr>
            <w:tcW w:w="833" w:type="pct"/>
          </w:tcPr>
          <w:p w14:paraId="5985D748" w14:textId="692194B5"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-70 500</w:t>
            </w:r>
          </w:p>
        </w:tc>
        <w:tc>
          <w:tcPr>
            <w:tcW w:w="833" w:type="pct"/>
          </w:tcPr>
          <w:p w14:paraId="7EA0CA4E" w14:textId="2C7FBA43"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-80 500</w:t>
            </w:r>
          </w:p>
        </w:tc>
        <w:tc>
          <w:tcPr>
            <w:tcW w:w="833" w:type="pct"/>
          </w:tcPr>
          <w:p w14:paraId="797E1AC7" w14:textId="0DB3019C"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-210 000</w:t>
            </w:r>
          </w:p>
        </w:tc>
      </w:tr>
    </w:tbl>
    <w:p w14:paraId="51815314" w14:textId="5C93C42E" w:rsidR="00EB4CCE" w:rsidRPr="00FE3A13" w:rsidRDefault="00EB4CCE" w:rsidP="00EB4CCE">
      <w:pPr>
        <w:pStyle w:val="Listealphabtique"/>
        <w:numPr>
          <w:ilvl w:val="0"/>
          <w:numId w:val="0"/>
        </w:numPr>
        <w:rPr>
          <w:b/>
          <w:bCs/>
        </w:rPr>
      </w:pPr>
      <w:r w:rsidRPr="00FE3A13">
        <w:rPr>
          <w:b/>
          <w:bCs/>
        </w:rPr>
        <w:t>&gt;</w:t>
      </w:r>
      <w:r w:rsidRPr="00FE3A13">
        <w:rPr>
          <w:b/>
          <w:bCs/>
        </w:rPr>
        <w:tab/>
        <w:t>Réduction des subventions pour le développement du tourisme</w:t>
      </w:r>
    </w:p>
    <w:p w14:paraId="13340B15" w14:textId="386BF11F" w:rsidR="00EB4CCE" w:rsidRPr="00FE3A13" w:rsidRDefault="00EB4CCE" w:rsidP="00EB4CCE">
      <w:r w:rsidRPr="00FE3A13">
        <w:t xml:space="preserve">La mesure propose de réduire les subventions pour le développement du tourisme. Un abaissement de la contribution du canton entraînera un effet direct </w:t>
      </w:r>
      <w:r w:rsidR="00584881" w:rsidRPr="00FE3A13">
        <w:t xml:space="preserve">sur le budget </w:t>
      </w:r>
      <w:r w:rsidRPr="00FE3A13">
        <w:t>de l’</w:t>
      </w:r>
      <w:r w:rsidR="00584881" w:rsidRPr="00FE3A13">
        <w:t>Union fribourgeoise du tourisme (UFT). Il</w:t>
      </w:r>
      <w:r w:rsidRPr="00FE3A13">
        <w:t xml:space="preserve"> sera réduit d’environ 1.3% par rapport au budget global</w:t>
      </w:r>
      <w:r w:rsidR="00584881" w:rsidRPr="00FE3A13">
        <w:t xml:space="preserve"> prévu</w:t>
      </w:r>
      <w:r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EB4CCE" w:rsidRPr="00FE3A13" w14:paraId="313B45BA"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79D8FC69" w14:textId="77777777" w:rsidR="00EB4CCE" w:rsidRPr="00FE3A13" w:rsidRDefault="00EB4CCE" w:rsidP="00C270FC">
            <w:pPr>
              <w:pStyle w:val="NIVtableau"/>
              <w:rPr>
                <w:color w:val="auto"/>
                <w:sz w:val="21"/>
                <w:lang w:val="fr-FR"/>
              </w:rPr>
            </w:pPr>
            <w:r w:rsidRPr="00FE3A13">
              <w:rPr>
                <w:lang w:val="fr-FR"/>
              </w:rPr>
              <w:t>Incidences financières en francs</w:t>
            </w:r>
          </w:p>
        </w:tc>
        <w:tc>
          <w:tcPr>
            <w:tcW w:w="833" w:type="pct"/>
          </w:tcPr>
          <w:p w14:paraId="14584966"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A048E45"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BD2BA18"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1E39FA12" w14:textId="77777777" w:rsidR="00EB4CCE" w:rsidRPr="00FE3A13" w:rsidRDefault="00EB4C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B4CCE" w:rsidRPr="00FE3A13" w14:paraId="5E081CE6"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49EECB75" w14:textId="77777777" w:rsidR="00EB4CCE" w:rsidRPr="00FE3A13" w:rsidRDefault="00EB4CCE" w:rsidP="00C270FC">
            <w:pPr>
              <w:pStyle w:val="NIVtableau"/>
              <w:rPr>
                <w:lang w:val="en-US"/>
              </w:rPr>
            </w:pPr>
            <w:r w:rsidRPr="00FE3A13">
              <w:rPr>
                <w:lang w:val="en-US"/>
              </w:rPr>
              <w:t>Etat</w:t>
            </w:r>
          </w:p>
        </w:tc>
        <w:tc>
          <w:tcPr>
            <w:tcW w:w="833" w:type="pct"/>
          </w:tcPr>
          <w:p w14:paraId="69002E01" w14:textId="543E450D"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46F1C8C9" w14:textId="167E6780"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44B09A7D" w14:textId="7197660F"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100 000</w:t>
            </w:r>
          </w:p>
        </w:tc>
        <w:tc>
          <w:tcPr>
            <w:tcW w:w="833" w:type="pct"/>
          </w:tcPr>
          <w:p w14:paraId="46239496" w14:textId="3E60C2AB" w:rsidR="00EB4CCE" w:rsidRPr="00FE3A13" w:rsidRDefault="00EB4C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300 000</w:t>
            </w:r>
          </w:p>
        </w:tc>
      </w:tr>
      <w:tr w:rsidR="00EB4CCE" w:rsidRPr="00FE3A13" w14:paraId="2915E260"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8499EA9" w14:textId="77777777" w:rsidR="00EB4CCE" w:rsidRPr="00FE3A13" w:rsidRDefault="00EB4CCE" w:rsidP="00C270FC">
            <w:pPr>
              <w:pStyle w:val="NIVtableau"/>
              <w:rPr>
                <w:b w:val="0"/>
                <w:lang w:val="en-US"/>
              </w:rPr>
            </w:pPr>
            <w:r w:rsidRPr="00FE3A13">
              <w:rPr>
                <w:b w:val="0"/>
                <w:lang w:val="en-US"/>
              </w:rPr>
              <w:t>Communes</w:t>
            </w:r>
          </w:p>
        </w:tc>
        <w:tc>
          <w:tcPr>
            <w:tcW w:w="833" w:type="pct"/>
          </w:tcPr>
          <w:p w14:paraId="3B58A3F1" w14:textId="5414E465"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29639C7" w14:textId="27ED68E6"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8337057" w14:textId="377B7522"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869ACC6" w14:textId="19792020" w:rsidR="00EB4CCE" w:rsidRPr="00FE3A13" w:rsidRDefault="00EB4C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F7E3512" w14:textId="3ED39C53" w:rsidR="00ED4DC9" w:rsidRPr="00FE3A13" w:rsidRDefault="00ED4DC9" w:rsidP="00ED4DC9">
      <w:pPr>
        <w:pStyle w:val="Listealphabtique"/>
        <w:numPr>
          <w:ilvl w:val="0"/>
          <w:numId w:val="0"/>
        </w:numPr>
        <w:rPr>
          <w:b/>
          <w:bCs/>
        </w:rPr>
      </w:pPr>
      <w:r w:rsidRPr="00FE3A13">
        <w:rPr>
          <w:b/>
          <w:bCs/>
        </w:rPr>
        <w:t>&gt;</w:t>
      </w:r>
      <w:r w:rsidRPr="00FE3A13">
        <w:rPr>
          <w:b/>
          <w:bCs/>
        </w:rPr>
        <w:tab/>
        <w:t>R</w:t>
      </w:r>
      <w:r w:rsidR="00E415A0">
        <w:rPr>
          <w:b/>
          <w:bCs/>
        </w:rPr>
        <w:t>éduction des subventions aux infrastructures de mobilité dans les agglomérations</w:t>
      </w:r>
    </w:p>
    <w:p w14:paraId="201DC87C" w14:textId="7F903A58" w:rsidR="00EB4CCE" w:rsidRPr="00FE3A13" w:rsidRDefault="00ED4DC9" w:rsidP="00EB4CCE">
      <w:r w:rsidRPr="00FE3A13">
        <w:t xml:space="preserve">La mesure induit un renoncement à certaines subventions potestatives. </w:t>
      </w:r>
      <w:r w:rsidR="000C5528" w:rsidRPr="00FE3A13">
        <w:t>Cela concernera</w:t>
      </w:r>
      <w:r w:rsidRPr="00FE3A13">
        <w:t xml:space="preserve"> en priorité </w:t>
      </w:r>
      <w:r w:rsidR="000C5528" w:rsidRPr="00FE3A13">
        <w:t>les</w:t>
      </w:r>
      <w:r w:rsidRPr="00FE3A13">
        <w:t xml:space="preserve"> subventions qui découlent de l’art. 177 de la LMob et qui concernent les infrastructures de mobilité dans les agglomérations.</w:t>
      </w:r>
    </w:p>
    <w:tbl>
      <w:tblPr>
        <w:tblStyle w:val="TableauEtatFR"/>
        <w:tblW w:w="5000" w:type="pct"/>
        <w:tblLook w:val="04E0" w:firstRow="1" w:lastRow="1" w:firstColumn="1" w:lastColumn="0" w:noHBand="0" w:noVBand="1"/>
      </w:tblPr>
      <w:tblGrid>
        <w:gridCol w:w="3312"/>
        <w:gridCol w:w="1653"/>
        <w:gridCol w:w="1653"/>
        <w:gridCol w:w="1653"/>
        <w:gridCol w:w="1649"/>
      </w:tblGrid>
      <w:tr w:rsidR="00ED4DC9" w:rsidRPr="00FE3A13" w14:paraId="7AF99420" w14:textId="77777777" w:rsidTr="00C66A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4F761433" w14:textId="77777777" w:rsidR="00ED4DC9" w:rsidRPr="00FE3A13" w:rsidRDefault="00ED4DC9" w:rsidP="00C270FC">
            <w:pPr>
              <w:pStyle w:val="NIVtableau"/>
              <w:rPr>
                <w:color w:val="auto"/>
                <w:sz w:val="21"/>
                <w:lang w:val="fr-FR"/>
              </w:rPr>
            </w:pPr>
            <w:r w:rsidRPr="00FE3A13">
              <w:rPr>
                <w:lang w:val="fr-FR"/>
              </w:rPr>
              <w:t>Incidences financières en francs</w:t>
            </w:r>
          </w:p>
        </w:tc>
        <w:tc>
          <w:tcPr>
            <w:tcW w:w="833" w:type="pct"/>
          </w:tcPr>
          <w:p w14:paraId="7FF1DA7D" w14:textId="77777777" w:rsidR="00ED4DC9" w:rsidRPr="00FE3A13" w:rsidRDefault="00ED4DC9"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C57F82D" w14:textId="77777777" w:rsidR="00ED4DC9" w:rsidRPr="00FE3A13" w:rsidRDefault="00ED4DC9"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5D8BF79" w14:textId="77777777" w:rsidR="00ED4DC9" w:rsidRPr="00FE3A13" w:rsidRDefault="00ED4DC9"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73658CC" w14:textId="77777777" w:rsidR="00ED4DC9" w:rsidRPr="00FE3A13" w:rsidRDefault="00ED4DC9"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D4DC9" w:rsidRPr="00FE3A13" w14:paraId="1D311B59" w14:textId="77777777" w:rsidTr="00C66A1D">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3B47FF1" w14:textId="77777777" w:rsidR="00ED4DC9" w:rsidRPr="00FE3A13" w:rsidRDefault="00ED4DC9" w:rsidP="00C270FC">
            <w:pPr>
              <w:pStyle w:val="NIVtableau"/>
              <w:rPr>
                <w:lang w:val="en-US"/>
              </w:rPr>
            </w:pPr>
            <w:r w:rsidRPr="00FE3A13">
              <w:rPr>
                <w:lang w:val="en-US"/>
              </w:rPr>
              <w:t>Etat</w:t>
            </w:r>
          </w:p>
        </w:tc>
        <w:tc>
          <w:tcPr>
            <w:tcW w:w="833" w:type="pct"/>
          </w:tcPr>
          <w:p w14:paraId="4E9D252E" w14:textId="3D9700F8" w:rsidR="00ED4DC9" w:rsidRPr="00FE3A13" w:rsidRDefault="00ED4DC9"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2 500 000</w:t>
            </w:r>
          </w:p>
        </w:tc>
        <w:tc>
          <w:tcPr>
            <w:tcW w:w="833" w:type="pct"/>
          </w:tcPr>
          <w:p w14:paraId="7DA82D60" w14:textId="351C2234" w:rsidR="00ED4DC9" w:rsidRPr="00FE3A13" w:rsidRDefault="00ED4DC9"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2 500 000</w:t>
            </w:r>
          </w:p>
        </w:tc>
        <w:tc>
          <w:tcPr>
            <w:tcW w:w="833" w:type="pct"/>
          </w:tcPr>
          <w:p w14:paraId="37E1A9A5" w14:textId="4358DACA" w:rsidR="00ED4DC9" w:rsidRPr="00FE3A13" w:rsidRDefault="00ED4DC9"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2 500 000</w:t>
            </w:r>
          </w:p>
        </w:tc>
        <w:tc>
          <w:tcPr>
            <w:tcW w:w="833" w:type="pct"/>
          </w:tcPr>
          <w:p w14:paraId="6735FCD3" w14:textId="2D234846" w:rsidR="00ED4DC9" w:rsidRPr="00FE3A13" w:rsidRDefault="00ED4DC9"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7 500 000</w:t>
            </w:r>
          </w:p>
        </w:tc>
      </w:tr>
      <w:tr w:rsidR="00ED4DC9" w:rsidRPr="00FE3A13" w14:paraId="410A6811" w14:textId="77777777" w:rsidTr="00C66A1D">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FF2DFFF" w14:textId="77777777" w:rsidR="00ED4DC9" w:rsidRPr="00FE3A13" w:rsidRDefault="00ED4DC9" w:rsidP="00C270FC">
            <w:pPr>
              <w:pStyle w:val="NIVtableau"/>
              <w:rPr>
                <w:b w:val="0"/>
                <w:lang w:val="en-US"/>
              </w:rPr>
            </w:pPr>
            <w:r w:rsidRPr="00FE3A13">
              <w:rPr>
                <w:b w:val="0"/>
                <w:lang w:val="en-US"/>
              </w:rPr>
              <w:t>Communes</w:t>
            </w:r>
          </w:p>
        </w:tc>
        <w:tc>
          <w:tcPr>
            <w:tcW w:w="833" w:type="pct"/>
          </w:tcPr>
          <w:p w14:paraId="23884275" w14:textId="2CEDBA07" w:rsidR="00ED4DC9" w:rsidRPr="00FE3A13" w:rsidRDefault="00ED4DC9"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-2 500 000</w:t>
            </w:r>
          </w:p>
        </w:tc>
        <w:tc>
          <w:tcPr>
            <w:tcW w:w="833" w:type="pct"/>
          </w:tcPr>
          <w:p w14:paraId="3D6A500E" w14:textId="6EF0B9E3" w:rsidR="00ED4DC9" w:rsidRPr="00FE3A13" w:rsidRDefault="00ED4DC9"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-2 500 000</w:t>
            </w:r>
          </w:p>
        </w:tc>
        <w:tc>
          <w:tcPr>
            <w:tcW w:w="833" w:type="pct"/>
          </w:tcPr>
          <w:p w14:paraId="328E02DA" w14:textId="41430702" w:rsidR="00ED4DC9" w:rsidRPr="00FE3A13" w:rsidRDefault="00ED4DC9"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-2 500 000</w:t>
            </w:r>
          </w:p>
        </w:tc>
        <w:tc>
          <w:tcPr>
            <w:tcW w:w="833" w:type="pct"/>
          </w:tcPr>
          <w:p w14:paraId="0D102FE7" w14:textId="36A63A7F" w:rsidR="00ED4DC9" w:rsidRPr="00FE3A13" w:rsidRDefault="00ED4DC9"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-7 500 000</w:t>
            </w:r>
          </w:p>
        </w:tc>
      </w:tr>
    </w:tbl>
    <w:p w14:paraId="41A883FA" w14:textId="54FD55C0" w:rsidR="00656E04" w:rsidRPr="00FE3A13" w:rsidRDefault="00656E04" w:rsidP="00656E04">
      <w:pPr>
        <w:pStyle w:val="Listealphabtique"/>
        <w:numPr>
          <w:ilvl w:val="0"/>
          <w:numId w:val="0"/>
        </w:numPr>
        <w:rPr>
          <w:b/>
          <w:bCs/>
        </w:rPr>
      </w:pPr>
      <w:r w:rsidRPr="00FE3A13">
        <w:rPr>
          <w:b/>
          <w:bCs/>
        </w:rPr>
        <w:lastRenderedPageBreak/>
        <w:t>&gt;</w:t>
      </w:r>
      <w:r w:rsidRPr="00FE3A13">
        <w:rPr>
          <w:b/>
          <w:bCs/>
        </w:rPr>
        <w:tab/>
        <w:t>Réduction du taux de subvention pour les plateformes multimodales</w:t>
      </w:r>
    </w:p>
    <w:p w14:paraId="4EA714F5" w14:textId="052F0C59" w:rsidR="00ED4DC9" w:rsidRPr="00FE3A13" w:rsidRDefault="00656E04" w:rsidP="00656E04">
      <w:r w:rsidRPr="00FE3A13">
        <w:t>La me</w:t>
      </w:r>
      <w:r w:rsidR="00576FCE" w:rsidRPr="00FE3A13">
        <w:t>sure consiste à réduire le taux de subventionnement accordé aux plateformes multimodales</w:t>
      </w:r>
      <w:r w:rsidR="000C5528" w:rsidRPr="00FE3A13">
        <w:t xml:space="preserve"> en matière de transport</w:t>
      </w:r>
      <w:r w:rsidR="00576FCE" w:rsidRPr="00FE3A13">
        <w:t>.</w:t>
      </w:r>
      <w:r w:rsidRPr="00FE3A13">
        <w:t xml:space="preserve"> </w:t>
      </w:r>
      <w:r w:rsidR="00576FCE" w:rsidRPr="00FE3A13">
        <w:t xml:space="preserve">L’Etat contribue financièrement à la construction et au réaménagement de ces plateformes. Sa contribution varie selon les disponibilités financières et ne peut dépasser 50% des coûts totaux. Les subventions dans ce domaine seront désormais plafonnées à 35%. </w:t>
      </w:r>
    </w:p>
    <w:tbl>
      <w:tblPr>
        <w:tblStyle w:val="TableauEtatFR"/>
        <w:tblW w:w="5000" w:type="pct"/>
        <w:tblLook w:val="04E0" w:firstRow="1" w:lastRow="1" w:firstColumn="1" w:lastColumn="0" w:noHBand="0" w:noVBand="1"/>
      </w:tblPr>
      <w:tblGrid>
        <w:gridCol w:w="3312"/>
        <w:gridCol w:w="1653"/>
        <w:gridCol w:w="1653"/>
        <w:gridCol w:w="1653"/>
        <w:gridCol w:w="1649"/>
      </w:tblGrid>
      <w:tr w:rsidR="00576FCE" w:rsidRPr="00FE3A13" w14:paraId="6448B15E" w14:textId="77777777" w:rsidTr="00C360E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DFCF21A" w14:textId="77777777" w:rsidR="00576FCE" w:rsidRPr="00FE3A13" w:rsidRDefault="00576FCE" w:rsidP="00C270FC">
            <w:pPr>
              <w:pStyle w:val="NIVtableau"/>
              <w:rPr>
                <w:color w:val="auto"/>
                <w:sz w:val="21"/>
                <w:lang w:val="fr-FR"/>
              </w:rPr>
            </w:pPr>
            <w:r w:rsidRPr="00FE3A13">
              <w:rPr>
                <w:lang w:val="fr-FR"/>
              </w:rPr>
              <w:t>Incidences financières en francs</w:t>
            </w:r>
          </w:p>
        </w:tc>
        <w:tc>
          <w:tcPr>
            <w:tcW w:w="833" w:type="pct"/>
          </w:tcPr>
          <w:p w14:paraId="1BE0BA85" w14:textId="77777777" w:rsidR="00576FCE" w:rsidRPr="00FE3A13" w:rsidRDefault="00576F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7604986" w14:textId="77777777" w:rsidR="00576FCE" w:rsidRPr="00FE3A13" w:rsidRDefault="00576F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3F15EE9" w14:textId="77777777" w:rsidR="00576FCE" w:rsidRPr="00FE3A13" w:rsidRDefault="00576F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DD30A8E" w14:textId="77777777" w:rsidR="00576FCE" w:rsidRPr="00FE3A13" w:rsidRDefault="00576FCE"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576FCE" w:rsidRPr="00FE3A13" w14:paraId="1ACEC8AB" w14:textId="77777777" w:rsidTr="00C360E5">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53C93D70" w14:textId="77777777" w:rsidR="00576FCE" w:rsidRPr="00FE3A13" w:rsidRDefault="00576FCE" w:rsidP="00C270FC">
            <w:pPr>
              <w:pStyle w:val="NIVtableau"/>
              <w:rPr>
                <w:lang w:val="en-US"/>
              </w:rPr>
            </w:pPr>
            <w:r w:rsidRPr="00FE3A13">
              <w:rPr>
                <w:lang w:val="en-US"/>
              </w:rPr>
              <w:t>Etat</w:t>
            </w:r>
          </w:p>
        </w:tc>
        <w:tc>
          <w:tcPr>
            <w:tcW w:w="833" w:type="pct"/>
          </w:tcPr>
          <w:p w14:paraId="6A46C6CE" w14:textId="263213FA" w:rsidR="00576FCE" w:rsidRPr="00FE3A13" w:rsidRDefault="00576F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360 000</w:t>
            </w:r>
          </w:p>
        </w:tc>
        <w:tc>
          <w:tcPr>
            <w:tcW w:w="833" w:type="pct"/>
          </w:tcPr>
          <w:p w14:paraId="3845B3DD" w14:textId="7CFF7F1B" w:rsidR="00576FCE" w:rsidRPr="00FE3A13" w:rsidRDefault="00576F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750 000</w:t>
            </w:r>
          </w:p>
        </w:tc>
        <w:tc>
          <w:tcPr>
            <w:tcW w:w="833" w:type="pct"/>
          </w:tcPr>
          <w:p w14:paraId="6511F5C2" w14:textId="65FFD14D" w:rsidR="00576FCE" w:rsidRPr="00FE3A13" w:rsidRDefault="00576F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810 000</w:t>
            </w:r>
          </w:p>
        </w:tc>
        <w:tc>
          <w:tcPr>
            <w:tcW w:w="833" w:type="pct"/>
          </w:tcPr>
          <w:p w14:paraId="7D0DF076" w14:textId="024EA1BC" w:rsidR="00576FCE" w:rsidRPr="00FE3A13" w:rsidRDefault="00576FCE"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1 920 000</w:t>
            </w:r>
          </w:p>
        </w:tc>
      </w:tr>
      <w:tr w:rsidR="00576FCE" w:rsidRPr="00FE3A13" w14:paraId="5A6302D2" w14:textId="77777777" w:rsidTr="00C360E5">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09F50DE2" w14:textId="77777777" w:rsidR="00576FCE" w:rsidRPr="00FE3A13" w:rsidRDefault="00576FCE" w:rsidP="00C270FC">
            <w:pPr>
              <w:pStyle w:val="NIVtableau"/>
              <w:rPr>
                <w:b w:val="0"/>
                <w:lang w:val="en-US"/>
              </w:rPr>
            </w:pPr>
            <w:r w:rsidRPr="00FE3A13">
              <w:rPr>
                <w:b w:val="0"/>
                <w:lang w:val="en-US"/>
              </w:rPr>
              <w:t>Communes</w:t>
            </w:r>
          </w:p>
        </w:tc>
        <w:tc>
          <w:tcPr>
            <w:tcW w:w="833" w:type="pct"/>
          </w:tcPr>
          <w:p w14:paraId="19224EB3" w14:textId="5E82705D" w:rsidR="00576FCE" w:rsidRPr="00FE3A13" w:rsidRDefault="00576F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-3</w:t>
            </w:r>
            <w:r w:rsidR="007E7A9E" w:rsidRPr="00FE3A13">
              <w:rPr>
                <w:b w:val="0"/>
                <w:bCs w:val="0"/>
                <w:lang w:val="en-US"/>
              </w:rPr>
              <w:t>6</w:t>
            </w:r>
            <w:r w:rsidRPr="00FE3A13">
              <w:rPr>
                <w:b w:val="0"/>
                <w:bCs w:val="0"/>
                <w:lang w:val="en-US"/>
              </w:rPr>
              <w:t>0 000</w:t>
            </w:r>
          </w:p>
        </w:tc>
        <w:tc>
          <w:tcPr>
            <w:tcW w:w="833" w:type="pct"/>
          </w:tcPr>
          <w:p w14:paraId="5431FA53" w14:textId="0E24184D" w:rsidR="00576FCE" w:rsidRPr="00FE3A13" w:rsidRDefault="00576F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-750 000</w:t>
            </w:r>
          </w:p>
        </w:tc>
        <w:tc>
          <w:tcPr>
            <w:tcW w:w="833" w:type="pct"/>
          </w:tcPr>
          <w:p w14:paraId="1C5D1F11" w14:textId="6EF6BF1A" w:rsidR="00576FCE" w:rsidRPr="00FE3A13" w:rsidRDefault="00576F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-810 000</w:t>
            </w:r>
          </w:p>
        </w:tc>
        <w:tc>
          <w:tcPr>
            <w:tcW w:w="833" w:type="pct"/>
          </w:tcPr>
          <w:p w14:paraId="3B7D8BA5" w14:textId="0FF6D9B5" w:rsidR="00576FCE" w:rsidRPr="00FE3A13" w:rsidRDefault="00576FCE"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-1 920 000</w:t>
            </w:r>
          </w:p>
        </w:tc>
      </w:tr>
    </w:tbl>
    <w:p w14:paraId="08FAC4A9" w14:textId="1BF40506" w:rsidR="0072020B" w:rsidRPr="00FE3A13" w:rsidRDefault="0072020B" w:rsidP="0072020B">
      <w:pPr>
        <w:pStyle w:val="Listealphabtique"/>
        <w:numPr>
          <w:ilvl w:val="0"/>
          <w:numId w:val="0"/>
        </w:numPr>
        <w:rPr>
          <w:b/>
          <w:bCs/>
        </w:rPr>
      </w:pPr>
      <w:r w:rsidRPr="00FE3A13">
        <w:rPr>
          <w:b/>
          <w:bCs/>
        </w:rPr>
        <w:t>&gt;</w:t>
      </w:r>
      <w:r w:rsidRPr="00FE3A13">
        <w:rPr>
          <w:b/>
          <w:bCs/>
        </w:rPr>
        <w:tab/>
        <w:t>Réduction de l'enveloppe pour diverses mesures de soutien aux entreprises</w:t>
      </w:r>
    </w:p>
    <w:p w14:paraId="79D872AF" w14:textId="3EDDB638" w:rsidR="00EB4CCE" w:rsidRPr="00FE3A13" w:rsidRDefault="0072020B" w:rsidP="0072020B">
      <w:r w:rsidRPr="00FE3A13">
        <w:t>La mesure vise une adaptation</w:t>
      </w:r>
      <w:r w:rsidR="00AA2C58" w:rsidRPr="00FE3A13">
        <w:t xml:space="preserve"> de</w:t>
      </w:r>
      <w:r w:rsidRPr="00FE3A13">
        <w:t xml:space="preserve"> l’enveloppe pour des mesures de soutien aux entreprises. Les montants octroyés au budget n’ont pas été nécessaires ces dernières années</w:t>
      </w:r>
      <w:r w:rsidR="000C5528" w:rsidRPr="00FE3A13">
        <w:t>. D</w:t>
      </w:r>
      <w:r w:rsidRPr="00FE3A13">
        <w:t>es reports de crédits ont eu lieu. La pratique est donc adaptée aux besoins réels.</w:t>
      </w:r>
    </w:p>
    <w:tbl>
      <w:tblPr>
        <w:tblStyle w:val="TableauEtatFR"/>
        <w:tblW w:w="5000" w:type="pct"/>
        <w:tblLook w:val="04E0" w:firstRow="1" w:lastRow="1" w:firstColumn="1" w:lastColumn="0" w:noHBand="0" w:noVBand="1"/>
      </w:tblPr>
      <w:tblGrid>
        <w:gridCol w:w="3312"/>
        <w:gridCol w:w="1653"/>
        <w:gridCol w:w="1653"/>
        <w:gridCol w:w="1653"/>
        <w:gridCol w:w="1649"/>
      </w:tblGrid>
      <w:tr w:rsidR="0072020B" w:rsidRPr="00FE3A13" w14:paraId="37A93DD5" w14:textId="77777777" w:rsidTr="00C360E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64B94EF8" w14:textId="77777777" w:rsidR="0072020B" w:rsidRPr="00FE3A13" w:rsidRDefault="0072020B" w:rsidP="00C270FC">
            <w:pPr>
              <w:pStyle w:val="NIVtableau"/>
              <w:rPr>
                <w:color w:val="auto"/>
                <w:sz w:val="21"/>
                <w:lang w:val="fr-FR"/>
              </w:rPr>
            </w:pPr>
            <w:r w:rsidRPr="00FE3A13">
              <w:rPr>
                <w:lang w:val="fr-FR"/>
              </w:rPr>
              <w:t>Incidences financières en francs</w:t>
            </w:r>
          </w:p>
        </w:tc>
        <w:tc>
          <w:tcPr>
            <w:tcW w:w="833" w:type="pct"/>
          </w:tcPr>
          <w:p w14:paraId="34175E6E" w14:textId="77777777" w:rsidR="0072020B" w:rsidRPr="00FE3A13" w:rsidRDefault="0072020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7F8E6FBC" w14:textId="77777777" w:rsidR="0072020B" w:rsidRPr="00FE3A13" w:rsidRDefault="0072020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6616DF8" w14:textId="77777777" w:rsidR="0072020B" w:rsidRPr="00FE3A13" w:rsidRDefault="0072020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32C48183" w14:textId="77777777" w:rsidR="0072020B" w:rsidRPr="00FE3A13" w:rsidRDefault="0072020B"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72020B" w:rsidRPr="00FE3A13" w14:paraId="252E3490" w14:textId="77777777" w:rsidTr="00C360E5">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2B5D38A" w14:textId="77777777" w:rsidR="0072020B" w:rsidRPr="00FE3A13" w:rsidRDefault="0072020B" w:rsidP="00C270FC">
            <w:pPr>
              <w:pStyle w:val="NIVtableau"/>
              <w:rPr>
                <w:lang w:val="en-US"/>
              </w:rPr>
            </w:pPr>
            <w:r w:rsidRPr="00FE3A13">
              <w:rPr>
                <w:lang w:val="en-US"/>
              </w:rPr>
              <w:t>Etat</w:t>
            </w:r>
          </w:p>
        </w:tc>
        <w:tc>
          <w:tcPr>
            <w:tcW w:w="833" w:type="pct"/>
          </w:tcPr>
          <w:p w14:paraId="44815A0E" w14:textId="6B16C4E0" w:rsidR="0072020B" w:rsidRPr="00FE3A13" w:rsidRDefault="003E6890"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w:t>
            </w:r>
            <w:r w:rsidR="0072020B" w:rsidRPr="00FE3A13">
              <w:rPr>
                <w:lang w:val="en-US"/>
              </w:rPr>
              <w:t xml:space="preserve"> 000</w:t>
            </w:r>
          </w:p>
        </w:tc>
        <w:tc>
          <w:tcPr>
            <w:tcW w:w="833" w:type="pct"/>
          </w:tcPr>
          <w:p w14:paraId="3168ADEB" w14:textId="78E7F19F" w:rsidR="0072020B" w:rsidRPr="00FE3A13" w:rsidRDefault="003E6890"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17E4DA41" w14:textId="7BFE1E19" w:rsidR="0072020B" w:rsidRPr="00FE3A13" w:rsidRDefault="003E6890"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4195A6D6" w14:textId="4D1F771C" w:rsidR="0072020B" w:rsidRPr="00FE3A13" w:rsidRDefault="003E6890"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r>
      <w:tr w:rsidR="0072020B" w:rsidRPr="00FE3A13" w14:paraId="52B30DDA" w14:textId="77777777" w:rsidTr="00C360E5">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78A34376" w14:textId="77777777" w:rsidR="0072020B" w:rsidRPr="00FE3A13" w:rsidRDefault="0072020B" w:rsidP="00C270FC">
            <w:pPr>
              <w:pStyle w:val="NIVtableau"/>
              <w:rPr>
                <w:b w:val="0"/>
                <w:lang w:val="en-US"/>
              </w:rPr>
            </w:pPr>
            <w:r w:rsidRPr="00FE3A13">
              <w:rPr>
                <w:b w:val="0"/>
                <w:lang w:val="en-US"/>
              </w:rPr>
              <w:t>Communes</w:t>
            </w:r>
          </w:p>
        </w:tc>
        <w:tc>
          <w:tcPr>
            <w:tcW w:w="833" w:type="pct"/>
          </w:tcPr>
          <w:p w14:paraId="2A600D30" w14:textId="0AE94081" w:rsidR="0072020B" w:rsidRPr="00FE3A13" w:rsidRDefault="003E6890"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1E6C613" w14:textId="3E1BEE96" w:rsidR="0072020B" w:rsidRPr="00FE3A13" w:rsidRDefault="003E6890"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D49A65C" w14:textId="28E5BDBE" w:rsidR="0072020B" w:rsidRPr="00FE3A13" w:rsidRDefault="003E6890"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D800100" w14:textId="56F6A294" w:rsidR="0072020B" w:rsidRPr="00FE3A13" w:rsidRDefault="003E6890"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09552A47" w14:textId="5882CE58" w:rsidR="007D58E6" w:rsidRPr="00FE3A13" w:rsidRDefault="007D58E6" w:rsidP="007D58E6">
      <w:pPr>
        <w:pStyle w:val="Listealphabtique"/>
        <w:numPr>
          <w:ilvl w:val="0"/>
          <w:numId w:val="0"/>
        </w:numPr>
        <w:rPr>
          <w:b/>
          <w:bCs/>
        </w:rPr>
      </w:pPr>
      <w:r w:rsidRPr="00FE3A13">
        <w:rPr>
          <w:b/>
          <w:bCs/>
        </w:rPr>
        <w:t>&gt;</w:t>
      </w:r>
      <w:r w:rsidRPr="00FE3A13">
        <w:rPr>
          <w:b/>
          <w:bCs/>
        </w:rPr>
        <w:tab/>
        <w:t>Réduction pour l'entraide à l'étranger</w:t>
      </w:r>
    </w:p>
    <w:p w14:paraId="6EA71F8C" w14:textId="0F705534" w:rsidR="0072020B" w:rsidRPr="00FE3A13" w:rsidRDefault="007D58E6" w:rsidP="007D58E6">
      <w:r w:rsidRPr="00FE3A13">
        <w:t xml:space="preserve">La mesure </w:t>
      </w:r>
      <w:r w:rsidR="000C5528" w:rsidRPr="00FE3A13">
        <w:t>induit</w:t>
      </w:r>
      <w:r w:rsidRPr="00FE3A13">
        <w:t xml:space="preserve"> une diminution de l’entraide à l’étranger. Les objectifs de la législature incluent la volonté d’atteindre, sur la durée, une contribution de l’ordre d’un franc par an et par habitant. La contribution </w:t>
      </w:r>
      <w:r w:rsidR="000C5528" w:rsidRPr="00FE3A13">
        <w:t xml:space="preserve">devrait </w:t>
      </w:r>
      <w:r w:rsidRPr="00FE3A13">
        <w:t>donc</w:t>
      </w:r>
      <w:r w:rsidR="000C5528" w:rsidRPr="00FE3A13">
        <w:t xml:space="preserve"> en principe fluctuer</w:t>
      </w:r>
      <w:r w:rsidRPr="00FE3A13">
        <w:t xml:space="preserve"> en fonction de la population fribourgeoise. </w:t>
      </w:r>
      <w:r w:rsidR="000C5528" w:rsidRPr="00FE3A13">
        <w:t>C</w:t>
      </w:r>
      <w:r w:rsidRPr="00FE3A13">
        <w:t xml:space="preserve">es dernières années, le financement est </w:t>
      </w:r>
      <w:r w:rsidR="000C5528" w:rsidRPr="00FE3A13">
        <w:t xml:space="preserve">toutefois </w:t>
      </w:r>
      <w:r w:rsidRPr="00FE3A13">
        <w:t xml:space="preserve">resté à 320'000 francs, soit en deçà des montants prévus dans le cadre du mandat de prestations. </w:t>
      </w:r>
      <w:r w:rsidR="000C5528" w:rsidRPr="00FE3A13">
        <w:t xml:space="preserve">Il est prévu de continuer à plafonner les </w:t>
      </w:r>
      <w:r w:rsidRPr="00FE3A13">
        <w:t>montants pour l’entraide</w:t>
      </w:r>
      <w:r w:rsidR="000C5528" w:rsidRPr="00FE3A13">
        <w:t xml:space="preserve"> </w:t>
      </w:r>
      <w:r w:rsidRPr="00FE3A13">
        <w:t>à 320'000 francs/an</w:t>
      </w:r>
      <w:r w:rsidR="004A48A2" w:rsidRPr="00FE3A13">
        <w:t xml:space="preserve"> pour les prochaines années.</w:t>
      </w:r>
    </w:p>
    <w:tbl>
      <w:tblPr>
        <w:tblStyle w:val="TableauEtatFR"/>
        <w:tblW w:w="5000" w:type="pct"/>
        <w:tblLook w:val="04E0" w:firstRow="1" w:lastRow="1" w:firstColumn="1" w:lastColumn="0" w:noHBand="0" w:noVBand="1"/>
      </w:tblPr>
      <w:tblGrid>
        <w:gridCol w:w="3312"/>
        <w:gridCol w:w="1653"/>
        <w:gridCol w:w="1653"/>
        <w:gridCol w:w="1653"/>
        <w:gridCol w:w="1649"/>
      </w:tblGrid>
      <w:tr w:rsidR="004A48A2" w:rsidRPr="00FE3A13" w14:paraId="6EB67D12" w14:textId="77777777" w:rsidTr="00C360E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2111345E" w14:textId="77777777" w:rsidR="004A48A2" w:rsidRPr="00FE3A13" w:rsidRDefault="004A48A2" w:rsidP="00C270FC">
            <w:pPr>
              <w:pStyle w:val="NIVtableau"/>
              <w:rPr>
                <w:color w:val="auto"/>
                <w:sz w:val="21"/>
                <w:lang w:val="fr-FR"/>
              </w:rPr>
            </w:pPr>
            <w:r w:rsidRPr="00FE3A13">
              <w:rPr>
                <w:lang w:val="fr-FR"/>
              </w:rPr>
              <w:t>Incidences financières en francs</w:t>
            </w:r>
          </w:p>
        </w:tc>
        <w:tc>
          <w:tcPr>
            <w:tcW w:w="833" w:type="pct"/>
          </w:tcPr>
          <w:p w14:paraId="2C12B173" w14:textId="77777777" w:rsidR="004A48A2" w:rsidRPr="00FE3A13" w:rsidRDefault="004A48A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642E4C96" w14:textId="77777777" w:rsidR="004A48A2" w:rsidRPr="00FE3A13" w:rsidRDefault="004A48A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F3CFF17" w14:textId="77777777" w:rsidR="004A48A2" w:rsidRPr="00FE3A13" w:rsidRDefault="004A48A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42130513" w14:textId="77777777" w:rsidR="004A48A2" w:rsidRPr="00FE3A13" w:rsidRDefault="004A48A2" w:rsidP="00C270FC">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4A48A2" w:rsidRPr="00FE3A13" w14:paraId="5CD32F4B" w14:textId="77777777" w:rsidTr="00C360E5">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9E90D34" w14:textId="77777777" w:rsidR="004A48A2" w:rsidRPr="00FE3A13" w:rsidRDefault="004A48A2" w:rsidP="00C270FC">
            <w:pPr>
              <w:pStyle w:val="NIVtableau"/>
              <w:rPr>
                <w:lang w:val="en-US"/>
              </w:rPr>
            </w:pPr>
            <w:r w:rsidRPr="00FE3A13">
              <w:rPr>
                <w:lang w:val="en-US"/>
              </w:rPr>
              <w:t>Etat</w:t>
            </w:r>
          </w:p>
        </w:tc>
        <w:tc>
          <w:tcPr>
            <w:tcW w:w="833" w:type="pct"/>
          </w:tcPr>
          <w:p w14:paraId="2CAC72DC" w14:textId="56E45F61" w:rsidR="004A48A2" w:rsidRPr="00FE3A13" w:rsidRDefault="00740D6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w:t>
            </w:r>
            <w:r w:rsidR="004A48A2" w:rsidRPr="00FE3A13">
              <w:rPr>
                <w:lang w:val="en-US"/>
              </w:rPr>
              <w:t xml:space="preserve"> 000</w:t>
            </w:r>
          </w:p>
        </w:tc>
        <w:tc>
          <w:tcPr>
            <w:tcW w:w="833" w:type="pct"/>
          </w:tcPr>
          <w:p w14:paraId="6EBF3C22" w14:textId="6B67C052" w:rsidR="004A48A2" w:rsidRPr="00FE3A13" w:rsidRDefault="00740D6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15 000</w:t>
            </w:r>
          </w:p>
        </w:tc>
        <w:tc>
          <w:tcPr>
            <w:tcW w:w="833" w:type="pct"/>
          </w:tcPr>
          <w:p w14:paraId="3972D8DE" w14:textId="3EF72997" w:rsidR="004A48A2" w:rsidRPr="00FE3A13" w:rsidRDefault="00740D6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15 000</w:t>
            </w:r>
          </w:p>
        </w:tc>
        <w:tc>
          <w:tcPr>
            <w:tcW w:w="833" w:type="pct"/>
          </w:tcPr>
          <w:p w14:paraId="05F68183" w14:textId="4A3AEBB2" w:rsidR="004A48A2" w:rsidRPr="00FE3A13" w:rsidRDefault="00740D66" w:rsidP="00C270FC">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45 000</w:t>
            </w:r>
          </w:p>
        </w:tc>
      </w:tr>
      <w:tr w:rsidR="004A48A2" w:rsidRPr="00FE3A13" w14:paraId="19F5F632" w14:textId="77777777" w:rsidTr="00C360E5">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2CCA2CA2" w14:textId="77777777" w:rsidR="004A48A2" w:rsidRPr="00FE3A13" w:rsidRDefault="004A48A2" w:rsidP="00C270FC">
            <w:pPr>
              <w:pStyle w:val="NIVtableau"/>
              <w:rPr>
                <w:b w:val="0"/>
                <w:lang w:val="en-US"/>
              </w:rPr>
            </w:pPr>
            <w:r w:rsidRPr="00FE3A13">
              <w:rPr>
                <w:b w:val="0"/>
                <w:lang w:val="en-US"/>
              </w:rPr>
              <w:t>Communes</w:t>
            </w:r>
          </w:p>
        </w:tc>
        <w:tc>
          <w:tcPr>
            <w:tcW w:w="833" w:type="pct"/>
          </w:tcPr>
          <w:p w14:paraId="631F1B44" w14:textId="77777777" w:rsidR="004A48A2" w:rsidRPr="00FE3A13" w:rsidRDefault="004A48A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B65E66E" w14:textId="77777777" w:rsidR="004A48A2" w:rsidRPr="00FE3A13" w:rsidRDefault="004A48A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F45E4EC" w14:textId="77777777" w:rsidR="004A48A2" w:rsidRPr="00FE3A13" w:rsidRDefault="004A48A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476C1F34" w14:textId="77777777" w:rsidR="004A48A2" w:rsidRPr="00FE3A13" w:rsidRDefault="004A48A2" w:rsidP="00C270FC">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2B42591" w14:textId="4F749A1A" w:rsidR="009877D1" w:rsidRPr="00FE3A13" w:rsidRDefault="009877D1" w:rsidP="009877D1">
      <w:pPr>
        <w:pStyle w:val="Titre3"/>
      </w:pPr>
      <w:bookmarkStart w:id="31" w:name="_Toc195714691"/>
      <w:r w:rsidRPr="00FE3A13">
        <w:t>Projets et réformes</w:t>
      </w:r>
      <w:bookmarkEnd w:id="31"/>
    </w:p>
    <w:p w14:paraId="6AA36B6F" w14:textId="5962C74A" w:rsidR="00B84E83" w:rsidRPr="00FE3A13" w:rsidRDefault="00B84E83" w:rsidP="00B84E83">
      <w:r w:rsidRPr="00FE3A13">
        <w:t>En matière de projets et réformes, les mesures suivantes sont proposées.</w:t>
      </w:r>
    </w:p>
    <w:tbl>
      <w:tblPr>
        <w:tblStyle w:val="TableauEtatFR"/>
        <w:tblW w:w="5000" w:type="pct"/>
        <w:tblLook w:val="04E0" w:firstRow="1" w:lastRow="1" w:firstColumn="1" w:lastColumn="0" w:noHBand="0" w:noVBand="1"/>
      </w:tblPr>
      <w:tblGrid>
        <w:gridCol w:w="9920"/>
      </w:tblGrid>
      <w:tr w:rsidR="00EC7716" w:rsidRPr="00FE3A13" w14:paraId="182AA011" w14:textId="77777777" w:rsidTr="00BF09D3">
        <w:trPr>
          <w:cnfStyle w:val="100000000000" w:firstRow="1" w:lastRow="0" w:firstColumn="0" w:lastColumn="0" w:oddVBand="0" w:evenVBand="0" w:oddHBand="0" w:evenHBand="0" w:firstRowFirstColumn="0" w:firstRowLastColumn="0" w:lastRowFirstColumn="0" w:lastRowLastColumn="0"/>
          <w:trHeight w:val="340"/>
          <w:tblHeader w:val="0"/>
        </w:trPr>
        <w:tc>
          <w:tcPr>
            <w:cnfStyle w:val="001000000000" w:firstRow="0" w:lastRow="0" w:firstColumn="1" w:lastColumn="0" w:oddVBand="0" w:evenVBand="0" w:oddHBand="0" w:evenHBand="0" w:firstRowFirstColumn="0" w:firstRowLastColumn="0" w:lastRowFirstColumn="0" w:lastRowLastColumn="0"/>
            <w:tcW w:w="5000" w:type="pct"/>
          </w:tcPr>
          <w:p w14:paraId="44B61403" w14:textId="23B7CBF6" w:rsidR="00EC7716" w:rsidRPr="00FE3A13" w:rsidRDefault="00CB35B5" w:rsidP="00A96E0A">
            <w:pPr>
              <w:pStyle w:val="NIVtableau"/>
              <w:rPr>
                <w:b w:val="0"/>
                <w:color w:val="auto"/>
                <w:sz w:val="21"/>
                <w:lang w:val="fr-FR"/>
              </w:rPr>
            </w:pPr>
            <w:r w:rsidRPr="00FE3A13">
              <w:rPr>
                <w:lang w:val="fr-FR"/>
              </w:rPr>
              <w:t>Liste des</w:t>
            </w:r>
            <w:r w:rsidR="00EC7716" w:rsidRPr="00FE3A13">
              <w:rPr>
                <w:lang w:val="fr-FR"/>
              </w:rPr>
              <w:t xml:space="preserve"> mesures de la compétence du Conseil d’Etat applicables dès 2026 </w:t>
            </w:r>
            <w:r w:rsidRPr="00FE3A13">
              <w:rPr>
                <w:lang w:val="fr-FR"/>
              </w:rPr>
              <w:t xml:space="preserve">ou 2027 </w:t>
            </w:r>
            <w:r w:rsidR="00EC7716" w:rsidRPr="00FE3A13">
              <w:rPr>
                <w:lang w:val="fr-FR"/>
              </w:rPr>
              <w:t xml:space="preserve">en matière de projets et réformes </w:t>
            </w:r>
          </w:p>
        </w:tc>
      </w:tr>
      <w:tr w:rsidR="00EC7716" w:rsidRPr="00FE3A13" w14:paraId="1B0E538B" w14:textId="77777777" w:rsidTr="00BF09D3">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tcPr>
          <w:p w14:paraId="469D4935" w14:textId="7549E472" w:rsidR="00E16653" w:rsidRPr="00412570" w:rsidRDefault="00EC7716" w:rsidP="00B6734E">
            <w:pPr>
              <w:pStyle w:val="NIVtableau"/>
              <w:spacing w:before="100" w:after="100" w:line="280" w:lineRule="atLeast"/>
              <w:rPr>
                <w:b w:val="0"/>
                <w:bCs w:val="0"/>
              </w:rPr>
            </w:pPr>
            <w:r w:rsidRPr="00FE3A13">
              <w:t>b)</w:t>
            </w:r>
            <w:r w:rsidRPr="00FE3A13">
              <w:rPr>
                <w:b w:val="0"/>
                <w:bCs w:val="0"/>
              </w:rPr>
              <w:t xml:space="preserve"> </w:t>
            </w:r>
            <w:r w:rsidRPr="00FE3A13">
              <w:rPr>
                <w:bCs w:val="0"/>
              </w:rPr>
              <w:t>Mesures du PAFE</w:t>
            </w:r>
            <w:r w:rsidRPr="00FE3A13">
              <w:rPr>
                <w:b w:val="0"/>
                <w:bCs w:val="0"/>
              </w:rPr>
              <w:br/>
              <w:t xml:space="preserve">- </w:t>
            </w:r>
            <w:r w:rsidR="00B434A2">
              <w:rPr>
                <w:b w:val="0"/>
                <w:bCs w:val="0"/>
                <w:color w:val="auto"/>
              </w:rPr>
              <w:t>Réduction des moyens de communication du Conseil d’Etat</w:t>
            </w:r>
            <w:r w:rsidRPr="00FE3A13">
              <w:rPr>
                <w:color w:val="auto"/>
              </w:rPr>
              <w:br/>
            </w:r>
            <w:r w:rsidRPr="00FE3A13">
              <w:rPr>
                <w:b w:val="0"/>
                <w:bCs w:val="0"/>
                <w:color w:val="auto"/>
              </w:rPr>
              <w:t xml:space="preserve">- </w:t>
            </w:r>
            <w:r w:rsidR="00BD0997" w:rsidRPr="00FE3A13">
              <w:rPr>
                <w:b w:val="0"/>
                <w:bCs w:val="0"/>
                <w:color w:val="auto"/>
              </w:rPr>
              <w:t>Remplacement des enveloppes de l’Etat et papier recyclé blanc par du papier recyclé moins cher</w:t>
            </w:r>
            <w:r w:rsidRPr="00FE3A13">
              <w:rPr>
                <w:b w:val="0"/>
                <w:bCs w:val="0"/>
                <w:color w:val="auto"/>
              </w:rPr>
              <w:br/>
              <w:t xml:space="preserve">- </w:t>
            </w:r>
            <w:r w:rsidR="00BD0997" w:rsidRPr="00FE3A13">
              <w:rPr>
                <w:b w:val="0"/>
                <w:bCs w:val="0"/>
                <w:color w:val="auto"/>
              </w:rPr>
              <w:t>Reporter la mise en œuvre de "Politique Aide aux médias" dans l’enseignement obligatoire</w:t>
            </w:r>
            <w:r w:rsidRPr="00FE3A13">
              <w:rPr>
                <w:b w:val="0"/>
                <w:bCs w:val="0"/>
                <w:color w:val="auto"/>
              </w:rPr>
              <w:br/>
              <w:t xml:space="preserve">- </w:t>
            </w:r>
            <w:r w:rsidR="00BD0997" w:rsidRPr="00FE3A13">
              <w:rPr>
                <w:b w:val="0"/>
                <w:bCs w:val="0"/>
                <w:color w:val="auto"/>
              </w:rPr>
              <w:t>Report du projet Digifonds</w:t>
            </w:r>
            <w:r w:rsidRPr="00FE3A13">
              <w:rPr>
                <w:b w:val="0"/>
                <w:bCs w:val="0"/>
                <w:color w:val="auto"/>
              </w:rPr>
              <w:br/>
              <w:t xml:space="preserve">- </w:t>
            </w:r>
            <w:r w:rsidR="00BD0997" w:rsidRPr="00FE3A13">
              <w:rPr>
                <w:b w:val="0"/>
                <w:bCs w:val="0"/>
                <w:color w:val="auto"/>
              </w:rPr>
              <w:t>Réduction de l’enveloppe financière pluriannuelle de l’Université</w:t>
            </w:r>
            <w:r w:rsidRPr="00FE3A13">
              <w:rPr>
                <w:b w:val="0"/>
                <w:bCs w:val="0"/>
                <w:color w:val="auto"/>
              </w:rPr>
              <w:br/>
              <w:t xml:space="preserve">- </w:t>
            </w:r>
            <w:r w:rsidR="00BD0997" w:rsidRPr="00FE3A13">
              <w:rPr>
                <w:b w:val="0"/>
                <w:bCs w:val="0"/>
                <w:color w:val="auto"/>
              </w:rPr>
              <w:t>Economie au SPO</w:t>
            </w:r>
            <w:r w:rsidR="00BD0997" w:rsidRPr="00FE3A13">
              <w:rPr>
                <w:b w:val="0"/>
                <w:bCs w:val="0"/>
                <w:color w:val="auto"/>
              </w:rPr>
              <w:br/>
            </w:r>
            <w:r w:rsidR="00BD0997" w:rsidRPr="00FE3A13">
              <w:rPr>
                <w:b w:val="0"/>
                <w:color w:val="auto"/>
              </w:rPr>
              <w:t>- Modification dans la politique des amortissements</w:t>
            </w:r>
            <w:r w:rsidR="00BD0997" w:rsidRPr="00FE3A13">
              <w:rPr>
                <w:b w:val="0"/>
                <w:color w:val="auto"/>
              </w:rPr>
              <w:br/>
              <w:t>- Désassujettissement et ventes de chalets (ventes des actifs non stratégiques)</w:t>
            </w:r>
            <w:r w:rsidR="00BD0997" w:rsidRPr="00FE3A13">
              <w:rPr>
                <w:b w:val="0"/>
                <w:color w:val="auto"/>
              </w:rPr>
              <w:br/>
              <w:t>- Changement dans le fonds d'amélioration foncière</w:t>
            </w:r>
            <w:r w:rsidR="00BD0997" w:rsidRPr="00FE3A13">
              <w:rPr>
                <w:b w:val="0"/>
                <w:color w:val="auto"/>
              </w:rPr>
              <w:br/>
              <w:t>- Renoncement à l'augmentation de moyen dans le plan d'action phyto dès 2027</w:t>
            </w:r>
            <w:r w:rsidR="00BD0997" w:rsidRPr="00FE3A13">
              <w:rPr>
                <w:b w:val="0"/>
                <w:color w:val="auto"/>
              </w:rPr>
              <w:br/>
              <w:t>- Démolition porcherie Grangeneuve</w:t>
            </w:r>
            <w:r w:rsidR="00BD0997" w:rsidRPr="00FE3A13">
              <w:rPr>
                <w:b w:val="0"/>
                <w:color w:val="auto"/>
              </w:rPr>
              <w:br/>
            </w:r>
            <w:r w:rsidR="00BD0997" w:rsidRPr="00FE3A13">
              <w:rPr>
                <w:b w:val="0"/>
                <w:color w:val="auto"/>
              </w:rPr>
              <w:lastRenderedPageBreak/>
              <w:t>- Modification de la pratique de l’OCMS afin d’obtenir des baisses de prix</w:t>
            </w:r>
            <w:r w:rsidR="00BD0997" w:rsidRPr="00FE3A13">
              <w:rPr>
                <w:b w:val="0"/>
                <w:color w:val="auto"/>
              </w:rPr>
              <w:br/>
              <w:t>- Renoncement aux salaires des élèves de l'EMF et à l'Eikon</w:t>
            </w:r>
            <w:r w:rsidR="00BD0997" w:rsidRPr="00FE3A13">
              <w:rPr>
                <w:b w:val="0"/>
              </w:rPr>
              <w:br/>
            </w:r>
            <w:r w:rsidR="00BD0997" w:rsidRPr="00FE3A13">
              <w:rPr>
                <w:b w:val="0"/>
                <w:bCs w:val="0"/>
              </w:rPr>
              <w:t>- Recapitalisation Fondation Seed Capital Fribourg</w:t>
            </w:r>
            <w:r w:rsidR="00BD0997" w:rsidRPr="00FE3A13">
              <w:rPr>
                <w:b w:val="0"/>
                <w:bCs w:val="0"/>
              </w:rPr>
              <w:br/>
              <w:t>- Réduction du réseau routier cantonal</w:t>
            </w:r>
            <w:r w:rsidR="00B6734E">
              <w:rPr>
                <w:b w:val="0"/>
                <w:bCs w:val="0"/>
              </w:rPr>
              <w:br/>
            </w:r>
            <w:r w:rsidR="00E16653">
              <w:t>-</w:t>
            </w:r>
            <w:r w:rsidR="00E97E0E">
              <w:t xml:space="preserve"> </w:t>
            </w:r>
            <w:r w:rsidR="00E16653">
              <w:t>Stratégie agroalimentaire</w:t>
            </w:r>
          </w:p>
        </w:tc>
      </w:tr>
    </w:tbl>
    <w:p w14:paraId="59FAFBB2" w14:textId="396AE303" w:rsidR="004D6DF7" w:rsidRPr="00FE3A13" w:rsidRDefault="0081433C" w:rsidP="00B84E83">
      <w:pPr>
        <w:pStyle w:val="Listealphabtique"/>
        <w:numPr>
          <w:ilvl w:val="0"/>
          <w:numId w:val="36"/>
        </w:numPr>
        <w:ind w:left="426" w:hanging="426"/>
        <w:rPr>
          <w:b/>
          <w:bCs/>
        </w:rPr>
      </w:pPr>
      <w:r w:rsidRPr="00FE3A13">
        <w:rPr>
          <w:b/>
          <w:bCs/>
        </w:rPr>
        <w:lastRenderedPageBreak/>
        <w:t>Mesures du PAFE</w:t>
      </w:r>
    </w:p>
    <w:p w14:paraId="638A3DA7" w14:textId="5720FF35" w:rsidR="0081433C" w:rsidRPr="00FE3A13" w:rsidRDefault="0081433C" w:rsidP="0081433C">
      <w:pPr>
        <w:pStyle w:val="Listealphabtique"/>
        <w:numPr>
          <w:ilvl w:val="0"/>
          <w:numId w:val="0"/>
        </w:numPr>
        <w:rPr>
          <w:b/>
          <w:bCs/>
        </w:rPr>
      </w:pPr>
      <w:r w:rsidRPr="00FE3A13">
        <w:rPr>
          <w:b/>
          <w:bCs/>
        </w:rPr>
        <w:t>&gt;</w:t>
      </w:r>
      <w:r w:rsidRPr="00FE3A13">
        <w:rPr>
          <w:b/>
          <w:bCs/>
        </w:rPr>
        <w:tab/>
      </w:r>
      <w:r w:rsidR="00E415A0">
        <w:rPr>
          <w:b/>
          <w:bCs/>
        </w:rPr>
        <w:t>Réduction des moyens de communication du Conseil d’Etat</w:t>
      </w:r>
    </w:p>
    <w:p w14:paraId="08191710" w14:textId="59240DC5" w:rsidR="0081433C" w:rsidRPr="00FE3A13" w:rsidRDefault="0081433C" w:rsidP="00B84E83">
      <w:pPr>
        <w:pStyle w:val="Corpsdetexte"/>
      </w:pPr>
    </w:p>
    <w:tbl>
      <w:tblPr>
        <w:tblStyle w:val="TableauEtatFR"/>
        <w:tblW w:w="5000" w:type="pct"/>
        <w:tblLook w:val="04E0" w:firstRow="1" w:lastRow="1" w:firstColumn="1" w:lastColumn="0" w:noHBand="0" w:noVBand="1"/>
      </w:tblPr>
      <w:tblGrid>
        <w:gridCol w:w="3312"/>
        <w:gridCol w:w="1653"/>
        <w:gridCol w:w="1653"/>
        <w:gridCol w:w="1653"/>
        <w:gridCol w:w="1649"/>
      </w:tblGrid>
      <w:tr w:rsidR="00A05133" w:rsidRPr="00FE3A13" w14:paraId="77BE827A"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pct"/>
          </w:tcPr>
          <w:p w14:paraId="3346C197" w14:textId="77777777" w:rsidR="00A05133" w:rsidRPr="00FE3A13" w:rsidRDefault="00A05133" w:rsidP="0085295F">
            <w:pPr>
              <w:pStyle w:val="NIVtableau"/>
              <w:rPr>
                <w:color w:val="auto"/>
                <w:sz w:val="21"/>
                <w:lang w:val="fr-FR"/>
              </w:rPr>
            </w:pPr>
            <w:r w:rsidRPr="00FE3A13">
              <w:rPr>
                <w:lang w:val="fr-FR"/>
              </w:rPr>
              <w:t>Incidences financières en francs</w:t>
            </w:r>
          </w:p>
        </w:tc>
        <w:tc>
          <w:tcPr>
            <w:tcW w:w="833" w:type="pct"/>
          </w:tcPr>
          <w:p w14:paraId="3C7D7A8C" w14:textId="77777777" w:rsidR="00A05133" w:rsidRPr="00FE3A13" w:rsidRDefault="00A05133"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34D32BA5" w14:textId="77777777" w:rsidR="00A05133" w:rsidRPr="00FE3A13" w:rsidRDefault="00A05133"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43E2A2A" w14:textId="77777777" w:rsidR="00A05133" w:rsidRPr="00FE3A13" w:rsidRDefault="00A05133"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3" w:type="pct"/>
          </w:tcPr>
          <w:p w14:paraId="7FE46332" w14:textId="77777777" w:rsidR="00A05133" w:rsidRPr="00FE3A13" w:rsidRDefault="00A05133"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A05133" w:rsidRPr="00FE3A13" w14:paraId="393B96A3"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70" w:type="pct"/>
          </w:tcPr>
          <w:p w14:paraId="62A07256" w14:textId="77777777" w:rsidR="00A05133" w:rsidRPr="00FE3A13" w:rsidRDefault="00A05133" w:rsidP="0085295F">
            <w:pPr>
              <w:pStyle w:val="NIVtableau"/>
              <w:rPr>
                <w:lang w:val="en-US"/>
              </w:rPr>
            </w:pPr>
            <w:r w:rsidRPr="00FE3A13">
              <w:rPr>
                <w:lang w:val="en-US"/>
              </w:rPr>
              <w:t>Etat</w:t>
            </w:r>
          </w:p>
        </w:tc>
        <w:tc>
          <w:tcPr>
            <w:tcW w:w="833" w:type="pct"/>
          </w:tcPr>
          <w:p w14:paraId="404F3C5C" w14:textId="39151CA2" w:rsidR="00A05133" w:rsidRPr="00FE3A13" w:rsidRDefault="00A05133"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3ACB7D93" w14:textId="453898C2" w:rsidR="00A05133" w:rsidRPr="00FE3A13" w:rsidRDefault="00A05133"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10 000</w:t>
            </w:r>
          </w:p>
        </w:tc>
        <w:tc>
          <w:tcPr>
            <w:tcW w:w="833" w:type="pct"/>
          </w:tcPr>
          <w:p w14:paraId="2B9D3650" w14:textId="3BCF4B6D" w:rsidR="00A05133" w:rsidRPr="00FE3A13" w:rsidRDefault="00A05133"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10 000</w:t>
            </w:r>
          </w:p>
        </w:tc>
        <w:tc>
          <w:tcPr>
            <w:tcW w:w="833" w:type="pct"/>
          </w:tcPr>
          <w:p w14:paraId="49396099" w14:textId="73F8672F" w:rsidR="00A05133" w:rsidRPr="00FE3A13" w:rsidRDefault="00A05133"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20 000</w:t>
            </w:r>
          </w:p>
        </w:tc>
      </w:tr>
      <w:tr w:rsidR="00A05133" w:rsidRPr="00FE3A13" w14:paraId="13A1FF32"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70" w:type="pct"/>
          </w:tcPr>
          <w:p w14:paraId="3E0EC8E0" w14:textId="77777777" w:rsidR="00A05133" w:rsidRPr="00FE3A13" w:rsidRDefault="00A05133" w:rsidP="0085295F">
            <w:pPr>
              <w:pStyle w:val="NIVtableau"/>
              <w:rPr>
                <w:b w:val="0"/>
                <w:lang w:val="en-US"/>
              </w:rPr>
            </w:pPr>
            <w:r w:rsidRPr="00FE3A13">
              <w:rPr>
                <w:b w:val="0"/>
                <w:lang w:val="en-US"/>
              </w:rPr>
              <w:t>Communes</w:t>
            </w:r>
          </w:p>
        </w:tc>
        <w:tc>
          <w:tcPr>
            <w:tcW w:w="833" w:type="pct"/>
          </w:tcPr>
          <w:p w14:paraId="583D1529" w14:textId="77777777" w:rsidR="00A05133" w:rsidRPr="00FE3A13" w:rsidRDefault="00A05133"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A61B34A" w14:textId="77777777" w:rsidR="00A05133" w:rsidRPr="00FE3A13" w:rsidRDefault="00A05133"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127FF37" w14:textId="77777777" w:rsidR="00A05133" w:rsidRPr="00FE3A13" w:rsidRDefault="00A05133"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676B8F3" w14:textId="77777777" w:rsidR="00A05133" w:rsidRPr="00FE3A13" w:rsidRDefault="00A05133"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78DA41EC" w14:textId="75367E4E" w:rsidR="00A05133" w:rsidRPr="00FE3A13" w:rsidRDefault="00A05133" w:rsidP="00A05133">
      <w:pPr>
        <w:pStyle w:val="Listealphabtique"/>
        <w:numPr>
          <w:ilvl w:val="0"/>
          <w:numId w:val="0"/>
        </w:numPr>
        <w:rPr>
          <w:b/>
          <w:bCs/>
        </w:rPr>
      </w:pPr>
      <w:r w:rsidRPr="00FE3A13">
        <w:rPr>
          <w:b/>
          <w:bCs/>
        </w:rPr>
        <w:t>&gt;</w:t>
      </w:r>
      <w:r w:rsidRPr="00FE3A13">
        <w:rPr>
          <w:b/>
          <w:bCs/>
        </w:rPr>
        <w:tab/>
        <w:t>Remplacement des enveloppes de l’Etat et papier recyclé blanc par du papier recyclé moins cher</w:t>
      </w:r>
    </w:p>
    <w:p w14:paraId="640B2463" w14:textId="7178672A" w:rsidR="00A05133" w:rsidRPr="00FE3A13" w:rsidRDefault="00CA1341" w:rsidP="00A05133">
      <w:pPr>
        <w:pStyle w:val="Corpsdetexte"/>
      </w:pPr>
      <w:r w:rsidRPr="00FE3A13">
        <w:t xml:space="preserve">La mesure propose de sélectionner d’autres enveloppes et papiers qu’actuellement. </w:t>
      </w:r>
      <w:r w:rsidR="00A05133" w:rsidRPr="00FE3A13">
        <w:t>L’Etat de Fribourg remplacera ses enveloppes (Proclima, 100% recyclé) par des enveloppes en papier recyclé gris. Le papier 100% recyclé (Refutura) sera aussi remplacé par un papier blanc TCF. Ces changements concernent toutes les unités de l’Etat soumises à l’identité visuelle. Ces nouveaux modèles sont moins onéreux.</w:t>
      </w:r>
    </w:p>
    <w:tbl>
      <w:tblPr>
        <w:tblStyle w:val="TableauEtatFR"/>
        <w:tblW w:w="5000" w:type="pct"/>
        <w:tblLook w:val="04E0" w:firstRow="1" w:lastRow="1" w:firstColumn="1" w:lastColumn="0" w:noHBand="0" w:noVBand="1"/>
      </w:tblPr>
      <w:tblGrid>
        <w:gridCol w:w="3312"/>
        <w:gridCol w:w="1653"/>
        <w:gridCol w:w="1653"/>
        <w:gridCol w:w="1653"/>
        <w:gridCol w:w="1649"/>
      </w:tblGrid>
      <w:tr w:rsidR="004F1A2B" w:rsidRPr="00FE3A13" w14:paraId="7E22C6F0" w14:textId="77777777" w:rsidTr="0090077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3CE3086" w14:textId="77777777" w:rsidR="004F1A2B" w:rsidRPr="00FE3A13" w:rsidRDefault="004F1A2B" w:rsidP="0085295F">
            <w:pPr>
              <w:pStyle w:val="NIVtableau"/>
              <w:rPr>
                <w:color w:val="auto"/>
                <w:sz w:val="21"/>
                <w:lang w:val="fr-FR"/>
              </w:rPr>
            </w:pPr>
            <w:r w:rsidRPr="00FE3A13">
              <w:rPr>
                <w:lang w:val="fr-FR"/>
              </w:rPr>
              <w:t>Incidences financières en francs</w:t>
            </w:r>
          </w:p>
        </w:tc>
        <w:tc>
          <w:tcPr>
            <w:tcW w:w="833" w:type="pct"/>
          </w:tcPr>
          <w:p w14:paraId="582854B4"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E4656EF"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0B81C4A0"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C60F1A4"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4F1A2B" w:rsidRPr="00FE3A13" w14:paraId="003C99F5" w14:textId="77777777" w:rsidTr="0090077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1736E565" w14:textId="77777777" w:rsidR="004F1A2B" w:rsidRPr="00FE3A13" w:rsidRDefault="004F1A2B" w:rsidP="0085295F">
            <w:pPr>
              <w:pStyle w:val="NIVtableau"/>
              <w:rPr>
                <w:lang w:val="en-US"/>
              </w:rPr>
            </w:pPr>
            <w:r w:rsidRPr="00FE3A13">
              <w:rPr>
                <w:lang w:val="en-US"/>
              </w:rPr>
              <w:t>Etat</w:t>
            </w:r>
          </w:p>
        </w:tc>
        <w:tc>
          <w:tcPr>
            <w:tcW w:w="833" w:type="pct"/>
          </w:tcPr>
          <w:p w14:paraId="300AFF14" w14:textId="2525D0A3" w:rsidR="004F1A2B" w:rsidRPr="00FE3A13" w:rsidRDefault="004F1A2B"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75 000</w:t>
            </w:r>
          </w:p>
        </w:tc>
        <w:tc>
          <w:tcPr>
            <w:tcW w:w="833" w:type="pct"/>
          </w:tcPr>
          <w:p w14:paraId="30E85C43" w14:textId="013B1B63" w:rsidR="004F1A2B" w:rsidRPr="00FE3A13" w:rsidRDefault="004F1A2B"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75 000</w:t>
            </w:r>
          </w:p>
        </w:tc>
        <w:tc>
          <w:tcPr>
            <w:tcW w:w="833" w:type="pct"/>
          </w:tcPr>
          <w:p w14:paraId="5D284071" w14:textId="14E25CCF" w:rsidR="004F1A2B" w:rsidRPr="00FE3A13" w:rsidRDefault="004F1A2B"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75 000</w:t>
            </w:r>
          </w:p>
        </w:tc>
        <w:tc>
          <w:tcPr>
            <w:tcW w:w="831" w:type="pct"/>
          </w:tcPr>
          <w:p w14:paraId="6C3D218A" w14:textId="7136F233" w:rsidR="004F1A2B" w:rsidRPr="00FE3A13" w:rsidRDefault="004F1A2B"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225 000</w:t>
            </w:r>
          </w:p>
        </w:tc>
      </w:tr>
      <w:tr w:rsidR="004F1A2B" w:rsidRPr="00FE3A13" w14:paraId="3F77E9A6" w14:textId="77777777" w:rsidTr="0090077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FEAF1FE" w14:textId="77777777" w:rsidR="004F1A2B" w:rsidRPr="00FE3A13" w:rsidRDefault="004F1A2B" w:rsidP="0085295F">
            <w:pPr>
              <w:pStyle w:val="NIVtableau"/>
              <w:rPr>
                <w:b w:val="0"/>
                <w:lang w:val="en-US"/>
              </w:rPr>
            </w:pPr>
            <w:r w:rsidRPr="00FE3A13">
              <w:rPr>
                <w:b w:val="0"/>
                <w:lang w:val="en-US"/>
              </w:rPr>
              <w:t>Communes</w:t>
            </w:r>
          </w:p>
        </w:tc>
        <w:tc>
          <w:tcPr>
            <w:tcW w:w="833" w:type="pct"/>
          </w:tcPr>
          <w:p w14:paraId="63527AA2"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E378D83"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43CD3AC"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0C915BB5"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3BA4104" w14:textId="24BB35BD" w:rsidR="0090077C" w:rsidRPr="00FE3A13" w:rsidRDefault="0090077C" w:rsidP="0090077C">
      <w:pPr>
        <w:pStyle w:val="Listealphabtique"/>
        <w:numPr>
          <w:ilvl w:val="0"/>
          <w:numId w:val="0"/>
        </w:numPr>
        <w:rPr>
          <w:b/>
          <w:bCs/>
        </w:rPr>
      </w:pPr>
      <w:r w:rsidRPr="00FE3A13">
        <w:rPr>
          <w:b/>
          <w:bCs/>
        </w:rPr>
        <w:t>&gt;</w:t>
      </w:r>
      <w:r w:rsidRPr="00FE3A13">
        <w:rPr>
          <w:b/>
          <w:bCs/>
        </w:rPr>
        <w:tab/>
      </w:r>
      <w:r w:rsidR="002624CA" w:rsidRPr="00FE3A13">
        <w:rPr>
          <w:b/>
          <w:bCs/>
        </w:rPr>
        <w:t>Reporter la mise en œuvre de "Politique Aide aux médias"</w:t>
      </w:r>
      <w:r w:rsidR="00CA1341" w:rsidRPr="00FE3A13">
        <w:rPr>
          <w:b/>
          <w:bCs/>
        </w:rPr>
        <w:t xml:space="preserve"> dans l’enseignement </w:t>
      </w:r>
      <w:r w:rsidR="00D139F9" w:rsidRPr="00FE3A13">
        <w:rPr>
          <w:b/>
          <w:bCs/>
        </w:rPr>
        <w:t>obligatoire</w:t>
      </w:r>
    </w:p>
    <w:p w14:paraId="06404EBC" w14:textId="1554AD3D" w:rsidR="004F1A2B" w:rsidRPr="00FE3A13" w:rsidRDefault="002624CA" w:rsidP="002F3E48">
      <w:r w:rsidRPr="00FE3A13">
        <w:t xml:space="preserve">La </w:t>
      </w:r>
      <w:r w:rsidR="00CA1341" w:rsidRPr="00FE3A13">
        <w:t xml:space="preserve">mesure consiste à reporter la </w:t>
      </w:r>
      <w:r w:rsidRPr="00FE3A13">
        <w:t>mise en œuvre de « Politique Aide aux médias » pour la partie liée à l’enseignement obligatoire</w:t>
      </w:r>
      <w:r w:rsidR="00CA1341" w:rsidRPr="00FE3A13">
        <w:t xml:space="preserve">. </w:t>
      </w:r>
      <w:r w:rsidRPr="00FE3A13">
        <w:t>Ce report réduira l’aide à la presse. Toutefois l</w:t>
      </w:r>
      <w:r w:rsidR="002F3E48" w:rsidRPr="00FE3A13">
        <w:t>e Conseil d’Etat</w:t>
      </w:r>
      <w:r w:rsidRPr="00FE3A13">
        <w:t xml:space="preserve"> estime qu’il possède d’autres mesures pour soutenir la presse plus directement.</w:t>
      </w:r>
      <w:r w:rsidR="002F3E48" w:rsidRPr="00FE3A13">
        <w:t xml:space="preserve"> De plus, il s’agit d’un report et non d’une suppression.</w:t>
      </w:r>
    </w:p>
    <w:tbl>
      <w:tblPr>
        <w:tblStyle w:val="TableauEtatFR"/>
        <w:tblW w:w="5000" w:type="pct"/>
        <w:tblLook w:val="04E0" w:firstRow="1" w:lastRow="1" w:firstColumn="1" w:lastColumn="0" w:noHBand="0" w:noVBand="1"/>
      </w:tblPr>
      <w:tblGrid>
        <w:gridCol w:w="3312"/>
        <w:gridCol w:w="1653"/>
        <w:gridCol w:w="1653"/>
        <w:gridCol w:w="1653"/>
        <w:gridCol w:w="1649"/>
      </w:tblGrid>
      <w:tr w:rsidR="002D34D0" w:rsidRPr="00FE3A13" w14:paraId="638ADB46"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55F4ACB" w14:textId="77777777" w:rsidR="002D34D0" w:rsidRPr="00FE3A13" w:rsidRDefault="002D34D0" w:rsidP="0085295F">
            <w:pPr>
              <w:pStyle w:val="NIVtableau"/>
              <w:rPr>
                <w:color w:val="auto"/>
                <w:sz w:val="21"/>
                <w:lang w:val="fr-FR"/>
              </w:rPr>
            </w:pPr>
            <w:r w:rsidRPr="00FE3A13">
              <w:rPr>
                <w:lang w:val="fr-FR"/>
              </w:rPr>
              <w:t>Incidences financières en francs</w:t>
            </w:r>
          </w:p>
        </w:tc>
        <w:tc>
          <w:tcPr>
            <w:tcW w:w="833" w:type="pct"/>
          </w:tcPr>
          <w:p w14:paraId="33C4F8E8" w14:textId="77777777" w:rsidR="002D34D0" w:rsidRPr="00FE3A13" w:rsidRDefault="002D34D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68DA7BC" w14:textId="77777777" w:rsidR="002D34D0" w:rsidRPr="00FE3A13" w:rsidRDefault="002D34D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2368ADC4" w14:textId="77777777" w:rsidR="002D34D0" w:rsidRPr="00FE3A13" w:rsidRDefault="002D34D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1DF0336" w14:textId="77777777" w:rsidR="002D34D0" w:rsidRPr="00FE3A13" w:rsidRDefault="002D34D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D34D0" w:rsidRPr="00FE3A13" w14:paraId="051094D2"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10AF029" w14:textId="77777777" w:rsidR="002D34D0" w:rsidRPr="00FE3A13" w:rsidRDefault="002D34D0" w:rsidP="0085295F">
            <w:pPr>
              <w:pStyle w:val="NIVtableau"/>
              <w:rPr>
                <w:lang w:val="en-US"/>
              </w:rPr>
            </w:pPr>
            <w:r w:rsidRPr="00FE3A13">
              <w:rPr>
                <w:lang w:val="en-US"/>
              </w:rPr>
              <w:t>Etat</w:t>
            </w:r>
          </w:p>
        </w:tc>
        <w:tc>
          <w:tcPr>
            <w:tcW w:w="833" w:type="pct"/>
          </w:tcPr>
          <w:p w14:paraId="7BAC3CAB" w14:textId="5E9A2990" w:rsidR="002D34D0" w:rsidRPr="00FE3A13" w:rsidRDefault="002D34D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64 000</w:t>
            </w:r>
          </w:p>
        </w:tc>
        <w:tc>
          <w:tcPr>
            <w:tcW w:w="833" w:type="pct"/>
          </w:tcPr>
          <w:p w14:paraId="19A05BEB" w14:textId="305FC139" w:rsidR="002D34D0" w:rsidRPr="00FE3A13" w:rsidRDefault="002D34D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64 000</w:t>
            </w:r>
          </w:p>
        </w:tc>
        <w:tc>
          <w:tcPr>
            <w:tcW w:w="833" w:type="pct"/>
          </w:tcPr>
          <w:p w14:paraId="37F2FA26" w14:textId="5B6FCC02" w:rsidR="002D34D0" w:rsidRPr="00FE3A13" w:rsidRDefault="002D34D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64 000</w:t>
            </w:r>
          </w:p>
        </w:tc>
        <w:tc>
          <w:tcPr>
            <w:tcW w:w="831" w:type="pct"/>
          </w:tcPr>
          <w:p w14:paraId="7F734AFC" w14:textId="0A6F286E" w:rsidR="002D34D0" w:rsidRPr="00FE3A13" w:rsidRDefault="002D34D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192 000</w:t>
            </w:r>
          </w:p>
        </w:tc>
      </w:tr>
      <w:tr w:rsidR="002D34D0" w:rsidRPr="00FE3A13" w14:paraId="6DF3D7FE"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829E5B9" w14:textId="77777777" w:rsidR="002D34D0" w:rsidRPr="00FE3A13" w:rsidRDefault="002D34D0" w:rsidP="0085295F">
            <w:pPr>
              <w:pStyle w:val="NIVtableau"/>
              <w:rPr>
                <w:b w:val="0"/>
                <w:lang w:val="en-US"/>
              </w:rPr>
            </w:pPr>
            <w:r w:rsidRPr="00FE3A13">
              <w:rPr>
                <w:b w:val="0"/>
                <w:lang w:val="en-US"/>
              </w:rPr>
              <w:t>Communes</w:t>
            </w:r>
          </w:p>
        </w:tc>
        <w:tc>
          <w:tcPr>
            <w:tcW w:w="833" w:type="pct"/>
          </w:tcPr>
          <w:p w14:paraId="2A5ED535" w14:textId="77777777" w:rsidR="002D34D0" w:rsidRPr="00FE3A13" w:rsidRDefault="002D34D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326146B" w14:textId="77777777" w:rsidR="002D34D0" w:rsidRPr="00FE3A13" w:rsidRDefault="002D34D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6EA0F42" w14:textId="77777777" w:rsidR="002D34D0" w:rsidRPr="00FE3A13" w:rsidRDefault="002D34D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4C582E45" w14:textId="77777777" w:rsidR="002D34D0" w:rsidRPr="00FE3A13" w:rsidRDefault="002D34D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5EF6BB5D" w14:textId="77777777" w:rsidR="002D34D0" w:rsidRPr="00FE3A13" w:rsidRDefault="002D34D0" w:rsidP="002F3E48"/>
    <w:p w14:paraId="467A4603" w14:textId="23B4F21D" w:rsidR="00A05133" w:rsidRPr="00FE3A13" w:rsidRDefault="00A05133" w:rsidP="00A05133">
      <w:pPr>
        <w:pStyle w:val="Listealphabtique"/>
        <w:numPr>
          <w:ilvl w:val="0"/>
          <w:numId w:val="0"/>
        </w:numPr>
        <w:rPr>
          <w:b/>
          <w:bCs/>
        </w:rPr>
      </w:pPr>
      <w:r w:rsidRPr="00FE3A13">
        <w:rPr>
          <w:b/>
          <w:bCs/>
        </w:rPr>
        <w:t>&gt;</w:t>
      </w:r>
      <w:r w:rsidRPr="00FE3A13">
        <w:rPr>
          <w:b/>
          <w:bCs/>
        </w:rPr>
        <w:tab/>
        <w:t>Report du projet Digifonds</w:t>
      </w:r>
    </w:p>
    <w:p w14:paraId="101BA0E1" w14:textId="0C395D06" w:rsidR="00A05133" w:rsidRPr="00FE3A13" w:rsidRDefault="000752E9" w:rsidP="00A05133">
      <w:pPr>
        <w:pStyle w:val="Corpsdetexte"/>
      </w:pPr>
      <w:r w:rsidRPr="00FE3A13">
        <w:t>La mesure conduit à reporte</w:t>
      </w:r>
      <w:r w:rsidR="009803CD" w:rsidRPr="00FE3A13">
        <w:t>r</w:t>
      </w:r>
      <w:r w:rsidRPr="00FE3A13">
        <w:t xml:space="preserve"> certains projets Digifonds. Il ne s’agit pas d’une suppression du projet</w:t>
      </w:r>
      <w:r w:rsidR="00DD627E">
        <w:t xml:space="preserve"> global</w:t>
      </w:r>
      <w:r w:rsidRPr="00FE3A13">
        <w:t xml:space="preserve"> pour le</w:t>
      </w:r>
      <w:r w:rsidR="00647CFD">
        <w:t>quel</w:t>
      </w:r>
      <w:r w:rsidRPr="00FE3A13">
        <w:t xml:space="preserve"> l’Etat a déjà mis des moyens à disposition mais d’un étalement dans le temps.</w:t>
      </w:r>
      <w:r w:rsidR="009803CD" w:rsidRPr="00FE3A13">
        <w:t xml:space="preserve"> Un allongement du projet est à prévoir mais celui-ci devrait pouvoir atteindre ses objectifs initiaux. </w:t>
      </w:r>
    </w:p>
    <w:tbl>
      <w:tblPr>
        <w:tblStyle w:val="TableauEtatFR"/>
        <w:tblW w:w="5000" w:type="pct"/>
        <w:tblLook w:val="04E0" w:firstRow="1" w:lastRow="1" w:firstColumn="1" w:lastColumn="0" w:noHBand="0" w:noVBand="1"/>
      </w:tblPr>
      <w:tblGrid>
        <w:gridCol w:w="3312"/>
        <w:gridCol w:w="1653"/>
        <w:gridCol w:w="1653"/>
        <w:gridCol w:w="1653"/>
        <w:gridCol w:w="1649"/>
      </w:tblGrid>
      <w:tr w:rsidR="004F1A2B" w:rsidRPr="00FE3A13" w14:paraId="50D713F9" w14:textId="77777777" w:rsidTr="0090077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042797FB" w14:textId="77777777" w:rsidR="004F1A2B" w:rsidRPr="00FE3A13" w:rsidRDefault="004F1A2B" w:rsidP="0085295F">
            <w:pPr>
              <w:pStyle w:val="NIVtableau"/>
              <w:rPr>
                <w:color w:val="auto"/>
                <w:sz w:val="21"/>
                <w:lang w:val="fr-FR"/>
              </w:rPr>
            </w:pPr>
            <w:r w:rsidRPr="00FE3A13">
              <w:rPr>
                <w:lang w:val="fr-FR"/>
              </w:rPr>
              <w:t>Incidences financières en francs</w:t>
            </w:r>
          </w:p>
        </w:tc>
        <w:tc>
          <w:tcPr>
            <w:tcW w:w="833" w:type="pct"/>
          </w:tcPr>
          <w:p w14:paraId="7DFE31A6"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BC3B9B9"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EB8B0F8"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4E69EDDD" w14:textId="77777777" w:rsidR="004F1A2B" w:rsidRPr="00FE3A13" w:rsidRDefault="004F1A2B"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4F1A2B" w:rsidRPr="00FE3A13" w14:paraId="79723A3D" w14:textId="77777777" w:rsidTr="0090077C">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6260561" w14:textId="77777777" w:rsidR="004F1A2B" w:rsidRPr="00FE3A13" w:rsidRDefault="004F1A2B" w:rsidP="0085295F">
            <w:pPr>
              <w:pStyle w:val="NIVtableau"/>
              <w:rPr>
                <w:lang w:val="en-US"/>
              </w:rPr>
            </w:pPr>
            <w:r w:rsidRPr="00FE3A13">
              <w:rPr>
                <w:lang w:val="en-US"/>
              </w:rPr>
              <w:t>Etat</w:t>
            </w:r>
          </w:p>
        </w:tc>
        <w:tc>
          <w:tcPr>
            <w:tcW w:w="833" w:type="pct"/>
          </w:tcPr>
          <w:p w14:paraId="5BA956D8" w14:textId="1724043D" w:rsidR="004F1A2B" w:rsidRPr="00FE3A13" w:rsidRDefault="009B5D8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5 000</w:t>
            </w:r>
          </w:p>
        </w:tc>
        <w:tc>
          <w:tcPr>
            <w:tcW w:w="833" w:type="pct"/>
          </w:tcPr>
          <w:p w14:paraId="0A7578EF" w14:textId="5AA8A08E" w:rsidR="004F1A2B" w:rsidRPr="00FE3A13" w:rsidRDefault="009B5D8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88 000</w:t>
            </w:r>
          </w:p>
        </w:tc>
        <w:tc>
          <w:tcPr>
            <w:tcW w:w="833" w:type="pct"/>
          </w:tcPr>
          <w:p w14:paraId="57AD21D8" w14:textId="3FEFF3DC" w:rsidR="004F1A2B" w:rsidRPr="00FE3A13" w:rsidRDefault="009B5D8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29 000</w:t>
            </w:r>
          </w:p>
        </w:tc>
        <w:tc>
          <w:tcPr>
            <w:tcW w:w="831" w:type="pct"/>
          </w:tcPr>
          <w:p w14:paraId="27F83E14" w14:textId="0BADE893" w:rsidR="004F1A2B" w:rsidRPr="00FE3A13" w:rsidRDefault="009B5D8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122 000</w:t>
            </w:r>
          </w:p>
        </w:tc>
      </w:tr>
      <w:tr w:rsidR="004F1A2B" w:rsidRPr="00FE3A13" w14:paraId="63ABA4A0" w14:textId="77777777" w:rsidTr="0090077C">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E31201C" w14:textId="77777777" w:rsidR="004F1A2B" w:rsidRPr="00FE3A13" w:rsidRDefault="004F1A2B" w:rsidP="0085295F">
            <w:pPr>
              <w:pStyle w:val="NIVtableau"/>
              <w:rPr>
                <w:b w:val="0"/>
                <w:lang w:val="en-US"/>
              </w:rPr>
            </w:pPr>
            <w:r w:rsidRPr="00FE3A13">
              <w:rPr>
                <w:b w:val="0"/>
                <w:lang w:val="en-US"/>
              </w:rPr>
              <w:t>Communes</w:t>
            </w:r>
          </w:p>
        </w:tc>
        <w:tc>
          <w:tcPr>
            <w:tcW w:w="833" w:type="pct"/>
          </w:tcPr>
          <w:p w14:paraId="2DA9A605"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052CB1B"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346BAF9"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2B7FDF70" w14:textId="77777777" w:rsidR="004F1A2B" w:rsidRPr="00FE3A13" w:rsidRDefault="004F1A2B"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7ECB3D5" w14:textId="4F00A1C7" w:rsidR="0090077C" w:rsidRPr="00FE3A13" w:rsidRDefault="0090077C" w:rsidP="0090077C">
      <w:pPr>
        <w:pStyle w:val="Listealphabtique"/>
        <w:numPr>
          <w:ilvl w:val="0"/>
          <w:numId w:val="0"/>
        </w:numPr>
        <w:rPr>
          <w:b/>
          <w:bCs/>
        </w:rPr>
      </w:pPr>
      <w:r w:rsidRPr="00FE3A13">
        <w:rPr>
          <w:b/>
          <w:bCs/>
        </w:rPr>
        <w:t>&gt;</w:t>
      </w:r>
      <w:r w:rsidRPr="00FE3A13">
        <w:rPr>
          <w:b/>
          <w:bCs/>
        </w:rPr>
        <w:tab/>
      </w:r>
      <w:r w:rsidR="002F3E48" w:rsidRPr="00FE3A13">
        <w:rPr>
          <w:b/>
          <w:bCs/>
        </w:rPr>
        <w:t>Réduction de l’enveloppe financière pluriannuelle de l’Université</w:t>
      </w:r>
    </w:p>
    <w:p w14:paraId="7B68347C" w14:textId="42A587C3" w:rsidR="00A05133" w:rsidRPr="00FE3A13" w:rsidRDefault="002F3E48" w:rsidP="00D139F9">
      <w:r w:rsidRPr="00FE3A13">
        <w:lastRenderedPageBreak/>
        <w:t xml:space="preserve">La mesure consiste à réduire l’enveloppe de l’Université. Par conséquent, celle-ci devra fournir un effort dans le cadre du programme d’assainissement des finances de l’Etat. </w:t>
      </w:r>
      <w:r w:rsidR="007908B0" w:rsidRPr="00FE3A13">
        <w:t>L’</w:t>
      </w:r>
      <w:r w:rsidR="00D37038" w:rsidRPr="00FE3A13">
        <w:t>U</w:t>
      </w:r>
      <w:r w:rsidR="007908B0" w:rsidRPr="00FE3A13">
        <w:t>niversité disposera de moins de moyen qu’initialement prévu dans le plan financier. En raison de son autonomie, elle décidera elle-même des éléments qui seront impactés par la réduction de l’enveloppe.</w:t>
      </w:r>
    </w:p>
    <w:tbl>
      <w:tblPr>
        <w:tblStyle w:val="TableauEtatFR"/>
        <w:tblW w:w="5000" w:type="pct"/>
        <w:tblLook w:val="04E0" w:firstRow="1" w:lastRow="1" w:firstColumn="1" w:lastColumn="0" w:noHBand="0" w:noVBand="1"/>
      </w:tblPr>
      <w:tblGrid>
        <w:gridCol w:w="3312"/>
        <w:gridCol w:w="1653"/>
        <w:gridCol w:w="1653"/>
        <w:gridCol w:w="1653"/>
        <w:gridCol w:w="1649"/>
      </w:tblGrid>
      <w:tr w:rsidR="007908B0" w:rsidRPr="00FE3A13" w14:paraId="5E6E7DF5"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924F8D1" w14:textId="77777777" w:rsidR="007908B0" w:rsidRPr="00FE3A13" w:rsidRDefault="007908B0" w:rsidP="0085295F">
            <w:pPr>
              <w:pStyle w:val="NIVtableau"/>
              <w:rPr>
                <w:color w:val="auto"/>
                <w:sz w:val="21"/>
                <w:lang w:val="fr-FR"/>
              </w:rPr>
            </w:pPr>
            <w:r w:rsidRPr="00FE3A13">
              <w:rPr>
                <w:lang w:val="fr-FR"/>
              </w:rPr>
              <w:t>Incidences financières en francs</w:t>
            </w:r>
          </w:p>
        </w:tc>
        <w:tc>
          <w:tcPr>
            <w:tcW w:w="833" w:type="pct"/>
          </w:tcPr>
          <w:p w14:paraId="2A6A487D" w14:textId="77777777" w:rsidR="007908B0" w:rsidRPr="00FE3A13" w:rsidRDefault="007908B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A6B9FBA" w14:textId="77777777" w:rsidR="007908B0" w:rsidRPr="00FE3A13" w:rsidRDefault="007908B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DDB84E1" w14:textId="77777777" w:rsidR="007908B0" w:rsidRPr="00FE3A13" w:rsidRDefault="007908B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9856B35" w14:textId="77777777" w:rsidR="007908B0" w:rsidRPr="00FE3A13" w:rsidRDefault="007908B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7908B0" w:rsidRPr="00FE3A13" w14:paraId="1E8F099E"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FE31890" w14:textId="77777777" w:rsidR="007908B0" w:rsidRPr="00FE3A13" w:rsidRDefault="007908B0" w:rsidP="0085295F">
            <w:pPr>
              <w:pStyle w:val="NIVtableau"/>
              <w:rPr>
                <w:lang w:val="en-US"/>
              </w:rPr>
            </w:pPr>
            <w:r w:rsidRPr="00FE3A13">
              <w:rPr>
                <w:lang w:val="en-US"/>
              </w:rPr>
              <w:t>Etat</w:t>
            </w:r>
          </w:p>
        </w:tc>
        <w:tc>
          <w:tcPr>
            <w:tcW w:w="833" w:type="pct"/>
          </w:tcPr>
          <w:p w14:paraId="5632301E" w14:textId="39F296C6" w:rsidR="007908B0" w:rsidRPr="00FE3A13" w:rsidRDefault="007908B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500 000</w:t>
            </w:r>
          </w:p>
        </w:tc>
        <w:tc>
          <w:tcPr>
            <w:tcW w:w="833" w:type="pct"/>
          </w:tcPr>
          <w:p w14:paraId="5E6CC6A3" w14:textId="0F244C73" w:rsidR="007908B0" w:rsidRPr="00FE3A13" w:rsidRDefault="007908B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1 000 000</w:t>
            </w:r>
          </w:p>
        </w:tc>
        <w:tc>
          <w:tcPr>
            <w:tcW w:w="833" w:type="pct"/>
          </w:tcPr>
          <w:p w14:paraId="0E0D4FF5" w14:textId="1CA018F9" w:rsidR="007908B0" w:rsidRPr="00FE3A13" w:rsidRDefault="007908B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1 000 000</w:t>
            </w:r>
          </w:p>
        </w:tc>
        <w:tc>
          <w:tcPr>
            <w:tcW w:w="831" w:type="pct"/>
          </w:tcPr>
          <w:p w14:paraId="2FC11D55" w14:textId="0909EB40" w:rsidR="007908B0" w:rsidRPr="00FE3A13" w:rsidRDefault="007908B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2 500 000</w:t>
            </w:r>
          </w:p>
        </w:tc>
      </w:tr>
      <w:tr w:rsidR="007908B0" w:rsidRPr="00FE3A13" w14:paraId="3DD9D40E"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070ADAA" w14:textId="77777777" w:rsidR="007908B0" w:rsidRPr="00FE3A13" w:rsidRDefault="007908B0" w:rsidP="0085295F">
            <w:pPr>
              <w:pStyle w:val="NIVtableau"/>
              <w:rPr>
                <w:b w:val="0"/>
                <w:lang w:val="en-US"/>
              </w:rPr>
            </w:pPr>
            <w:r w:rsidRPr="00FE3A13">
              <w:rPr>
                <w:b w:val="0"/>
                <w:lang w:val="en-US"/>
              </w:rPr>
              <w:t>Communes</w:t>
            </w:r>
          </w:p>
        </w:tc>
        <w:tc>
          <w:tcPr>
            <w:tcW w:w="833" w:type="pct"/>
          </w:tcPr>
          <w:p w14:paraId="2DC34699" w14:textId="77777777" w:rsidR="007908B0" w:rsidRPr="00FE3A13" w:rsidRDefault="007908B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7782E87" w14:textId="77777777" w:rsidR="007908B0" w:rsidRPr="00FE3A13" w:rsidRDefault="007908B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89DCDCF" w14:textId="77777777" w:rsidR="007908B0" w:rsidRPr="00FE3A13" w:rsidRDefault="007908B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78ED2CBA" w14:textId="77777777" w:rsidR="007908B0" w:rsidRPr="00FE3A13" w:rsidRDefault="007908B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20C492F1" w14:textId="15855DC6" w:rsidR="00D139F9" w:rsidRPr="00FE3A13" w:rsidRDefault="00D139F9" w:rsidP="00D139F9">
      <w:pPr>
        <w:pStyle w:val="Listealphabtique"/>
        <w:numPr>
          <w:ilvl w:val="0"/>
          <w:numId w:val="0"/>
        </w:numPr>
        <w:rPr>
          <w:b/>
          <w:bCs/>
        </w:rPr>
      </w:pPr>
      <w:r w:rsidRPr="00FE3A13">
        <w:rPr>
          <w:b/>
          <w:bCs/>
        </w:rPr>
        <w:t>&gt;</w:t>
      </w:r>
      <w:r w:rsidRPr="00FE3A13">
        <w:rPr>
          <w:b/>
          <w:bCs/>
        </w:rPr>
        <w:tab/>
        <w:t>Economie au SPO</w:t>
      </w:r>
    </w:p>
    <w:p w14:paraId="633AC98F" w14:textId="017C508D" w:rsidR="00D139F9" w:rsidRPr="00FE3A13" w:rsidRDefault="00D139F9" w:rsidP="00D139F9">
      <w:r w:rsidRPr="00FE3A13">
        <w:t>La mesure propose de réduire les dépenses du Service du personnel et d’organisation. Les prestations de tiers seront réduites. Cela concerne notamment la politique RH. Le montant disponible pour les prestations de tiers sera plafonné à 600'000 francs. Cela représente une baisse de 50'000 francs.</w:t>
      </w:r>
    </w:p>
    <w:tbl>
      <w:tblPr>
        <w:tblStyle w:val="TableauEtatFR"/>
        <w:tblW w:w="5000" w:type="pct"/>
        <w:tblLook w:val="04E0" w:firstRow="1" w:lastRow="1" w:firstColumn="1" w:lastColumn="0" w:noHBand="0" w:noVBand="1"/>
      </w:tblPr>
      <w:tblGrid>
        <w:gridCol w:w="3312"/>
        <w:gridCol w:w="1653"/>
        <w:gridCol w:w="1653"/>
        <w:gridCol w:w="1653"/>
        <w:gridCol w:w="1649"/>
      </w:tblGrid>
      <w:tr w:rsidR="00D139F9" w:rsidRPr="00FE3A13" w14:paraId="0F10B3E9"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E54D576" w14:textId="77777777" w:rsidR="00D139F9" w:rsidRPr="00FE3A13" w:rsidRDefault="00D139F9" w:rsidP="0085295F">
            <w:pPr>
              <w:pStyle w:val="NIVtableau"/>
              <w:rPr>
                <w:color w:val="auto"/>
                <w:sz w:val="21"/>
                <w:lang w:val="fr-FR"/>
              </w:rPr>
            </w:pPr>
            <w:r w:rsidRPr="00FE3A13">
              <w:rPr>
                <w:lang w:val="fr-FR"/>
              </w:rPr>
              <w:t>Incidences financières en francs</w:t>
            </w:r>
          </w:p>
        </w:tc>
        <w:tc>
          <w:tcPr>
            <w:tcW w:w="833" w:type="pct"/>
          </w:tcPr>
          <w:p w14:paraId="378DC9B6"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5802DA6"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1640DAD"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666D6D8D"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D139F9" w:rsidRPr="00FE3A13" w14:paraId="1E817F74"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ED2A486" w14:textId="77777777" w:rsidR="00D139F9" w:rsidRPr="00FE3A13" w:rsidRDefault="00D139F9" w:rsidP="0085295F">
            <w:pPr>
              <w:pStyle w:val="NIVtableau"/>
              <w:rPr>
                <w:lang w:val="en-US"/>
              </w:rPr>
            </w:pPr>
            <w:r w:rsidRPr="00FE3A13">
              <w:rPr>
                <w:lang w:val="en-US"/>
              </w:rPr>
              <w:t>Etat</w:t>
            </w:r>
          </w:p>
        </w:tc>
        <w:tc>
          <w:tcPr>
            <w:tcW w:w="833" w:type="pct"/>
          </w:tcPr>
          <w:p w14:paraId="41FE68F8" w14:textId="1022AE63"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3" w:type="pct"/>
          </w:tcPr>
          <w:p w14:paraId="580DC616" w14:textId="4FDC52FF"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3" w:type="pct"/>
          </w:tcPr>
          <w:p w14:paraId="23752B96" w14:textId="19F8F7E3"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50 000</w:t>
            </w:r>
          </w:p>
        </w:tc>
        <w:tc>
          <w:tcPr>
            <w:tcW w:w="831" w:type="pct"/>
          </w:tcPr>
          <w:p w14:paraId="6115DB0E" w14:textId="57AC7858"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150 000</w:t>
            </w:r>
          </w:p>
        </w:tc>
      </w:tr>
      <w:tr w:rsidR="00D139F9" w:rsidRPr="00FE3A13" w14:paraId="5E7D834B"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9035709" w14:textId="77777777" w:rsidR="00D139F9" w:rsidRPr="00FE3A13" w:rsidRDefault="00D139F9" w:rsidP="0085295F">
            <w:pPr>
              <w:pStyle w:val="NIVtableau"/>
              <w:rPr>
                <w:b w:val="0"/>
                <w:lang w:val="en-US"/>
              </w:rPr>
            </w:pPr>
            <w:r w:rsidRPr="00FE3A13">
              <w:rPr>
                <w:b w:val="0"/>
                <w:lang w:val="en-US"/>
              </w:rPr>
              <w:t>Communes</w:t>
            </w:r>
          </w:p>
        </w:tc>
        <w:tc>
          <w:tcPr>
            <w:tcW w:w="833" w:type="pct"/>
          </w:tcPr>
          <w:p w14:paraId="402EE290"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1B69689"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4B9F903"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5D92A980"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124C057" w14:textId="680C8CA0" w:rsidR="00D139F9" w:rsidRPr="00FE3A13" w:rsidRDefault="00D139F9" w:rsidP="00D139F9">
      <w:pPr>
        <w:pStyle w:val="Listealphabtique"/>
        <w:numPr>
          <w:ilvl w:val="0"/>
          <w:numId w:val="0"/>
        </w:numPr>
        <w:rPr>
          <w:b/>
          <w:bCs/>
        </w:rPr>
      </w:pPr>
      <w:r w:rsidRPr="00FE3A13">
        <w:rPr>
          <w:b/>
          <w:bCs/>
        </w:rPr>
        <w:t>&gt;</w:t>
      </w:r>
      <w:r w:rsidRPr="00FE3A13">
        <w:rPr>
          <w:b/>
          <w:bCs/>
        </w:rPr>
        <w:tab/>
        <w:t>Modification dans la politique des amortissements</w:t>
      </w:r>
    </w:p>
    <w:p w14:paraId="0F9CB4FB" w14:textId="3CCF36F2" w:rsidR="00D139F9" w:rsidRPr="00FE3A13" w:rsidRDefault="00D139F9" w:rsidP="00D139F9">
      <w:r w:rsidRPr="00FE3A13">
        <w:t xml:space="preserve">La mesure </w:t>
      </w:r>
      <w:r w:rsidR="009729B7" w:rsidRPr="00FE3A13">
        <w:t>vise</w:t>
      </w:r>
      <w:r w:rsidRPr="00FE3A13">
        <w:t xml:space="preserve"> à adapter la politique des amortissements de l’Etat. Actuellement, l’amortissement d’un objet commence dès le début des dépenses d’investissement, avec un taux fixe sur la valeur résiduelle, et pour une durée maximale de 20 ans.</w:t>
      </w:r>
    </w:p>
    <w:p w14:paraId="260C459D" w14:textId="2C4C05D0" w:rsidR="00D139F9" w:rsidRPr="00FE3A13" w:rsidRDefault="00D139F9" w:rsidP="00D139F9">
      <w:r w:rsidRPr="00FE3A13">
        <w:t xml:space="preserve">Le Conseil d’Etat propose de revoir la politique d’amortissement. Les modifications impliqueront un </w:t>
      </w:r>
      <w:r w:rsidR="009B5D89" w:rsidRPr="00FE3A13">
        <w:t xml:space="preserve">report </w:t>
      </w:r>
      <w:r w:rsidRPr="00FE3A13">
        <w:t xml:space="preserve">du début de l’amortissement, à savoir reporter le début de l’amortissement d’un nouvel investissement du patrimoine administratif à la date de sa mise en fonction, mais au plus tard 4 ans après la décision d’investissement, respectivement le crédit d’engagement. Ces changements ne concerneront que les crédits d’objets, respectivement de réalisation, qui présentent l’essentiel du volume des investissements pour le patrimoine administratif de l’Etat. La limite de 4 ans a pour but de prévoir un début « au plus tard », afin de d’éviter des débuts d’amortissement très éloignés. A relever qu’il n’est pas indispensable que le décompte final – obtenu souvent tardivement – ne soit disponible, avant que l’amortissement ne débute. Ces modifications peuvent se faire sans changer la loi sur les finances de l’Etat. </w:t>
      </w:r>
      <w:r w:rsidR="00B613E8" w:rsidRPr="00FE3A13">
        <w:t xml:space="preserve">Les incidences financières dépendent des volumes d’investissement et leur réalisation. </w:t>
      </w:r>
    </w:p>
    <w:tbl>
      <w:tblPr>
        <w:tblStyle w:val="TableauEtatFR"/>
        <w:tblW w:w="5000" w:type="pct"/>
        <w:tblLook w:val="04E0" w:firstRow="1" w:lastRow="1" w:firstColumn="1" w:lastColumn="0" w:noHBand="0" w:noVBand="1"/>
      </w:tblPr>
      <w:tblGrid>
        <w:gridCol w:w="3312"/>
        <w:gridCol w:w="1653"/>
        <w:gridCol w:w="1653"/>
        <w:gridCol w:w="1653"/>
        <w:gridCol w:w="1649"/>
      </w:tblGrid>
      <w:tr w:rsidR="00D139F9" w:rsidRPr="00FE3A13" w14:paraId="2DB477C1"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69C5B29A" w14:textId="77777777" w:rsidR="00D139F9" w:rsidRPr="00FE3A13" w:rsidRDefault="00D139F9" w:rsidP="0085295F">
            <w:pPr>
              <w:pStyle w:val="NIVtableau"/>
              <w:rPr>
                <w:color w:val="auto"/>
                <w:sz w:val="21"/>
                <w:lang w:val="fr-FR"/>
              </w:rPr>
            </w:pPr>
            <w:r w:rsidRPr="00FE3A13">
              <w:rPr>
                <w:lang w:val="fr-FR"/>
              </w:rPr>
              <w:t>Incidences financières en francs</w:t>
            </w:r>
          </w:p>
        </w:tc>
        <w:tc>
          <w:tcPr>
            <w:tcW w:w="833" w:type="pct"/>
          </w:tcPr>
          <w:p w14:paraId="6061B468"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F52DA4B"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88D20EC"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6934E7FB" w14:textId="77777777" w:rsidR="00D139F9" w:rsidRPr="00FE3A13" w:rsidRDefault="00D139F9"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D139F9" w:rsidRPr="00FE3A13" w14:paraId="58073791"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F62EC58" w14:textId="77777777" w:rsidR="00D139F9" w:rsidRPr="00FE3A13" w:rsidRDefault="00D139F9" w:rsidP="0085295F">
            <w:pPr>
              <w:pStyle w:val="NIVtableau"/>
              <w:rPr>
                <w:lang w:val="en-US"/>
              </w:rPr>
            </w:pPr>
            <w:r w:rsidRPr="00FE3A13">
              <w:rPr>
                <w:lang w:val="en-US"/>
              </w:rPr>
              <w:t>Etat</w:t>
            </w:r>
          </w:p>
        </w:tc>
        <w:tc>
          <w:tcPr>
            <w:tcW w:w="833" w:type="pct"/>
          </w:tcPr>
          <w:p w14:paraId="1111E5E1" w14:textId="2E53E595"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3 500 000</w:t>
            </w:r>
          </w:p>
        </w:tc>
        <w:tc>
          <w:tcPr>
            <w:tcW w:w="833" w:type="pct"/>
          </w:tcPr>
          <w:p w14:paraId="76ACB097" w14:textId="75191710"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8 570 000</w:t>
            </w:r>
          </w:p>
        </w:tc>
        <w:tc>
          <w:tcPr>
            <w:tcW w:w="833" w:type="pct"/>
          </w:tcPr>
          <w:p w14:paraId="59FF9879" w14:textId="6F9CD65A" w:rsidR="00D139F9" w:rsidRPr="00FE3A13" w:rsidRDefault="00D139F9"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1 200 000</w:t>
            </w:r>
          </w:p>
        </w:tc>
        <w:tc>
          <w:tcPr>
            <w:tcW w:w="831" w:type="pct"/>
          </w:tcPr>
          <w:p w14:paraId="3D895178" w14:textId="5B17CFE4" w:rsidR="00D139F9" w:rsidRPr="00FE3A13" w:rsidRDefault="00B613E8"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13 27</w:t>
            </w:r>
            <w:r w:rsidR="00D139F9" w:rsidRPr="00FE3A13">
              <w:rPr>
                <w:lang w:val="en-US"/>
              </w:rPr>
              <w:t>0 000</w:t>
            </w:r>
          </w:p>
        </w:tc>
      </w:tr>
      <w:tr w:rsidR="00D139F9" w:rsidRPr="00FE3A13" w14:paraId="6B6CDEB0"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7EBA0C0" w14:textId="77777777" w:rsidR="00D139F9" w:rsidRPr="00FE3A13" w:rsidRDefault="00D139F9" w:rsidP="0085295F">
            <w:pPr>
              <w:pStyle w:val="NIVtableau"/>
              <w:rPr>
                <w:b w:val="0"/>
                <w:lang w:val="en-US"/>
              </w:rPr>
            </w:pPr>
            <w:r w:rsidRPr="00FE3A13">
              <w:rPr>
                <w:b w:val="0"/>
                <w:lang w:val="en-US"/>
              </w:rPr>
              <w:t>Communes</w:t>
            </w:r>
          </w:p>
        </w:tc>
        <w:tc>
          <w:tcPr>
            <w:tcW w:w="833" w:type="pct"/>
          </w:tcPr>
          <w:p w14:paraId="1582AEE2"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17BD25E"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64237D1"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05641456" w14:textId="77777777" w:rsidR="00D139F9" w:rsidRPr="00FE3A13" w:rsidRDefault="00D139F9"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0505973" w14:textId="7F6A7EFA" w:rsidR="00B613E8" w:rsidRPr="00FE3A13" w:rsidRDefault="00B613E8" w:rsidP="00B613E8">
      <w:pPr>
        <w:pStyle w:val="Listealphabtique"/>
        <w:numPr>
          <w:ilvl w:val="0"/>
          <w:numId w:val="0"/>
        </w:numPr>
        <w:rPr>
          <w:b/>
          <w:bCs/>
        </w:rPr>
      </w:pPr>
      <w:r w:rsidRPr="00FE3A13">
        <w:rPr>
          <w:b/>
          <w:bCs/>
        </w:rPr>
        <w:t>&gt;</w:t>
      </w:r>
      <w:r w:rsidRPr="00FE3A13">
        <w:rPr>
          <w:b/>
          <w:bCs/>
        </w:rPr>
        <w:tab/>
        <w:t>Désassujettissement et ventes de chalets (ventes des actifs non stratégiques)</w:t>
      </w:r>
    </w:p>
    <w:p w14:paraId="1C2D28DE" w14:textId="57312D16" w:rsidR="00D139F9" w:rsidRPr="00FE3A13" w:rsidRDefault="00B613E8" w:rsidP="00B613E8">
      <w:pPr>
        <w:pStyle w:val="Corpsdetexte"/>
      </w:pPr>
      <w:r w:rsidRPr="00FE3A13">
        <w:t xml:space="preserve">La mesure conduit à la vente des chalet non stratégiques pour l’Etat de Fribourg. Les chalets propriétés de l’Etat de Fribourg ayant une vocation agricole et ou forestière sont maintenus et conserveront un entretien adapté. La vente diminuera les charges de l’Etat (assurances, entretiens). En cas de ventes certains loyers ne seront plus encaissés. Le prix de vente des chalets n’est pas comptabilisé dans les incidences financières. </w:t>
      </w:r>
    </w:p>
    <w:tbl>
      <w:tblPr>
        <w:tblStyle w:val="TableauEtatFR"/>
        <w:tblW w:w="5000" w:type="pct"/>
        <w:tblLook w:val="04E0" w:firstRow="1" w:lastRow="1" w:firstColumn="1" w:lastColumn="0" w:noHBand="0" w:noVBand="1"/>
      </w:tblPr>
      <w:tblGrid>
        <w:gridCol w:w="3312"/>
        <w:gridCol w:w="1653"/>
        <w:gridCol w:w="1653"/>
        <w:gridCol w:w="1653"/>
        <w:gridCol w:w="1649"/>
      </w:tblGrid>
      <w:tr w:rsidR="00B613E8" w:rsidRPr="00FE3A13" w14:paraId="43A539DF"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8538EC2" w14:textId="77777777" w:rsidR="00B613E8" w:rsidRPr="00FE3A13" w:rsidRDefault="00B613E8" w:rsidP="0085295F">
            <w:pPr>
              <w:pStyle w:val="NIVtableau"/>
              <w:rPr>
                <w:color w:val="auto"/>
                <w:sz w:val="21"/>
                <w:lang w:val="fr-FR"/>
              </w:rPr>
            </w:pPr>
            <w:r w:rsidRPr="00FE3A13">
              <w:rPr>
                <w:lang w:val="fr-FR"/>
              </w:rPr>
              <w:t>Incidences financières en francs</w:t>
            </w:r>
          </w:p>
        </w:tc>
        <w:tc>
          <w:tcPr>
            <w:tcW w:w="833" w:type="pct"/>
          </w:tcPr>
          <w:p w14:paraId="48988803" w14:textId="77777777" w:rsidR="00B613E8" w:rsidRPr="00FE3A13" w:rsidRDefault="00B613E8"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EA6A545" w14:textId="77777777" w:rsidR="00B613E8" w:rsidRPr="00FE3A13" w:rsidRDefault="00B613E8"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7A1F1B29" w14:textId="77777777" w:rsidR="00B613E8" w:rsidRPr="00FE3A13" w:rsidRDefault="00B613E8"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1661DE98" w14:textId="77777777" w:rsidR="00B613E8" w:rsidRPr="00FE3A13" w:rsidRDefault="00B613E8"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B613E8" w:rsidRPr="00FE3A13" w14:paraId="513A0D86"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4A9F2E2" w14:textId="77777777" w:rsidR="00B613E8" w:rsidRPr="00FE3A13" w:rsidRDefault="00B613E8" w:rsidP="0085295F">
            <w:pPr>
              <w:pStyle w:val="NIVtableau"/>
              <w:rPr>
                <w:lang w:val="en-US"/>
              </w:rPr>
            </w:pPr>
            <w:r w:rsidRPr="00FE3A13">
              <w:rPr>
                <w:lang w:val="en-US"/>
              </w:rPr>
              <w:t>Etat</w:t>
            </w:r>
          </w:p>
        </w:tc>
        <w:tc>
          <w:tcPr>
            <w:tcW w:w="833" w:type="pct"/>
          </w:tcPr>
          <w:p w14:paraId="76D79DE4" w14:textId="7BCEAC8C" w:rsidR="00B613E8" w:rsidRPr="00FE3A13" w:rsidRDefault="00CB7A1D"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1</w:t>
            </w:r>
            <w:r w:rsidR="00B613E8" w:rsidRPr="00FE3A13">
              <w:rPr>
                <w:lang w:val="en-US"/>
              </w:rPr>
              <w:t>5 000</w:t>
            </w:r>
          </w:p>
        </w:tc>
        <w:tc>
          <w:tcPr>
            <w:tcW w:w="833" w:type="pct"/>
          </w:tcPr>
          <w:p w14:paraId="48D13335" w14:textId="56543D96" w:rsidR="00B613E8" w:rsidRPr="00FE3A13" w:rsidRDefault="00CB7A1D"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B613E8" w:rsidRPr="00FE3A13">
              <w:rPr>
                <w:lang w:val="en-US"/>
              </w:rPr>
              <w:t>0 000</w:t>
            </w:r>
          </w:p>
        </w:tc>
        <w:tc>
          <w:tcPr>
            <w:tcW w:w="833" w:type="pct"/>
          </w:tcPr>
          <w:p w14:paraId="1CA64A01" w14:textId="2CF9F898" w:rsidR="00B613E8" w:rsidRPr="00FE3A13" w:rsidRDefault="00CB7A1D"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6</w:t>
            </w:r>
            <w:r w:rsidR="00B613E8" w:rsidRPr="00FE3A13">
              <w:rPr>
                <w:lang w:val="en-US"/>
              </w:rPr>
              <w:t>0 000</w:t>
            </w:r>
          </w:p>
        </w:tc>
        <w:tc>
          <w:tcPr>
            <w:tcW w:w="831" w:type="pct"/>
          </w:tcPr>
          <w:p w14:paraId="3271C25C" w14:textId="76D0DCCB" w:rsidR="00B613E8" w:rsidRPr="00FE3A13" w:rsidRDefault="00CB7A1D"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105</w:t>
            </w:r>
            <w:r w:rsidR="00B613E8" w:rsidRPr="00FE3A13">
              <w:rPr>
                <w:lang w:val="en-US"/>
              </w:rPr>
              <w:t xml:space="preserve"> 000</w:t>
            </w:r>
          </w:p>
        </w:tc>
      </w:tr>
      <w:tr w:rsidR="00B613E8" w:rsidRPr="00FE3A13" w14:paraId="730FB35A"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B25C02C" w14:textId="77777777" w:rsidR="00B613E8" w:rsidRPr="00FE3A13" w:rsidRDefault="00B613E8" w:rsidP="0085295F">
            <w:pPr>
              <w:pStyle w:val="NIVtableau"/>
              <w:rPr>
                <w:b w:val="0"/>
                <w:lang w:val="en-US"/>
              </w:rPr>
            </w:pPr>
            <w:r w:rsidRPr="00FE3A13">
              <w:rPr>
                <w:b w:val="0"/>
                <w:lang w:val="en-US"/>
              </w:rPr>
              <w:t>Communes</w:t>
            </w:r>
          </w:p>
        </w:tc>
        <w:tc>
          <w:tcPr>
            <w:tcW w:w="833" w:type="pct"/>
          </w:tcPr>
          <w:p w14:paraId="324A2071" w14:textId="77777777" w:rsidR="00B613E8" w:rsidRPr="00FE3A13" w:rsidRDefault="00B613E8"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60CB5B53" w14:textId="77777777" w:rsidR="00B613E8" w:rsidRPr="00FE3A13" w:rsidRDefault="00B613E8"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47B7BE8" w14:textId="77777777" w:rsidR="00B613E8" w:rsidRPr="00FE3A13" w:rsidRDefault="00B613E8"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404D5DAE" w14:textId="77777777" w:rsidR="00B613E8" w:rsidRPr="00FE3A13" w:rsidRDefault="00B613E8"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343C77A1" w14:textId="49D775C2" w:rsidR="002458D7" w:rsidRPr="00FE3A13" w:rsidRDefault="002458D7" w:rsidP="002458D7">
      <w:pPr>
        <w:pStyle w:val="Listealphabtique"/>
        <w:numPr>
          <w:ilvl w:val="0"/>
          <w:numId w:val="0"/>
        </w:numPr>
        <w:rPr>
          <w:b/>
          <w:bCs/>
        </w:rPr>
      </w:pPr>
      <w:r w:rsidRPr="00FE3A13">
        <w:rPr>
          <w:b/>
          <w:bCs/>
        </w:rPr>
        <w:lastRenderedPageBreak/>
        <w:t>&gt;</w:t>
      </w:r>
      <w:r w:rsidRPr="00FE3A13">
        <w:rPr>
          <w:b/>
          <w:bCs/>
        </w:rPr>
        <w:tab/>
        <w:t>Changement dans le fonds d'amélioration foncière</w:t>
      </w:r>
    </w:p>
    <w:p w14:paraId="66A26389" w14:textId="7C22828A" w:rsidR="00B613E8" w:rsidRPr="00FE3A13" w:rsidRDefault="002458D7" w:rsidP="002458D7">
      <w:r w:rsidRPr="00FE3A13">
        <w:t>La mesure induit un changement dans le fonds d’amélioration foncières. Les affectations au fonds seront réduites pour tenir compte des besoins actuels plus faibles. Les prestations pour les améliorations foncières seront maintenues.</w:t>
      </w:r>
    </w:p>
    <w:tbl>
      <w:tblPr>
        <w:tblStyle w:val="TableauEtatFR"/>
        <w:tblW w:w="5000" w:type="pct"/>
        <w:tblLook w:val="04E0" w:firstRow="1" w:lastRow="1" w:firstColumn="1" w:lastColumn="0" w:noHBand="0" w:noVBand="1"/>
      </w:tblPr>
      <w:tblGrid>
        <w:gridCol w:w="3312"/>
        <w:gridCol w:w="1653"/>
        <w:gridCol w:w="1653"/>
        <w:gridCol w:w="1653"/>
        <w:gridCol w:w="1649"/>
      </w:tblGrid>
      <w:tr w:rsidR="002458D7" w:rsidRPr="00FE3A13" w14:paraId="7F946BEC"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550F94E" w14:textId="77777777" w:rsidR="002458D7" w:rsidRPr="00FE3A13" w:rsidRDefault="002458D7" w:rsidP="0085295F">
            <w:pPr>
              <w:pStyle w:val="NIVtableau"/>
              <w:rPr>
                <w:color w:val="auto"/>
                <w:sz w:val="21"/>
                <w:lang w:val="fr-FR"/>
              </w:rPr>
            </w:pPr>
            <w:r w:rsidRPr="00FE3A13">
              <w:rPr>
                <w:lang w:val="fr-FR"/>
              </w:rPr>
              <w:t>Incidences financières en francs</w:t>
            </w:r>
          </w:p>
        </w:tc>
        <w:tc>
          <w:tcPr>
            <w:tcW w:w="833" w:type="pct"/>
          </w:tcPr>
          <w:p w14:paraId="4E78FA9B" w14:textId="77777777" w:rsidR="002458D7" w:rsidRPr="00FE3A13" w:rsidRDefault="002458D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232DAE9" w14:textId="77777777" w:rsidR="002458D7" w:rsidRPr="00FE3A13" w:rsidRDefault="002458D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4404E4E0" w14:textId="77777777" w:rsidR="002458D7" w:rsidRPr="00FE3A13" w:rsidRDefault="002458D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0ACD431D" w14:textId="77777777" w:rsidR="002458D7" w:rsidRPr="00FE3A13" w:rsidRDefault="002458D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458D7" w:rsidRPr="00FE3A13" w14:paraId="46E49D7E"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BFD4C5E" w14:textId="77777777" w:rsidR="002458D7" w:rsidRPr="00FE3A13" w:rsidRDefault="002458D7" w:rsidP="0085295F">
            <w:pPr>
              <w:pStyle w:val="NIVtableau"/>
              <w:rPr>
                <w:lang w:val="en-US"/>
              </w:rPr>
            </w:pPr>
            <w:r w:rsidRPr="00FE3A13">
              <w:rPr>
                <w:lang w:val="en-US"/>
              </w:rPr>
              <w:t>Etat</w:t>
            </w:r>
          </w:p>
        </w:tc>
        <w:tc>
          <w:tcPr>
            <w:tcW w:w="833" w:type="pct"/>
          </w:tcPr>
          <w:p w14:paraId="3F67BA4B" w14:textId="0F4C6735" w:rsidR="002458D7" w:rsidRPr="00FE3A13" w:rsidRDefault="002458D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192 000</w:t>
            </w:r>
          </w:p>
        </w:tc>
        <w:tc>
          <w:tcPr>
            <w:tcW w:w="833" w:type="pct"/>
          </w:tcPr>
          <w:p w14:paraId="0962AABD" w14:textId="0ADF3C42" w:rsidR="002458D7" w:rsidRPr="00FE3A13" w:rsidRDefault="002458D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241 000</w:t>
            </w:r>
          </w:p>
        </w:tc>
        <w:tc>
          <w:tcPr>
            <w:tcW w:w="833" w:type="pct"/>
          </w:tcPr>
          <w:p w14:paraId="293CBFD2" w14:textId="7AC91D96" w:rsidR="002458D7" w:rsidRPr="00FE3A13" w:rsidRDefault="002458D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295 000</w:t>
            </w:r>
          </w:p>
        </w:tc>
        <w:tc>
          <w:tcPr>
            <w:tcW w:w="831" w:type="pct"/>
          </w:tcPr>
          <w:p w14:paraId="1A97A6BF" w14:textId="1F5568B4" w:rsidR="002458D7" w:rsidRPr="00FE3A13" w:rsidRDefault="002458D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728 000</w:t>
            </w:r>
          </w:p>
        </w:tc>
      </w:tr>
      <w:tr w:rsidR="002458D7" w:rsidRPr="00FE3A13" w14:paraId="670586E0"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B7AB5C7" w14:textId="77777777" w:rsidR="002458D7" w:rsidRPr="00FE3A13" w:rsidRDefault="002458D7" w:rsidP="0085295F">
            <w:pPr>
              <w:pStyle w:val="NIVtableau"/>
              <w:rPr>
                <w:b w:val="0"/>
                <w:lang w:val="en-US"/>
              </w:rPr>
            </w:pPr>
            <w:r w:rsidRPr="00FE3A13">
              <w:rPr>
                <w:b w:val="0"/>
                <w:lang w:val="en-US"/>
              </w:rPr>
              <w:t>Communes</w:t>
            </w:r>
          </w:p>
        </w:tc>
        <w:tc>
          <w:tcPr>
            <w:tcW w:w="833" w:type="pct"/>
          </w:tcPr>
          <w:p w14:paraId="3D9C6650" w14:textId="77777777" w:rsidR="002458D7" w:rsidRPr="00FE3A13" w:rsidRDefault="002458D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40DEECB" w14:textId="77777777" w:rsidR="002458D7" w:rsidRPr="00FE3A13" w:rsidRDefault="002458D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58EB286" w14:textId="77777777" w:rsidR="002458D7" w:rsidRPr="00FE3A13" w:rsidRDefault="002458D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1E636AD1" w14:textId="77777777" w:rsidR="002458D7" w:rsidRPr="00FE3A13" w:rsidRDefault="002458D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16D004B3" w14:textId="7E8BFFD7" w:rsidR="002458D7" w:rsidRPr="00FE3A13" w:rsidRDefault="002458D7" w:rsidP="002458D7">
      <w:r w:rsidRPr="00FE3A13">
        <w:rPr>
          <w:b/>
          <w:bCs/>
        </w:rPr>
        <w:t>&gt;</w:t>
      </w:r>
      <w:r w:rsidRPr="00FE3A13">
        <w:rPr>
          <w:b/>
          <w:bCs/>
        </w:rPr>
        <w:tab/>
        <w:t>Renoncement à l'augmentation de moyen dans le plan d'action phyto dès 2027</w:t>
      </w:r>
    </w:p>
    <w:p w14:paraId="1C3E1717" w14:textId="3D52EC0C" w:rsidR="002458D7" w:rsidRPr="00FE3A13" w:rsidRDefault="002458D7" w:rsidP="002458D7">
      <w:r w:rsidRPr="00FE3A13">
        <w:t>La</w:t>
      </w:r>
      <w:r w:rsidR="00AC53F5" w:rsidRPr="00FE3A13">
        <w:t xml:space="preserve"> mesure consiste à renoncer à l’augmentation des moyens dans le plan d’action phyto dès 2027. La</w:t>
      </w:r>
      <w:r w:rsidRPr="00FE3A13">
        <w:t xml:space="preserve"> DIAF et la DIME avaient initialement proposé une prolongation du plan d’action phyto cantonal au-delà de 2026</w:t>
      </w:r>
      <w:r w:rsidR="00AC53F5" w:rsidRPr="00FE3A13">
        <w:t xml:space="preserve"> mais cela ne sera pas le cas. </w:t>
      </w:r>
    </w:p>
    <w:tbl>
      <w:tblPr>
        <w:tblStyle w:val="TableauEtatFR"/>
        <w:tblW w:w="5000" w:type="pct"/>
        <w:tblLook w:val="04E0" w:firstRow="1" w:lastRow="1" w:firstColumn="1" w:lastColumn="0" w:noHBand="0" w:noVBand="1"/>
      </w:tblPr>
      <w:tblGrid>
        <w:gridCol w:w="3312"/>
        <w:gridCol w:w="1653"/>
        <w:gridCol w:w="1653"/>
        <w:gridCol w:w="1653"/>
        <w:gridCol w:w="1649"/>
      </w:tblGrid>
      <w:tr w:rsidR="00AC53F5" w:rsidRPr="00FE3A13" w14:paraId="2AAA58ED"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EE11129" w14:textId="77777777" w:rsidR="00AC53F5" w:rsidRPr="00FE3A13" w:rsidRDefault="00AC53F5" w:rsidP="0085295F">
            <w:pPr>
              <w:pStyle w:val="NIVtableau"/>
              <w:rPr>
                <w:color w:val="auto"/>
                <w:sz w:val="21"/>
                <w:lang w:val="fr-FR"/>
              </w:rPr>
            </w:pPr>
            <w:r w:rsidRPr="00FE3A13">
              <w:rPr>
                <w:lang w:val="fr-FR"/>
              </w:rPr>
              <w:t>Incidences financières en francs</w:t>
            </w:r>
          </w:p>
        </w:tc>
        <w:tc>
          <w:tcPr>
            <w:tcW w:w="833" w:type="pct"/>
          </w:tcPr>
          <w:p w14:paraId="3B5C1794"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7015FC2"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AC36AE4"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65E8AFBA"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AC53F5" w:rsidRPr="00FE3A13" w14:paraId="5DA0284B"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4223438" w14:textId="77777777" w:rsidR="00AC53F5" w:rsidRPr="00FE3A13" w:rsidRDefault="00AC53F5" w:rsidP="0085295F">
            <w:pPr>
              <w:pStyle w:val="NIVtableau"/>
              <w:rPr>
                <w:lang w:val="en-US"/>
              </w:rPr>
            </w:pPr>
            <w:r w:rsidRPr="00FE3A13">
              <w:rPr>
                <w:lang w:val="en-US"/>
              </w:rPr>
              <w:t>Etat</w:t>
            </w:r>
          </w:p>
        </w:tc>
        <w:tc>
          <w:tcPr>
            <w:tcW w:w="833" w:type="pct"/>
          </w:tcPr>
          <w:p w14:paraId="0F3A240F" w14:textId="0E36F224"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0</w:t>
            </w:r>
          </w:p>
        </w:tc>
        <w:tc>
          <w:tcPr>
            <w:tcW w:w="833" w:type="pct"/>
          </w:tcPr>
          <w:p w14:paraId="44861383" w14:textId="71DDFEFF"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550 000</w:t>
            </w:r>
          </w:p>
        </w:tc>
        <w:tc>
          <w:tcPr>
            <w:tcW w:w="833" w:type="pct"/>
          </w:tcPr>
          <w:p w14:paraId="66A76E0A" w14:textId="1AF7A91B"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550 000</w:t>
            </w:r>
          </w:p>
        </w:tc>
        <w:tc>
          <w:tcPr>
            <w:tcW w:w="831" w:type="pct"/>
          </w:tcPr>
          <w:p w14:paraId="40357396" w14:textId="00C760F4" w:rsidR="00AC53F5" w:rsidRPr="00FE3A13" w:rsidRDefault="005C61F8"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1 100</w:t>
            </w:r>
            <w:r w:rsidR="00AC53F5" w:rsidRPr="00FE3A13">
              <w:rPr>
                <w:lang w:val="en-US"/>
              </w:rPr>
              <w:t xml:space="preserve"> 000</w:t>
            </w:r>
          </w:p>
        </w:tc>
      </w:tr>
      <w:tr w:rsidR="00AC53F5" w:rsidRPr="00FE3A13" w14:paraId="02D99E46"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436A72D" w14:textId="77777777" w:rsidR="00AC53F5" w:rsidRPr="00FE3A13" w:rsidRDefault="00AC53F5" w:rsidP="0085295F">
            <w:pPr>
              <w:pStyle w:val="NIVtableau"/>
              <w:rPr>
                <w:b w:val="0"/>
                <w:lang w:val="en-US"/>
              </w:rPr>
            </w:pPr>
            <w:r w:rsidRPr="00FE3A13">
              <w:rPr>
                <w:b w:val="0"/>
                <w:lang w:val="en-US"/>
              </w:rPr>
              <w:t>Communes</w:t>
            </w:r>
          </w:p>
        </w:tc>
        <w:tc>
          <w:tcPr>
            <w:tcW w:w="833" w:type="pct"/>
          </w:tcPr>
          <w:p w14:paraId="1FB852B3"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7D495F56"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2DB5CEF"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3488E583"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6ED86C7F" w14:textId="04BBA1FA" w:rsidR="00AC53F5" w:rsidRPr="00FE3A13" w:rsidRDefault="00AC53F5" w:rsidP="00AC53F5">
      <w:r w:rsidRPr="00FE3A13">
        <w:rPr>
          <w:b/>
          <w:bCs/>
        </w:rPr>
        <w:t>&gt;</w:t>
      </w:r>
      <w:r w:rsidRPr="00FE3A13">
        <w:rPr>
          <w:b/>
          <w:bCs/>
        </w:rPr>
        <w:tab/>
      </w:r>
      <w:r w:rsidR="00BD0997" w:rsidRPr="00FE3A13">
        <w:rPr>
          <w:b/>
          <w:bCs/>
        </w:rPr>
        <w:t>Démolition</w:t>
      </w:r>
      <w:r w:rsidRPr="00FE3A13">
        <w:rPr>
          <w:b/>
          <w:bCs/>
        </w:rPr>
        <w:t xml:space="preserve"> porcherie Grangeneuve</w:t>
      </w:r>
    </w:p>
    <w:p w14:paraId="0400C902" w14:textId="1E25B12C" w:rsidR="002458D7" w:rsidRPr="00FE3A13" w:rsidRDefault="00AC53F5" w:rsidP="00AC53F5">
      <w:r w:rsidRPr="00FE3A13">
        <w:t>La mesure propose de démolir la porcherie de Grangeneuve. Celle-ci date des années 1970 et a été adaptée au fur et à mesures des évolutions technologiques. Elle respecte les normes de détention animale mais ne peut plus être qualifiée de modèle. La porcherie n'est pas rentable en plus. Les économies de cette mesure sont faibles en raison du coût de démolition prévu en 2026.</w:t>
      </w:r>
      <w:r w:rsidR="00F64BCD">
        <w:t xml:space="preserve"> A relever qu’il est prévu de réaliser une nouvelle porcherie en commun avec Agroscope dans le cadre du renouvellement total des écuries sur le site de Posieux.</w:t>
      </w:r>
    </w:p>
    <w:tbl>
      <w:tblPr>
        <w:tblStyle w:val="TableauEtatFR"/>
        <w:tblW w:w="5000" w:type="pct"/>
        <w:tblLook w:val="04E0" w:firstRow="1" w:lastRow="1" w:firstColumn="1" w:lastColumn="0" w:noHBand="0" w:noVBand="1"/>
      </w:tblPr>
      <w:tblGrid>
        <w:gridCol w:w="3312"/>
        <w:gridCol w:w="1653"/>
        <w:gridCol w:w="1653"/>
        <w:gridCol w:w="1653"/>
        <w:gridCol w:w="1649"/>
      </w:tblGrid>
      <w:tr w:rsidR="00AC53F5" w:rsidRPr="00FE3A13" w14:paraId="28A06BDA"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1EC216DE" w14:textId="77777777" w:rsidR="00AC53F5" w:rsidRPr="00FE3A13" w:rsidRDefault="00AC53F5" w:rsidP="0085295F">
            <w:pPr>
              <w:pStyle w:val="NIVtableau"/>
              <w:rPr>
                <w:color w:val="auto"/>
                <w:sz w:val="21"/>
                <w:lang w:val="fr-FR"/>
              </w:rPr>
            </w:pPr>
            <w:r w:rsidRPr="00FE3A13">
              <w:rPr>
                <w:lang w:val="fr-FR"/>
              </w:rPr>
              <w:t>Incidences financières en francs</w:t>
            </w:r>
          </w:p>
        </w:tc>
        <w:tc>
          <w:tcPr>
            <w:tcW w:w="833" w:type="pct"/>
          </w:tcPr>
          <w:p w14:paraId="16F3F2AE"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27B1C13F"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94F6507"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5E3A0E6" w14:textId="77777777" w:rsidR="00AC53F5" w:rsidRPr="00FE3A13" w:rsidRDefault="00AC53F5"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AC53F5" w:rsidRPr="00FE3A13" w14:paraId="51199FAE"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D564AEF" w14:textId="77777777" w:rsidR="00AC53F5" w:rsidRPr="00FE3A13" w:rsidRDefault="00AC53F5" w:rsidP="0085295F">
            <w:pPr>
              <w:pStyle w:val="NIVtableau"/>
              <w:rPr>
                <w:lang w:val="en-US"/>
              </w:rPr>
            </w:pPr>
            <w:r w:rsidRPr="00FE3A13">
              <w:rPr>
                <w:lang w:val="en-US"/>
              </w:rPr>
              <w:t>Etat</w:t>
            </w:r>
          </w:p>
        </w:tc>
        <w:tc>
          <w:tcPr>
            <w:tcW w:w="833" w:type="pct"/>
          </w:tcPr>
          <w:p w14:paraId="62858A44" w14:textId="5EE90B62"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-200 000</w:t>
            </w:r>
          </w:p>
        </w:tc>
        <w:tc>
          <w:tcPr>
            <w:tcW w:w="833" w:type="pct"/>
          </w:tcPr>
          <w:p w14:paraId="38162B92" w14:textId="3C2E3E4C"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160 000</w:t>
            </w:r>
          </w:p>
        </w:tc>
        <w:tc>
          <w:tcPr>
            <w:tcW w:w="833" w:type="pct"/>
          </w:tcPr>
          <w:p w14:paraId="459243D9" w14:textId="3FB6E705"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160 000</w:t>
            </w:r>
          </w:p>
        </w:tc>
        <w:tc>
          <w:tcPr>
            <w:tcW w:w="831" w:type="pct"/>
          </w:tcPr>
          <w:p w14:paraId="1741C46F" w14:textId="345354BB" w:rsidR="00AC53F5" w:rsidRPr="00FE3A13" w:rsidRDefault="00AC53F5"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120 000</w:t>
            </w:r>
          </w:p>
        </w:tc>
      </w:tr>
      <w:tr w:rsidR="00AC53F5" w:rsidRPr="00FE3A13" w14:paraId="2E743A5E"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F0FA961" w14:textId="77777777" w:rsidR="00AC53F5" w:rsidRPr="00FE3A13" w:rsidRDefault="00AC53F5" w:rsidP="0085295F">
            <w:pPr>
              <w:pStyle w:val="NIVtableau"/>
              <w:rPr>
                <w:b w:val="0"/>
                <w:lang w:val="en-US"/>
              </w:rPr>
            </w:pPr>
            <w:r w:rsidRPr="00FE3A13">
              <w:rPr>
                <w:b w:val="0"/>
                <w:lang w:val="en-US"/>
              </w:rPr>
              <w:t>Communes</w:t>
            </w:r>
          </w:p>
        </w:tc>
        <w:tc>
          <w:tcPr>
            <w:tcW w:w="833" w:type="pct"/>
          </w:tcPr>
          <w:p w14:paraId="76E1DFE7"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52578FD0"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434F1D0"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7E2D6478" w14:textId="77777777" w:rsidR="00AC53F5" w:rsidRPr="00FE3A13" w:rsidRDefault="00AC53F5"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04F4FFAC" w14:textId="733E2B42" w:rsidR="002E2B47" w:rsidRPr="00FE3A13" w:rsidRDefault="002E2B47" w:rsidP="002E2B47">
      <w:r w:rsidRPr="00FE3A13">
        <w:rPr>
          <w:b/>
          <w:bCs/>
        </w:rPr>
        <w:t>&gt;</w:t>
      </w:r>
      <w:r w:rsidRPr="00FE3A13">
        <w:rPr>
          <w:b/>
          <w:bCs/>
        </w:rPr>
        <w:tab/>
        <w:t>Modification de la pratique de l’OCMS afin d’obtenir des baisses de prix</w:t>
      </w:r>
    </w:p>
    <w:p w14:paraId="3DB9DF8E" w14:textId="6A3205A7" w:rsidR="00AC53F5" w:rsidRPr="00FE3A13" w:rsidRDefault="002E2B47" w:rsidP="002E2B47">
      <w:r w:rsidRPr="00FE3A13">
        <w:t>La mesure vise à modifier la pratique de l’office cantonal du matériel scolaire</w:t>
      </w:r>
      <w:r w:rsidR="00CE68D3" w:rsidRPr="00FE3A13">
        <w:t xml:space="preserve"> (OCMS)</w:t>
      </w:r>
      <w:r w:rsidRPr="00FE3A13">
        <w:t xml:space="preserve"> afin d’être plus efficient. Ces changements s’articulent en trois axes. Premièrement, les achats hors </w:t>
      </w:r>
      <w:r w:rsidR="00CE68D3" w:rsidRPr="00FE3A13">
        <w:t>de l’office</w:t>
      </w:r>
      <w:r w:rsidRPr="00FE3A13">
        <w:t xml:space="preserve"> seront réduits à 10% du total des achats pour le</w:t>
      </w:r>
      <w:r w:rsidR="00CE68D3" w:rsidRPr="00FE3A13">
        <w:t>s</w:t>
      </w:r>
      <w:r w:rsidRPr="00FE3A13">
        <w:t xml:space="preserve"> position</w:t>
      </w:r>
      <w:r w:rsidR="00CE68D3" w:rsidRPr="00FE3A13">
        <w:t>s</w:t>
      </w:r>
      <w:r w:rsidRPr="00FE3A13">
        <w:t xml:space="preserve"> « moyens d’enseignement » et « fournitures scolaires ». Deuxièmement l’Etat recevra une participation aux bénéfices de l’OCMS à hauteur de 15% sous forme de note de crédit. Finalement, L’OCMS adoptera une stratégie de l’article unique et AOP visant à réduire la diversité des articles proposés.</w:t>
      </w:r>
    </w:p>
    <w:tbl>
      <w:tblPr>
        <w:tblStyle w:val="TableauEtatFR"/>
        <w:tblW w:w="5000" w:type="pct"/>
        <w:tblLook w:val="04E0" w:firstRow="1" w:lastRow="1" w:firstColumn="1" w:lastColumn="0" w:noHBand="0" w:noVBand="1"/>
      </w:tblPr>
      <w:tblGrid>
        <w:gridCol w:w="3312"/>
        <w:gridCol w:w="1653"/>
        <w:gridCol w:w="1653"/>
        <w:gridCol w:w="1653"/>
        <w:gridCol w:w="1649"/>
      </w:tblGrid>
      <w:tr w:rsidR="002E2B47" w:rsidRPr="00FE3A13" w14:paraId="4A252950"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253317C2" w14:textId="77777777" w:rsidR="002E2B47" w:rsidRPr="00FE3A13" w:rsidRDefault="002E2B47" w:rsidP="0085295F">
            <w:pPr>
              <w:pStyle w:val="NIVtableau"/>
              <w:rPr>
                <w:color w:val="auto"/>
                <w:sz w:val="21"/>
                <w:lang w:val="fr-FR"/>
              </w:rPr>
            </w:pPr>
            <w:r w:rsidRPr="00FE3A13">
              <w:rPr>
                <w:lang w:val="fr-FR"/>
              </w:rPr>
              <w:t>Incidences financières en francs</w:t>
            </w:r>
          </w:p>
        </w:tc>
        <w:tc>
          <w:tcPr>
            <w:tcW w:w="833" w:type="pct"/>
          </w:tcPr>
          <w:p w14:paraId="342326B9" w14:textId="77777777" w:rsidR="002E2B47" w:rsidRPr="00FE3A13" w:rsidRDefault="002E2B4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391585B" w14:textId="77777777" w:rsidR="002E2B47" w:rsidRPr="00FE3A13" w:rsidRDefault="002E2B4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39F76A09" w14:textId="77777777" w:rsidR="002E2B47" w:rsidRPr="00FE3A13" w:rsidRDefault="002E2B4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63AB9FFA" w14:textId="77777777" w:rsidR="002E2B47" w:rsidRPr="00FE3A13" w:rsidRDefault="002E2B4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2E2B47" w:rsidRPr="00FE3A13" w14:paraId="5EA53063"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EAEC6B2" w14:textId="77777777" w:rsidR="002E2B47" w:rsidRPr="00FE3A13" w:rsidRDefault="002E2B47" w:rsidP="0085295F">
            <w:pPr>
              <w:pStyle w:val="NIVtableau"/>
              <w:rPr>
                <w:lang w:val="en-US"/>
              </w:rPr>
            </w:pPr>
            <w:r w:rsidRPr="00FE3A13">
              <w:rPr>
                <w:lang w:val="en-US"/>
              </w:rPr>
              <w:t>Etat</w:t>
            </w:r>
          </w:p>
        </w:tc>
        <w:tc>
          <w:tcPr>
            <w:tcW w:w="833" w:type="pct"/>
          </w:tcPr>
          <w:p w14:paraId="62094BF7" w14:textId="0ED55B3C" w:rsidR="002E2B47" w:rsidRPr="00FE3A13" w:rsidRDefault="002E2B4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66 000</w:t>
            </w:r>
          </w:p>
        </w:tc>
        <w:tc>
          <w:tcPr>
            <w:tcW w:w="833" w:type="pct"/>
          </w:tcPr>
          <w:p w14:paraId="19B43081" w14:textId="20FB712B" w:rsidR="002E2B47" w:rsidRPr="00FE3A13" w:rsidRDefault="002E2B4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96 000</w:t>
            </w:r>
          </w:p>
        </w:tc>
        <w:tc>
          <w:tcPr>
            <w:tcW w:w="833" w:type="pct"/>
          </w:tcPr>
          <w:p w14:paraId="30B57C50" w14:textId="1D7B82CA" w:rsidR="002E2B47" w:rsidRPr="00FE3A13" w:rsidRDefault="002E2B4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96 000</w:t>
            </w:r>
          </w:p>
        </w:tc>
        <w:tc>
          <w:tcPr>
            <w:tcW w:w="831" w:type="pct"/>
          </w:tcPr>
          <w:p w14:paraId="3D6ECC6C" w14:textId="5B179860" w:rsidR="002E2B47" w:rsidRPr="00FE3A13" w:rsidRDefault="002E2B4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258 000</w:t>
            </w:r>
          </w:p>
        </w:tc>
      </w:tr>
      <w:tr w:rsidR="002E2B47" w:rsidRPr="00FE3A13" w14:paraId="56A06ADB"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23E280D" w14:textId="77777777" w:rsidR="002E2B47" w:rsidRPr="00FE3A13" w:rsidRDefault="002E2B47" w:rsidP="0085295F">
            <w:pPr>
              <w:pStyle w:val="NIVtableau"/>
              <w:rPr>
                <w:b w:val="0"/>
                <w:lang w:val="en-US"/>
              </w:rPr>
            </w:pPr>
            <w:r w:rsidRPr="00FE3A13">
              <w:rPr>
                <w:b w:val="0"/>
                <w:lang w:val="en-US"/>
              </w:rPr>
              <w:t>Communes</w:t>
            </w:r>
          </w:p>
        </w:tc>
        <w:tc>
          <w:tcPr>
            <w:tcW w:w="833" w:type="pct"/>
          </w:tcPr>
          <w:p w14:paraId="25932549" w14:textId="77777777" w:rsidR="002E2B47" w:rsidRPr="00FE3A13" w:rsidRDefault="002E2B4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90A1B98" w14:textId="77777777" w:rsidR="002E2B47" w:rsidRPr="00FE3A13" w:rsidRDefault="002E2B4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33D157EF" w14:textId="77777777" w:rsidR="002E2B47" w:rsidRPr="00FE3A13" w:rsidRDefault="002E2B4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01272AC5" w14:textId="77777777" w:rsidR="002E2B47" w:rsidRPr="00FE3A13" w:rsidRDefault="002E2B4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05DF784F" w14:textId="34B37384" w:rsidR="009729B7" w:rsidRPr="00FE3A13" w:rsidRDefault="009729B7" w:rsidP="009729B7">
      <w:r w:rsidRPr="00FE3A13">
        <w:rPr>
          <w:b/>
          <w:bCs/>
        </w:rPr>
        <w:t>&gt;</w:t>
      </w:r>
      <w:r w:rsidRPr="00FE3A13">
        <w:rPr>
          <w:b/>
          <w:bCs/>
        </w:rPr>
        <w:tab/>
        <w:t>Renoncement aux salaires des élèves de l'EMF et à l'Eikon</w:t>
      </w:r>
    </w:p>
    <w:p w14:paraId="47613FDB" w14:textId="1C0FD015" w:rsidR="002E2B47" w:rsidRPr="00FE3A13" w:rsidRDefault="009729B7" w:rsidP="009729B7">
      <w:r w:rsidRPr="00FE3A13">
        <w:t>La mesure suggère de renoncer aux salaires des élèves de l’école de</w:t>
      </w:r>
      <w:r w:rsidR="00AA4AE8" w:rsidRPr="00FE3A13">
        <w:t>s</w:t>
      </w:r>
      <w:r w:rsidRPr="00FE3A13">
        <w:t xml:space="preserve"> métier Fribourg et de l’école professionnelle en arts appliqués du canton de Fribourg. Actuellement les primes d’encouragement dépendent des notes et de l’assiduité dans les études. D’autres primes liées aux stages en entreprises et/ou travaux sur mandats peuvent exister et ne sont pas remises en cause.</w:t>
      </w:r>
    </w:p>
    <w:tbl>
      <w:tblPr>
        <w:tblStyle w:val="TableauEtatFR"/>
        <w:tblW w:w="5000" w:type="pct"/>
        <w:tblLook w:val="04E0" w:firstRow="1" w:lastRow="1" w:firstColumn="1" w:lastColumn="0" w:noHBand="0" w:noVBand="1"/>
      </w:tblPr>
      <w:tblGrid>
        <w:gridCol w:w="3312"/>
        <w:gridCol w:w="1653"/>
        <w:gridCol w:w="1653"/>
        <w:gridCol w:w="1653"/>
        <w:gridCol w:w="1649"/>
      </w:tblGrid>
      <w:tr w:rsidR="009729B7" w:rsidRPr="00FE3A13" w14:paraId="4F8D2D43"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75919264" w14:textId="77777777" w:rsidR="009729B7" w:rsidRPr="00FE3A13" w:rsidRDefault="009729B7" w:rsidP="0085295F">
            <w:pPr>
              <w:pStyle w:val="NIVtableau"/>
              <w:rPr>
                <w:color w:val="auto"/>
                <w:sz w:val="21"/>
                <w:lang w:val="fr-FR"/>
              </w:rPr>
            </w:pPr>
            <w:r w:rsidRPr="00FE3A13">
              <w:rPr>
                <w:lang w:val="fr-FR"/>
              </w:rPr>
              <w:lastRenderedPageBreak/>
              <w:t>Incidences financières en francs</w:t>
            </w:r>
          </w:p>
        </w:tc>
        <w:tc>
          <w:tcPr>
            <w:tcW w:w="833" w:type="pct"/>
          </w:tcPr>
          <w:p w14:paraId="6CA9F48C" w14:textId="77777777" w:rsidR="009729B7" w:rsidRPr="00FE3A13" w:rsidRDefault="009729B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4F178031" w14:textId="77777777" w:rsidR="009729B7" w:rsidRPr="00FE3A13" w:rsidRDefault="009729B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39DAFD7" w14:textId="77777777" w:rsidR="009729B7" w:rsidRPr="00FE3A13" w:rsidRDefault="009729B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636FB55A" w14:textId="77777777" w:rsidR="009729B7" w:rsidRPr="00FE3A13" w:rsidRDefault="009729B7"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9729B7" w:rsidRPr="00FE3A13" w14:paraId="6AB4A19E"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760E4EEF" w14:textId="77777777" w:rsidR="009729B7" w:rsidRPr="00FE3A13" w:rsidRDefault="009729B7" w:rsidP="0085295F">
            <w:pPr>
              <w:pStyle w:val="NIVtableau"/>
              <w:rPr>
                <w:lang w:val="en-US"/>
              </w:rPr>
            </w:pPr>
            <w:r w:rsidRPr="00FE3A13">
              <w:rPr>
                <w:lang w:val="en-US"/>
              </w:rPr>
              <w:t>Etat</w:t>
            </w:r>
          </w:p>
        </w:tc>
        <w:tc>
          <w:tcPr>
            <w:tcW w:w="833" w:type="pct"/>
          </w:tcPr>
          <w:p w14:paraId="1DF720BC" w14:textId="1D7D89B7" w:rsidR="009729B7" w:rsidRPr="00FE3A13" w:rsidRDefault="009729B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297 000</w:t>
            </w:r>
          </w:p>
        </w:tc>
        <w:tc>
          <w:tcPr>
            <w:tcW w:w="833" w:type="pct"/>
          </w:tcPr>
          <w:p w14:paraId="2CAF9428" w14:textId="6B9B1A00" w:rsidR="009729B7" w:rsidRPr="00FE3A13" w:rsidRDefault="009729B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298 500</w:t>
            </w:r>
          </w:p>
        </w:tc>
        <w:tc>
          <w:tcPr>
            <w:tcW w:w="833" w:type="pct"/>
          </w:tcPr>
          <w:p w14:paraId="66D37D6C" w14:textId="27DF8898" w:rsidR="009729B7" w:rsidRPr="00FE3A13" w:rsidRDefault="009729B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300 000</w:t>
            </w:r>
          </w:p>
        </w:tc>
        <w:tc>
          <w:tcPr>
            <w:tcW w:w="831" w:type="pct"/>
          </w:tcPr>
          <w:p w14:paraId="5A7F8F98" w14:textId="0CE674A1" w:rsidR="009729B7" w:rsidRPr="00FE3A13" w:rsidRDefault="009729B7"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895 500</w:t>
            </w:r>
          </w:p>
        </w:tc>
      </w:tr>
      <w:tr w:rsidR="009729B7" w:rsidRPr="00FE3A13" w14:paraId="353889AB"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EA91DB7" w14:textId="77777777" w:rsidR="009729B7" w:rsidRPr="00FE3A13" w:rsidRDefault="009729B7" w:rsidP="0085295F">
            <w:pPr>
              <w:pStyle w:val="NIVtableau"/>
              <w:rPr>
                <w:b w:val="0"/>
                <w:lang w:val="en-US"/>
              </w:rPr>
            </w:pPr>
            <w:r w:rsidRPr="00FE3A13">
              <w:rPr>
                <w:b w:val="0"/>
                <w:lang w:val="en-US"/>
              </w:rPr>
              <w:t>Communes</w:t>
            </w:r>
          </w:p>
        </w:tc>
        <w:tc>
          <w:tcPr>
            <w:tcW w:w="833" w:type="pct"/>
          </w:tcPr>
          <w:p w14:paraId="28E5BDDD" w14:textId="77777777" w:rsidR="009729B7" w:rsidRPr="00FE3A13" w:rsidRDefault="009729B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0B18C99" w14:textId="77777777" w:rsidR="009729B7" w:rsidRPr="00FE3A13" w:rsidRDefault="009729B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66B7DBC" w14:textId="77777777" w:rsidR="009729B7" w:rsidRPr="00FE3A13" w:rsidRDefault="009729B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64C358F5" w14:textId="77777777" w:rsidR="009729B7" w:rsidRPr="00FE3A13" w:rsidRDefault="009729B7"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840DB72" w14:textId="6CF603D8" w:rsidR="00E22220" w:rsidRPr="00FE3A13" w:rsidRDefault="00E22220" w:rsidP="00E22220">
      <w:r w:rsidRPr="00FE3A13">
        <w:rPr>
          <w:b/>
          <w:bCs/>
        </w:rPr>
        <w:t>&gt;</w:t>
      </w:r>
      <w:r w:rsidRPr="00FE3A13">
        <w:rPr>
          <w:b/>
          <w:bCs/>
        </w:rPr>
        <w:tab/>
        <w:t>Recapitalisation Fondation Seed Capital Fribourg</w:t>
      </w:r>
    </w:p>
    <w:p w14:paraId="4DE934BA" w14:textId="155449AD" w:rsidR="009729B7" w:rsidRPr="00FE3A13" w:rsidRDefault="00E22220" w:rsidP="00E22220">
      <w:r w:rsidRPr="00FE3A13">
        <w:t xml:space="preserve">La mesure renonce </w:t>
      </w:r>
      <w:r w:rsidR="0025191C" w:rsidRPr="00FE3A13">
        <w:t>à</w:t>
      </w:r>
      <w:r w:rsidRPr="00FE3A13">
        <w:t xml:space="preserve"> recapitaliser la Fondation Seed Capital Fribourg. Selon les dernières informations, cette opération ne semble pas indispensable pour l’instant. Le Conseil d’Etat évaluera </w:t>
      </w:r>
      <w:r w:rsidR="00AA4AE8" w:rsidRPr="00FE3A13">
        <w:t xml:space="preserve">l’évolution de </w:t>
      </w:r>
      <w:r w:rsidRPr="00FE3A13">
        <w:t xml:space="preserve">la situation. </w:t>
      </w:r>
    </w:p>
    <w:tbl>
      <w:tblPr>
        <w:tblStyle w:val="TableauEtatFR"/>
        <w:tblW w:w="5000" w:type="pct"/>
        <w:tblLook w:val="04E0" w:firstRow="1" w:lastRow="1" w:firstColumn="1" w:lastColumn="0" w:noHBand="0" w:noVBand="1"/>
      </w:tblPr>
      <w:tblGrid>
        <w:gridCol w:w="3312"/>
        <w:gridCol w:w="1653"/>
        <w:gridCol w:w="1653"/>
        <w:gridCol w:w="1653"/>
        <w:gridCol w:w="1649"/>
      </w:tblGrid>
      <w:tr w:rsidR="00E22220" w:rsidRPr="00FE3A13" w14:paraId="27FD22C2"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CEEA171" w14:textId="77777777" w:rsidR="00E22220" w:rsidRPr="00FE3A13" w:rsidRDefault="00E22220" w:rsidP="0085295F">
            <w:pPr>
              <w:pStyle w:val="NIVtableau"/>
              <w:rPr>
                <w:color w:val="auto"/>
                <w:sz w:val="21"/>
                <w:lang w:val="fr-FR"/>
              </w:rPr>
            </w:pPr>
            <w:r w:rsidRPr="00FE3A13">
              <w:rPr>
                <w:lang w:val="fr-FR"/>
              </w:rPr>
              <w:t>Incidences financières en francs</w:t>
            </w:r>
          </w:p>
        </w:tc>
        <w:tc>
          <w:tcPr>
            <w:tcW w:w="833" w:type="pct"/>
          </w:tcPr>
          <w:p w14:paraId="79B45074" w14:textId="77777777" w:rsidR="00E22220" w:rsidRPr="00FE3A13" w:rsidRDefault="00E2222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157F5B45" w14:textId="77777777" w:rsidR="00E22220" w:rsidRPr="00FE3A13" w:rsidRDefault="00E2222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51DD138C" w14:textId="77777777" w:rsidR="00E22220" w:rsidRPr="00FE3A13" w:rsidRDefault="00E2222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943C584" w14:textId="77777777" w:rsidR="00E22220" w:rsidRPr="00FE3A13" w:rsidRDefault="00E22220"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E22220" w:rsidRPr="00FE3A13" w14:paraId="10F04D05"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352B4318" w14:textId="77777777" w:rsidR="00E22220" w:rsidRPr="00FE3A13" w:rsidRDefault="00E22220" w:rsidP="0085295F">
            <w:pPr>
              <w:pStyle w:val="NIVtableau"/>
              <w:rPr>
                <w:lang w:val="en-US"/>
              </w:rPr>
            </w:pPr>
            <w:r w:rsidRPr="00FE3A13">
              <w:rPr>
                <w:lang w:val="en-US"/>
              </w:rPr>
              <w:t>Etat</w:t>
            </w:r>
          </w:p>
        </w:tc>
        <w:tc>
          <w:tcPr>
            <w:tcW w:w="833" w:type="pct"/>
          </w:tcPr>
          <w:p w14:paraId="57B9C8A8" w14:textId="143EC2BE" w:rsidR="00E22220" w:rsidRPr="00FE3A13" w:rsidRDefault="00E2222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3" w:type="pct"/>
          </w:tcPr>
          <w:p w14:paraId="0D53C62D" w14:textId="65856400" w:rsidR="00E22220" w:rsidRPr="00FE3A13" w:rsidRDefault="00E2222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3" w:type="pct"/>
          </w:tcPr>
          <w:p w14:paraId="61E66A76" w14:textId="3E9389AB" w:rsidR="00E22220" w:rsidRPr="00FE3A13" w:rsidRDefault="00E2222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600 000</w:t>
            </w:r>
          </w:p>
        </w:tc>
        <w:tc>
          <w:tcPr>
            <w:tcW w:w="831" w:type="pct"/>
          </w:tcPr>
          <w:p w14:paraId="5F8F20F5" w14:textId="209E5FF3" w:rsidR="00E22220" w:rsidRPr="00FE3A13" w:rsidRDefault="00E22220"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1 800 000</w:t>
            </w:r>
          </w:p>
        </w:tc>
      </w:tr>
      <w:tr w:rsidR="00E22220" w:rsidRPr="00FE3A13" w14:paraId="44F5D79E"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6DC76F83" w14:textId="77777777" w:rsidR="00E22220" w:rsidRPr="00FE3A13" w:rsidRDefault="00E22220" w:rsidP="0085295F">
            <w:pPr>
              <w:pStyle w:val="NIVtableau"/>
              <w:rPr>
                <w:b w:val="0"/>
                <w:lang w:val="en-US"/>
              </w:rPr>
            </w:pPr>
            <w:r w:rsidRPr="00FE3A13">
              <w:rPr>
                <w:b w:val="0"/>
                <w:lang w:val="en-US"/>
              </w:rPr>
              <w:t>Communes</w:t>
            </w:r>
          </w:p>
        </w:tc>
        <w:tc>
          <w:tcPr>
            <w:tcW w:w="833" w:type="pct"/>
          </w:tcPr>
          <w:p w14:paraId="170DE55C" w14:textId="77777777" w:rsidR="00E22220" w:rsidRPr="00FE3A13" w:rsidRDefault="00E2222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0B24BC23" w14:textId="77777777" w:rsidR="00E22220" w:rsidRPr="00FE3A13" w:rsidRDefault="00E2222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3" w:type="pct"/>
          </w:tcPr>
          <w:p w14:paraId="1B5249A8" w14:textId="77777777" w:rsidR="00E22220" w:rsidRPr="00FE3A13" w:rsidRDefault="00E2222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c>
          <w:tcPr>
            <w:tcW w:w="831" w:type="pct"/>
          </w:tcPr>
          <w:p w14:paraId="3EE07BB0" w14:textId="77777777" w:rsidR="00E22220" w:rsidRPr="00FE3A13" w:rsidRDefault="00E22220"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0</w:t>
            </w:r>
          </w:p>
        </w:tc>
      </w:tr>
    </w:tbl>
    <w:p w14:paraId="44B4B73A" w14:textId="7D890210" w:rsidR="00DD31DF" w:rsidRPr="00FE3A13" w:rsidRDefault="00DD31DF" w:rsidP="00DD31DF">
      <w:r w:rsidRPr="00FE3A13">
        <w:rPr>
          <w:b/>
          <w:bCs/>
        </w:rPr>
        <w:t>&gt;</w:t>
      </w:r>
      <w:r w:rsidRPr="00FE3A13">
        <w:rPr>
          <w:b/>
          <w:bCs/>
        </w:rPr>
        <w:tab/>
        <w:t>Réduction du réseau routier cantonal</w:t>
      </w:r>
    </w:p>
    <w:p w14:paraId="2CFA4534" w14:textId="6D467C74" w:rsidR="00E22220" w:rsidRPr="00FE3A13" w:rsidRDefault="00DD31DF" w:rsidP="00DD31DF">
      <w:r w:rsidRPr="00FE3A13">
        <w:t xml:space="preserve">La mesure induit une réduction du réseau routier cantonal. Selon le projet de loi sur la mobilité du Conseil d’Etat d’août 2021, 650 km de routes </w:t>
      </w:r>
      <w:r w:rsidR="0025191C" w:rsidRPr="00FE3A13">
        <w:t xml:space="preserve">cantonales </w:t>
      </w:r>
      <w:r w:rsidRPr="00FE3A13">
        <w:t xml:space="preserve">étaient </w:t>
      </w:r>
      <w:r w:rsidR="0025191C" w:rsidRPr="00FE3A13">
        <w:t xml:space="preserve">prévus </w:t>
      </w:r>
      <w:r w:rsidRPr="00FE3A13">
        <w:t>au lieu des 683 km votés par le Grand Conseil le 5 novembre 2021. Le réseau routier cantonal est du ressort du Conseil d’Etat. C’est pourquoi il va revenir à la variante qu’il avait initialement soutenue.</w:t>
      </w:r>
    </w:p>
    <w:tbl>
      <w:tblPr>
        <w:tblStyle w:val="TableauEtatFR"/>
        <w:tblW w:w="5000" w:type="pct"/>
        <w:tblLook w:val="04E0" w:firstRow="1" w:lastRow="1" w:firstColumn="1" w:lastColumn="0" w:noHBand="0" w:noVBand="1"/>
      </w:tblPr>
      <w:tblGrid>
        <w:gridCol w:w="3312"/>
        <w:gridCol w:w="1653"/>
        <w:gridCol w:w="1653"/>
        <w:gridCol w:w="1653"/>
        <w:gridCol w:w="1649"/>
      </w:tblGrid>
      <w:tr w:rsidR="00DD31DF" w:rsidRPr="00FE3A13" w14:paraId="66FE3912" w14:textId="77777777" w:rsidTr="0085295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8147091" w14:textId="77777777" w:rsidR="00DD31DF" w:rsidRPr="00FE3A13" w:rsidRDefault="00DD31DF" w:rsidP="0085295F">
            <w:pPr>
              <w:pStyle w:val="NIVtableau"/>
              <w:rPr>
                <w:color w:val="auto"/>
                <w:sz w:val="21"/>
                <w:lang w:val="fr-FR"/>
              </w:rPr>
            </w:pPr>
            <w:r w:rsidRPr="00FE3A13">
              <w:rPr>
                <w:lang w:val="fr-FR"/>
              </w:rPr>
              <w:t>Incidences financières en francs</w:t>
            </w:r>
          </w:p>
        </w:tc>
        <w:tc>
          <w:tcPr>
            <w:tcW w:w="833" w:type="pct"/>
          </w:tcPr>
          <w:p w14:paraId="532F3395" w14:textId="77777777" w:rsidR="00DD31DF" w:rsidRPr="00FE3A13" w:rsidRDefault="00DD31DF"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4DAAADA" w14:textId="77777777" w:rsidR="00DD31DF" w:rsidRPr="00FE3A13" w:rsidRDefault="00DD31DF"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63D95139" w14:textId="77777777" w:rsidR="00DD31DF" w:rsidRPr="00FE3A13" w:rsidRDefault="00DD31DF"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230DE45B" w14:textId="77777777" w:rsidR="00DD31DF" w:rsidRPr="00FE3A13" w:rsidRDefault="00DD31DF" w:rsidP="0085295F">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DD31DF" w:rsidRPr="00FE3A13" w14:paraId="481B1D97" w14:textId="77777777" w:rsidTr="0085295F">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41E0425A" w14:textId="77777777" w:rsidR="00DD31DF" w:rsidRPr="00FE3A13" w:rsidRDefault="00DD31DF" w:rsidP="0085295F">
            <w:pPr>
              <w:pStyle w:val="NIVtableau"/>
              <w:rPr>
                <w:lang w:val="en-US"/>
              </w:rPr>
            </w:pPr>
            <w:r w:rsidRPr="00FE3A13">
              <w:rPr>
                <w:lang w:val="en-US"/>
              </w:rPr>
              <w:t>Etat</w:t>
            </w:r>
          </w:p>
        </w:tc>
        <w:tc>
          <w:tcPr>
            <w:tcW w:w="833" w:type="pct"/>
          </w:tcPr>
          <w:p w14:paraId="535E563A" w14:textId="0F7A6736" w:rsidR="00DD31DF" w:rsidRPr="00FE3A13" w:rsidRDefault="00DD31DF"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1 650 000</w:t>
            </w:r>
          </w:p>
        </w:tc>
        <w:tc>
          <w:tcPr>
            <w:tcW w:w="833" w:type="pct"/>
          </w:tcPr>
          <w:p w14:paraId="651EDF9C" w14:textId="30847838" w:rsidR="00DD31DF" w:rsidRPr="00FE3A13" w:rsidRDefault="00DD31DF"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1 650 000</w:t>
            </w:r>
          </w:p>
        </w:tc>
        <w:tc>
          <w:tcPr>
            <w:tcW w:w="833" w:type="pct"/>
          </w:tcPr>
          <w:p w14:paraId="6C755D21" w14:textId="173E6FDB" w:rsidR="00DD31DF" w:rsidRPr="00FE3A13" w:rsidRDefault="00DD31DF"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1 650 000</w:t>
            </w:r>
          </w:p>
        </w:tc>
        <w:tc>
          <w:tcPr>
            <w:tcW w:w="831" w:type="pct"/>
          </w:tcPr>
          <w:p w14:paraId="6D82A5AF" w14:textId="470A578F" w:rsidR="00DD31DF" w:rsidRPr="00FE3A13" w:rsidRDefault="00DD31DF" w:rsidP="0085295F">
            <w:pPr>
              <w:pStyle w:val="NIVtableauchiffres"/>
              <w:cnfStyle w:val="000000000000" w:firstRow="0" w:lastRow="0" w:firstColumn="0" w:lastColumn="0" w:oddVBand="0" w:evenVBand="0" w:oddHBand="0" w:evenHBand="0" w:firstRowFirstColumn="0" w:firstRowLastColumn="0" w:lastRowFirstColumn="0" w:lastRowLastColumn="0"/>
              <w:rPr>
                <w:lang w:val="en-US"/>
              </w:rPr>
            </w:pPr>
            <w:r w:rsidRPr="00FE3A13">
              <w:rPr>
                <w:lang w:val="en-US"/>
              </w:rPr>
              <w:t>4 950 000</w:t>
            </w:r>
          </w:p>
        </w:tc>
      </w:tr>
      <w:tr w:rsidR="00DD31DF" w:rsidRPr="00FE3A13" w14:paraId="2F07774B" w14:textId="77777777" w:rsidTr="0085295F">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534AFCCD" w14:textId="77777777" w:rsidR="00DD31DF" w:rsidRPr="00FE3A13" w:rsidRDefault="00DD31DF" w:rsidP="0085295F">
            <w:pPr>
              <w:pStyle w:val="NIVtableau"/>
              <w:rPr>
                <w:b w:val="0"/>
                <w:lang w:val="en-US"/>
              </w:rPr>
            </w:pPr>
            <w:r w:rsidRPr="00FE3A13">
              <w:rPr>
                <w:b w:val="0"/>
                <w:lang w:val="en-US"/>
              </w:rPr>
              <w:t>Communes</w:t>
            </w:r>
          </w:p>
        </w:tc>
        <w:tc>
          <w:tcPr>
            <w:tcW w:w="833" w:type="pct"/>
          </w:tcPr>
          <w:p w14:paraId="7ED1213B" w14:textId="2E4579D4" w:rsidR="00DD31DF" w:rsidRPr="00FE3A13" w:rsidRDefault="00DD31DF"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-1 650 000</w:t>
            </w:r>
          </w:p>
        </w:tc>
        <w:tc>
          <w:tcPr>
            <w:tcW w:w="833" w:type="pct"/>
          </w:tcPr>
          <w:p w14:paraId="37F4CFB1" w14:textId="61DB313A" w:rsidR="00DD31DF" w:rsidRPr="00FE3A13" w:rsidRDefault="00DD31DF"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-1 650 000</w:t>
            </w:r>
          </w:p>
        </w:tc>
        <w:tc>
          <w:tcPr>
            <w:tcW w:w="833" w:type="pct"/>
          </w:tcPr>
          <w:p w14:paraId="45D08B7F" w14:textId="6AC127D0" w:rsidR="00DD31DF" w:rsidRPr="00FE3A13" w:rsidRDefault="00DD31DF"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-1 650 000</w:t>
            </w:r>
          </w:p>
        </w:tc>
        <w:tc>
          <w:tcPr>
            <w:tcW w:w="831" w:type="pct"/>
          </w:tcPr>
          <w:p w14:paraId="6C846AF0" w14:textId="0FB8AF56" w:rsidR="00DD31DF" w:rsidRPr="00FE3A13" w:rsidRDefault="00DD31DF" w:rsidP="0085295F">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sidRPr="00FE3A13">
              <w:rPr>
                <w:b w:val="0"/>
                <w:bCs w:val="0"/>
                <w:lang w:val="en-US"/>
              </w:rPr>
              <w:t>-4 950 000</w:t>
            </w:r>
          </w:p>
        </w:tc>
      </w:tr>
    </w:tbl>
    <w:p w14:paraId="2C43CBFC" w14:textId="736C9BB1" w:rsidR="00B6734E" w:rsidRPr="00FE3A13" w:rsidRDefault="00B6734E" w:rsidP="00B6734E">
      <w:r w:rsidRPr="00FE3A13">
        <w:rPr>
          <w:b/>
          <w:bCs/>
        </w:rPr>
        <w:t>&gt;</w:t>
      </w:r>
      <w:r w:rsidRPr="00FE3A13">
        <w:rPr>
          <w:b/>
          <w:bCs/>
        </w:rPr>
        <w:tab/>
      </w:r>
      <w:r>
        <w:rPr>
          <w:b/>
          <w:bCs/>
        </w:rPr>
        <w:t>Stratégie agroalimentaire</w:t>
      </w:r>
    </w:p>
    <w:p w14:paraId="3FF549A7" w14:textId="2F1B99D4" w:rsidR="00B6734E" w:rsidRPr="00FE3A13" w:rsidRDefault="00B6734E" w:rsidP="00B6734E">
      <w:r w:rsidRPr="00FE3A13">
        <w:t>La</w:t>
      </w:r>
      <w:r>
        <w:t xml:space="preserve"> mesure induit une réduction de l’aide financière à fonds perdu pour la mise en œuvre de Fribourg Agri&amp;Food (stratégie agroalimentaire du Canton de Fribourg) pour les montants dédiés aux services offerts ainsi qu’au financement de projets spécifiques et chèques à l’innovation. Le Conseil d’Etat se base sur le résultat des exercices précédents. Les mandats et projets en cours, de même que les appels à projets, ne sont pas remis en cause</w:t>
      </w:r>
      <w:r w:rsidRPr="00FE3A13">
        <w:t>.</w:t>
      </w:r>
    </w:p>
    <w:tbl>
      <w:tblPr>
        <w:tblStyle w:val="TableauEtatFR"/>
        <w:tblW w:w="5000" w:type="pct"/>
        <w:tblLook w:val="04E0" w:firstRow="1" w:lastRow="1" w:firstColumn="1" w:lastColumn="0" w:noHBand="0" w:noVBand="1"/>
      </w:tblPr>
      <w:tblGrid>
        <w:gridCol w:w="3312"/>
        <w:gridCol w:w="1653"/>
        <w:gridCol w:w="1653"/>
        <w:gridCol w:w="1653"/>
        <w:gridCol w:w="1649"/>
      </w:tblGrid>
      <w:tr w:rsidR="00B6734E" w:rsidRPr="00FE3A13" w14:paraId="7704D74C" w14:textId="77777777" w:rsidTr="00F530D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9" w:type="pct"/>
          </w:tcPr>
          <w:p w14:paraId="401773F8" w14:textId="77777777" w:rsidR="00B6734E" w:rsidRPr="00FE3A13" w:rsidRDefault="00B6734E" w:rsidP="00F530D0">
            <w:pPr>
              <w:pStyle w:val="NIVtableau"/>
              <w:rPr>
                <w:color w:val="auto"/>
                <w:sz w:val="21"/>
                <w:lang w:val="fr-FR"/>
              </w:rPr>
            </w:pPr>
            <w:r w:rsidRPr="00FE3A13">
              <w:rPr>
                <w:lang w:val="fr-FR"/>
              </w:rPr>
              <w:t>Incidences financières en francs</w:t>
            </w:r>
          </w:p>
        </w:tc>
        <w:tc>
          <w:tcPr>
            <w:tcW w:w="833" w:type="pct"/>
          </w:tcPr>
          <w:p w14:paraId="5EC8C4F0" w14:textId="77777777" w:rsidR="00B6734E" w:rsidRPr="00FE3A13" w:rsidRDefault="00B6734E" w:rsidP="00F530D0">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2026</w:t>
            </w:r>
          </w:p>
        </w:tc>
        <w:tc>
          <w:tcPr>
            <w:tcW w:w="833" w:type="pct"/>
          </w:tcPr>
          <w:p w14:paraId="57380ED7" w14:textId="77777777" w:rsidR="00B6734E" w:rsidRPr="00FE3A13" w:rsidRDefault="00B6734E" w:rsidP="00F530D0">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2027</w:t>
            </w:r>
          </w:p>
        </w:tc>
        <w:tc>
          <w:tcPr>
            <w:tcW w:w="833" w:type="pct"/>
          </w:tcPr>
          <w:p w14:paraId="1C9E3E47" w14:textId="77777777" w:rsidR="00B6734E" w:rsidRPr="00FE3A13" w:rsidRDefault="00B6734E" w:rsidP="00F530D0">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2028</w:t>
            </w:r>
          </w:p>
        </w:tc>
        <w:tc>
          <w:tcPr>
            <w:tcW w:w="831" w:type="pct"/>
          </w:tcPr>
          <w:p w14:paraId="7DC7DA0B" w14:textId="77777777" w:rsidR="00B6734E" w:rsidRPr="00FE3A13" w:rsidRDefault="00B6734E" w:rsidP="00F530D0">
            <w:pPr>
              <w:pStyle w:val="NIVtableauchiffres"/>
              <w:cnfStyle w:val="100000000000" w:firstRow="1" w:lastRow="0" w:firstColumn="0" w:lastColumn="0" w:oddVBand="0" w:evenVBand="0" w:oddHBand="0" w:evenHBand="0" w:firstRowFirstColumn="0" w:firstRowLastColumn="0" w:lastRowFirstColumn="0" w:lastRowLastColumn="0"/>
              <w:rPr>
                <w:lang w:val="en-US"/>
              </w:rPr>
            </w:pPr>
            <w:r w:rsidRPr="00FE3A13">
              <w:rPr>
                <w:lang w:val="en-US"/>
              </w:rPr>
              <w:t>Total</w:t>
            </w:r>
          </w:p>
        </w:tc>
      </w:tr>
      <w:tr w:rsidR="00B6734E" w:rsidRPr="00FE3A13" w14:paraId="180F816F" w14:textId="77777777" w:rsidTr="00F530D0">
        <w:tblPrEx>
          <w:tblCellMar>
            <w:bottom w:w="28" w:type="dxa"/>
          </w:tblCellMar>
        </w:tblPrEx>
        <w:trPr>
          <w:trHeight w:val="349"/>
        </w:trPr>
        <w:tc>
          <w:tcPr>
            <w:cnfStyle w:val="001000000000" w:firstRow="0" w:lastRow="0" w:firstColumn="1" w:lastColumn="0" w:oddVBand="0" w:evenVBand="0" w:oddHBand="0" w:evenHBand="0" w:firstRowFirstColumn="0" w:firstRowLastColumn="0" w:lastRowFirstColumn="0" w:lastRowLastColumn="0"/>
            <w:tcW w:w="1669" w:type="pct"/>
          </w:tcPr>
          <w:p w14:paraId="0FC46FD4" w14:textId="77777777" w:rsidR="00B6734E" w:rsidRPr="00FE3A13" w:rsidRDefault="00B6734E" w:rsidP="00F530D0">
            <w:pPr>
              <w:pStyle w:val="NIVtableau"/>
              <w:rPr>
                <w:lang w:val="en-US"/>
              </w:rPr>
            </w:pPr>
            <w:r w:rsidRPr="00FE3A13">
              <w:rPr>
                <w:lang w:val="en-US"/>
              </w:rPr>
              <w:t>Etat</w:t>
            </w:r>
          </w:p>
        </w:tc>
        <w:tc>
          <w:tcPr>
            <w:tcW w:w="833" w:type="pct"/>
          </w:tcPr>
          <w:p w14:paraId="7E02DD2C" w14:textId="12C0391F" w:rsidR="00B6734E" w:rsidRPr="00FE3A13" w:rsidRDefault="00E97E0E" w:rsidP="00F530D0">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200</w:t>
            </w:r>
            <w:r w:rsidR="00B6734E" w:rsidRPr="00FE3A13">
              <w:rPr>
                <w:lang w:val="en-US"/>
              </w:rPr>
              <w:t xml:space="preserve"> 000</w:t>
            </w:r>
          </w:p>
        </w:tc>
        <w:tc>
          <w:tcPr>
            <w:tcW w:w="833" w:type="pct"/>
          </w:tcPr>
          <w:p w14:paraId="4EEBD3EC" w14:textId="1F7E716C" w:rsidR="00B6734E" w:rsidRPr="00FE3A13" w:rsidRDefault="00E97E0E" w:rsidP="00F530D0">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200</w:t>
            </w:r>
            <w:r w:rsidR="00B6734E" w:rsidRPr="00FE3A13">
              <w:rPr>
                <w:lang w:val="en-US"/>
              </w:rPr>
              <w:t xml:space="preserve"> 000</w:t>
            </w:r>
          </w:p>
        </w:tc>
        <w:tc>
          <w:tcPr>
            <w:tcW w:w="833" w:type="pct"/>
          </w:tcPr>
          <w:p w14:paraId="482DF726" w14:textId="4092D0F8" w:rsidR="00B6734E" w:rsidRPr="00FE3A13" w:rsidRDefault="00E97E0E" w:rsidP="00F530D0">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200</w:t>
            </w:r>
            <w:r w:rsidR="00B6734E" w:rsidRPr="00FE3A13">
              <w:rPr>
                <w:lang w:val="en-US"/>
              </w:rPr>
              <w:t xml:space="preserve"> 000</w:t>
            </w:r>
          </w:p>
        </w:tc>
        <w:tc>
          <w:tcPr>
            <w:tcW w:w="831" w:type="pct"/>
          </w:tcPr>
          <w:p w14:paraId="266F54A8" w14:textId="564E18E7" w:rsidR="00B6734E" w:rsidRPr="00FE3A13" w:rsidRDefault="00E97E0E" w:rsidP="00F530D0">
            <w:pPr>
              <w:pStyle w:val="NIVtableauchiffres"/>
              <w:cnfStyle w:val="000000000000" w:firstRow="0" w:lastRow="0" w:firstColumn="0" w:lastColumn="0" w:oddVBand="0" w:evenVBand="0" w:oddHBand="0" w:evenHBand="0" w:firstRowFirstColumn="0" w:firstRowLastColumn="0" w:lastRowFirstColumn="0" w:lastRowLastColumn="0"/>
              <w:rPr>
                <w:lang w:val="en-US"/>
              </w:rPr>
            </w:pPr>
            <w:r>
              <w:rPr>
                <w:lang w:val="en-US"/>
              </w:rPr>
              <w:t>600</w:t>
            </w:r>
            <w:r w:rsidR="00B6734E" w:rsidRPr="00FE3A13">
              <w:rPr>
                <w:lang w:val="en-US"/>
              </w:rPr>
              <w:t xml:space="preserve"> 000</w:t>
            </w:r>
          </w:p>
        </w:tc>
      </w:tr>
      <w:tr w:rsidR="00B6734E" w:rsidRPr="00FE3A13" w14:paraId="6BD1348F" w14:textId="77777777" w:rsidTr="00F530D0">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669" w:type="pct"/>
          </w:tcPr>
          <w:p w14:paraId="25E52EFB" w14:textId="77777777" w:rsidR="00B6734E" w:rsidRPr="00FE3A13" w:rsidRDefault="00B6734E" w:rsidP="00F530D0">
            <w:pPr>
              <w:pStyle w:val="NIVtableau"/>
              <w:rPr>
                <w:b w:val="0"/>
                <w:lang w:val="en-US"/>
              </w:rPr>
            </w:pPr>
            <w:r w:rsidRPr="00FE3A13">
              <w:rPr>
                <w:b w:val="0"/>
                <w:lang w:val="en-US"/>
              </w:rPr>
              <w:t>Communes</w:t>
            </w:r>
          </w:p>
        </w:tc>
        <w:tc>
          <w:tcPr>
            <w:tcW w:w="833" w:type="pct"/>
          </w:tcPr>
          <w:p w14:paraId="64481ABD" w14:textId="3EFF5167" w:rsidR="00B6734E" w:rsidRPr="00FE3A13" w:rsidRDefault="00E97E0E" w:rsidP="00F530D0">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0</w:t>
            </w:r>
          </w:p>
        </w:tc>
        <w:tc>
          <w:tcPr>
            <w:tcW w:w="833" w:type="pct"/>
          </w:tcPr>
          <w:p w14:paraId="3D36B068" w14:textId="52A40BA1" w:rsidR="00B6734E" w:rsidRPr="00FE3A13" w:rsidRDefault="00E97E0E" w:rsidP="00F530D0">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0</w:t>
            </w:r>
          </w:p>
        </w:tc>
        <w:tc>
          <w:tcPr>
            <w:tcW w:w="833" w:type="pct"/>
          </w:tcPr>
          <w:p w14:paraId="761A6743" w14:textId="4738D842" w:rsidR="00B6734E" w:rsidRPr="00FE3A13" w:rsidRDefault="00E97E0E" w:rsidP="00F530D0">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0</w:t>
            </w:r>
          </w:p>
        </w:tc>
        <w:tc>
          <w:tcPr>
            <w:tcW w:w="831" w:type="pct"/>
          </w:tcPr>
          <w:p w14:paraId="6DF85B3D" w14:textId="26A44BD3" w:rsidR="00B6734E" w:rsidRPr="00FE3A13" w:rsidRDefault="00E97E0E" w:rsidP="00F530D0">
            <w:pPr>
              <w:pStyle w:val="NIVtableauchiffres"/>
              <w:cnfStyle w:val="010000000000" w:firstRow="0" w:lastRow="1" w:firstColumn="0" w:lastColumn="0" w:oddVBand="0" w:evenVBand="0" w:oddHBand="0" w:evenHBand="0" w:firstRowFirstColumn="0" w:firstRowLastColumn="0" w:lastRowFirstColumn="0" w:lastRowLastColumn="0"/>
              <w:rPr>
                <w:b w:val="0"/>
                <w:bCs w:val="0"/>
                <w:lang w:val="en-US"/>
              </w:rPr>
            </w:pPr>
            <w:r>
              <w:rPr>
                <w:b w:val="0"/>
                <w:bCs w:val="0"/>
                <w:lang w:val="en-US"/>
              </w:rPr>
              <w:t>0</w:t>
            </w:r>
          </w:p>
        </w:tc>
      </w:tr>
    </w:tbl>
    <w:p w14:paraId="7FBB387C" w14:textId="77777777" w:rsidR="00DD31DF" w:rsidRPr="00FE3A13" w:rsidRDefault="00DD31DF" w:rsidP="00DD31DF"/>
    <w:p w14:paraId="5BD941C9" w14:textId="7741C5ED" w:rsidR="0001598C" w:rsidRPr="00FE3A13" w:rsidRDefault="0001598C" w:rsidP="0001598C">
      <w:pPr>
        <w:pStyle w:val="Titre1"/>
      </w:pPr>
      <w:bookmarkStart w:id="32" w:name="_Toc195714692"/>
      <w:bookmarkStart w:id="33" w:name="_Toc195714693"/>
      <w:bookmarkStart w:id="34" w:name="_Toc195714694"/>
      <w:bookmarkStart w:id="35" w:name="_Toc195714695"/>
      <w:bookmarkStart w:id="36" w:name="_Toc195714716"/>
      <w:bookmarkStart w:id="37" w:name="_Toc195714717"/>
      <w:bookmarkStart w:id="38" w:name="_Toc195714718"/>
      <w:bookmarkStart w:id="39" w:name="_Toc195714719"/>
      <w:bookmarkStart w:id="40" w:name="_Toc195714720"/>
      <w:bookmarkStart w:id="41" w:name="_Toc195714721"/>
      <w:bookmarkStart w:id="42" w:name="_Toc195714740"/>
      <w:bookmarkStart w:id="43" w:name="_Toc195714741"/>
      <w:bookmarkStart w:id="44" w:name="_Toc195714742"/>
      <w:bookmarkStart w:id="45" w:name="_Toc195714761"/>
      <w:bookmarkStart w:id="46" w:name="_Toc195714762"/>
      <w:bookmarkStart w:id="47" w:name="_Toc195714781"/>
      <w:bookmarkStart w:id="48" w:name="_Toc195714782"/>
      <w:bookmarkStart w:id="49" w:name="_Toc195714783"/>
      <w:bookmarkStart w:id="50" w:name="_Toc195714802"/>
      <w:bookmarkStart w:id="51" w:name="_Toc195714803"/>
      <w:bookmarkStart w:id="52" w:name="_Toc195714816"/>
      <w:bookmarkStart w:id="53" w:name="_Toc195714817"/>
      <w:bookmarkStart w:id="54" w:name="_Toc195714818"/>
      <w:bookmarkStart w:id="55" w:name="_Toc195714837"/>
      <w:bookmarkStart w:id="56" w:name="_Toc195714838"/>
      <w:bookmarkStart w:id="57" w:name="_Toc195714857"/>
      <w:bookmarkStart w:id="58" w:name="_Toc195714858"/>
      <w:bookmarkStart w:id="59" w:name="_Toc195714877"/>
      <w:bookmarkStart w:id="60" w:name="_Toc195714878"/>
      <w:bookmarkStart w:id="61" w:name="_Toc195714895"/>
      <w:bookmarkStart w:id="62" w:name="_Toc195714896"/>
      <w:bookmarkStart w:id="63" w:name="_Toc195714897"/>
      <w:bookmarkStart w:id="64" w:name="_Toc195714916"/>
      <w:bookmarkStart w:id="65" w:name="_Toc195714917"/>
      <w:bookmarkStart w:id="66" w:name="_Toc195714936"/>
      <w:bookmarkStart w:id="67" w:name="_Toc195714937"/>
      <w:bookmarkStart w:id="68" w:name="_Toc195714938"/>
      <w:bookmarkStart w:id="69" w:name="_Toc195714957"/>
      <w:bookmarkStart w:id="70" w:name="_Toc195714958"/>
      <w:bookmarkStart w:id="71" w:name="_Toc195714977"/>
      <w:bookmarkStart w:id="72" w:name="_Toc195714978"/>
      <w:bookmarkStart w:id="73" w:name="_Toc195714997"/>
      <w:bookmarkStart w:id="74" w:name="_Toc195714998"/>
      <w:bookmarkStart w:id="75" w:name="_Toc195715017"/>
      <w:bookmarkStart w:id="76" w:name="_Toc195715018"/>
      <w:bookmarkStart w:id="77" w:name="_Toc195715019"/>
      <w:bookmarkStart w:id="78" w:name="_Toc195715038"/>
      <w:bookmarkStart w:id="79" w:name="_Toc195715039"/>
      <w:bookmarkStart w:id="80" w:name="_Toc195715058"/>
      <w:bookmarkStart w:id="81" w:name="_Toc195715059"/>
      <w:bookmarkStart w:id="82" w:name="_Toc195715078"/>
      <w:bookmarkStart w:id="83" w:name="_Toc195715095"/>
      <w:bookmarkStart w:id="84" w:name="_Toc195715096"/>
      <w:bookmarkStart w:id="85" w:name="_Toc195715097"/>
      <w:bookmarkStart w:id="86" w:name="_Toc195715116"/>
      <w:bookmarkStart w:id="87" w:name="_Toc195715117"/>
      <w:bookmarkStart w:id="88" w:name="_Toc195715118"/>
      <w:bookmarkStart w:id="89" w:name="_Toc195715137"/>
      <w:bookmarkStart w:id="90" w:name="_Toc195715138"/>
      <w:bookmarkStart w:id="91" w:name="_Toc195715157"/>
      <w:bookmarkStart w:id="92" w:name="_Toc195715158"/>
      <w:bookmarkStart w:id="93" w:name="_Toc195715177"/>
      <w:bookmarkStart w:id="94" w:name="_Toc195715178"/>
      <w:bookmarkStart w:id="95" w:name="_Toc195715197"/>
      <w:bookmarkStart w:id="96" w:name="_Toc195715198"/>
      <w:bookmarkStart w:id="97" w:name="_Toc195715217"/>
      <w:bookmarkStart w:id="98" w:name="_Toc195715218"/>
      <w:bookmarkStart w:id="99" w:name="_Toc195715219"/>
      <w:bookmarkStart w:id="100" w:name="_Toc195715238"/>
      <w:bookmarkStart w:id="101" w:name="_Toc195715239"/>
      <w:bookmarkStart w:id="102" w:name="_Toc195715258"/>
      <w:bookmarkStart w:id="103" w:name="_Toc195715259"/>
      <w:bookmarkStart w:id="104" w:name="_Toc195715278"/>
      <w:bookmarkStart w:id="105" w:name="_Toc195715279"/>
      <w:bookmarkStart w:id="106" w:name="_Toc195715298"/>
      <w:bookmarkStart w:id="107" w:name="_Toc195715299"/>
      <w:bookmarkStart w:id="108" w:name="_Toc195715318"/>
      <w:bookmarkStart w:id="109" w:name="_Toc195715319"/>
      <w:bookmarkStart w:id="110" w:name="_Toc19571533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FE3A13">
        <w:t>Liens avec des interventions parlementaires</w:t>
      </w:r>
      <w:bookmarkEnd w:id="110"/>
    </w:p>
    <w:p w14:paraId="231431A1" w14:textId="68F1C591" w:rsidR="0001598C" w:rsidRPr="00FE3A13" w:rsidRDefault="0001598C" w:rsidP="0001598C">
      <w:pPr>
        <w:pStyle w:val="Tiret"/>
      </w:pP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t>—</w:t>
      </w:r>
    </w:p>
    <w:p w14:paraId="423AC0C7" w14:textId="69DAE88B" w:rsidR="007B58F8" w:rsidRPr="00FE3A13" w:rsidRDefault="0001598C" w:rsidP="000F1734">
      <w:pPr>
        <w:pStyle w:val="Titre2"/>
      </w:pPr>
      <w:bookmarkStart w:id="111" w:name="_Toc195715339"/>
      <w:r w:rsidRPr="00FE3A13">
        <w:t>Report</w:t>
      </w:r>
      <w:r w:rsidR="00183978" w:rsidRPr="00FE3A13">
        <w:t>s dans</w:t>
      </w:r>
      <w:r w:rsidRPr="00FE3A13">
        <w:t xml:space="preserve"> l</w:t>
      </w:r>
      <w:r w:rsidR="00183978" w:rsidRPr="00FE3A13">
        <w:t>a mise en œuvre</w:t>
      </w:r>
      <w:r w:rsidR="00987012" w:rsidRPr="00FE3A13">
        <w:t xml:space="preserve"> de certains instruments parlementaires</w:t>
      </w:r>
      <w:bookmarkEnd w:id="111"/>
    </w:p>
    <w:p w14:paraId="1D3227DC" w14:textId="526ED51B" w:rsidR="007D7D25" w:rsidRPr="00FE3A13" w:rsidRDefault="007D7D25" w:rsidP="007D7D25">
      <w:r w:rsidRPr="00FE3A13">
        <w:t xml:space="preserve">En début d’année 2025, le Conseil d’Etat a abordé le Bureau du Grand Conseil pour évoquer l’éventualité d’introduire une sorte de « moratoire » sur la mise en œuvre de certains instruments parlementaires déjà acceptés, qui aurait pu se traduire par exemple par le réexamen de certaines décisions à l’aune du nouveau contexte financier ou par un gel momentané, voire un étalement dans le temps de leur mise application. </w:t>
      </w:r>
    </w:p>
    <w:p w14:paraId="282FEC81" w14:textId="77777777" w:rsidR="007D7D25" w:rsidRPr="00FE3A13" w:rsidRDefault="007D7D25" w:rsidP="007D7D25">
      <w:r w:rsidRPr="00FE3A13">
        <w:t xml:space="preserve">Dans le cadre des échanges épistolaires et oraux ayant eu lieu à ce sujet, le Bureau a indiqué qu’il souhaitait connaître l’ensemble du projet de programme d’assainissement des finances de l’Etat avant de se déterminer spécifiquement sur </w:t>
      </w:r>
      <w:r w:rsidRPr="00FE3A13">
        <w:lastRenderedPageBreak/>
        <w:t>le sort de certains instruments parlementaires. Certains membres du Grand Conseil ont en outre réagi directement dans la presse à la démarche du Conseil d’Etat, qui était exploratoire et se voulait constructive. Une question intitulée « Entre rigueur financière et respect de la volonté populaire : quelle est la priorité du Conseil d’Etat ? » (2025-GC-45) a également été déposé le 12 février 2025.</w:t>
      </w:r>
    </w:p>
    <w:p w14:paraId="5190D293" w14:textId="77777777" w:rsidR="007D7D25" w:rsidRPr="00FE3A13" w:rsidRDefault="007D7D25" w:rsidP="007D7D25">
      <w:r w:rsidRPr="00FE3A13">
        <w:t>Sur la base des indications du Bureau du Grand Conseil, le Conseil d’Etat a renoncé à régler la question du moratoire de manière préalable et globale tout en signalant qu’il n’écartait pas pour autant la possibilité de proposer des adaptations des modalités de mise en œuvre de certains instruments parlementaires dans le cadre du PAFE. Sa volonté n’a jamais été de contester des décisions démocratiques, mais il lui semble légitime, comme cela avait été d’ailleurs fait dans le cadre des MSE 2013-2016, de s’interroger sur la possibilité de tenir compte lors de leur concrétisation des évolutions du contexte financier étant intervenues dans l’intervalle.</w:t>
      </w:r>
    </w:p>
    <w:p w14:paraId="63CA2031" w14:textId="00F256FC" w:rsidR="007D7D25" w:rsidRPr="00FE3A13" w:rsidRDefault="007D7D25" w:rsidP="007D7D25">
      <w:r w:rsidRPr="00FE3A13">
        <w:t>Certaines des propositions décrites dans le chapitre précédent s’inscrivent ainsi dans le prolongement de la réflexion initiale du Conseil d’Etat et consistent essentiellement à reporter l’application de décisions prises préalablement par le Grand Conseil. C’est le cas notamment de la mesure visant à suspendre l’adaptation au renchérissement dans les EMS ou de celles visant à une réduction des subventions sylvicoles.</w:t>
      </w:r>
    </w:p>
    <w:p w14:paraId="2A6349F6" w14:textId="1ED8CC76" w:rsidR="0001598C" w:rsidRPr="00FE3A13" w:rsidRDefault="0001598C" w:rsidP="0001598C">
      <w:pPr>
        <w:pStyle w:val="Titre2"/>
      </w:pPr>
      <w:bookmarkStart w:id="112" w:name="_Toc195715340"/>
      <w:r w:rsidRPr="00FE3A13">
        <w:t>Réponse</w:t>
      </w:r>
      <w:r w:rsidR="00183978" w:rsidRPr="00FE3A13">
        <w:t>s</w:t>
      </w:r>
      <w:r w:rsidRPr="00FE3A13">
        <w:t xml:space="preserve"> à des instruments </w:t>
      </w:r>
      <w:r w:rsidR="00987012" w:rsidRPr="00FE3A13">
        <w:t xml:space="preserve">parlementaires </w:t>
      </w:r>
      <w:r w:rsidRPr="00FE3A13">
        <w:t>non traités</w:t>
      </w:r>
      <w:bookmarkEnd w:id="112"/>
    </w:p>
    <w:p w14:paraId="5B215489" w14:textId="0B52DB4A" w:rsidR="00AD52F5" w:rsidRPr="00FE3A13" w:rsidRDefault="008602BF" w:rsidP="008602BF">
      <w:pPr>
        <w:pStyle w:val="Titre3"/>
      </w:pPr>
      <w:bookmarkStart w:id="113" w:name="_Toc195715341"/>
      <w:r w:rsidRPr="00FE3A13">
        <w:t>Motion</w:t>
      </w:r>
      <w:r w:rsidR="00037465">
        <w:t xml:space="preserve"> « Introduisons un taux d’impôt équitable » (2024-GC-279)</w:t>
      </w:r>
      <w:bookmarkEnd w:id="113"/>
    </w:p>
    <w:p w14:paraId="70E5BD16" w14:textId="7792B452" w:rsidR="008602BF" w:rsidRPr="00FE3A13" w:rsidRDefault="008602BF" w:rsidP="008602BF">
      <w:pPr>
        <w:pStyle w:val="Corpsdetexte"/>
      </w:pPr>
      <w:r w:rsidRPr="00FE3A13">
        <w:t xml:space="preserve">Déposée le 19 novembre 2024, la motion « Introduisons un taux d’impôt équitable » (2024-GC-279) déplore que le taux maximum d’imposition sur les revenus des personnes physiques dans le canton de Fribourg, qui est de 13,5 %, soit atteint dès qu’une personne seule a un revenu imposable de 203'900 francs. Elle demande que la progressivité du barème continue au-delà de ce seuil et que le taux d’imposition augmente jusqu’à un revenu annuel de 650'000 francs, pour atteindre un niveau maximal de 19 %, à l’instar de ce qui prévaudrait dans le canton de Genève. Le but de la motion est de faire peser une plus grande charge fiscale sur les personnes à hauts revenus. Les motionnaires suggèrent en outre que les recettes supplémentaires qui découleraient de leur proposition pourraient être utilisées pour augmenter les subsides pour les primes d’assurance-maladie. </w:t>
      </w:r>
    </w:p>
    <w:p w14:paraId="137ED969" w14:textId="27DD09A5" w:rsidR="008602BF" w:rsidRPr="00FE3A13" w:rsidRDefault="008602BF" w:rsidP="008602BF">
      <w:pPr>
        <w:pStyle w:val="Corpsdetexte"/>
      </w:pPr>
      <w:r w:rsidRPr="00FE3A13">
        <w:t>Après avoir rappelé que l’impôt ne peut par définition pas être affecté à un usage particulier, le Conseil d’Etat signale que la question de la fiscalité a fait l’objet de réflexions approfondies au sein du GT revenus dans le cadre du PAFE et suscite régulièrement des discussions au sein du gouvernement. Par souci notamment de maintenir une certaine attractivité fiscale pour les hautes revenus, qui amènent une part prépondérante des recettes fiscales dans le canton, le Conseil d’Etat ne souhaite pas revoir le barème de l’impôt dans le sens de ce qui est souhaité par les motionnaires. Il propose en conséquence au Grand Conseil de refuser la motion 2024-GC-279.</w:t>
      </w:r>
    </w:p>
    <w:p w14:paraId="63FB6B8B" w14:textId="7E974C2A" w:rsidR="008602BF" w:rsidRPr="00FE3A13" w:rsidRDefault="008602BF" w:rsidP="008602BF">
      <w:pPr>
        <w:pStyle w:val="Titre3"/>
      </w:pPr>
      <w:bookmarkStart w:id="114" w:name="_Toc195715342"/>
      <w:r w:rsidRPr="00FE3A13">
        <w:t xml:space="preserve">Mandat </w:t>
      </w:r>
      <w:r w:rsidR="00037465">
        <w:t>« Pour une administration efficace » (</w:t>
      </w:r>
      <w:r w:rsidRPr="00FE3A13">
        <w:t>2024-GC-286</w:t>
      </w:r>
      <w:r w:rsidR="00037465">
        <w:t>)</w:t>
      </w:r>
      <w:bookmarkEnd w:id="114"/>
    </w:p>
    <w:p w14:paraId="1E7C78C2" w14:textId="1F459698" w:rsidR="008602BF" w:rsidRPr="00FE3A13" w:rsidRDefault="008602BF" w:rsidP="008602BF">
      <w:pPr>
        <w:pStyle w:val="Corpsdetexte"/>
      </w:pPr>
      <w:r w:rsidRPr="00FE3A13">
        <w:t xml:space="preserve">Sur la base de deux études mettant en évidence qu’une part importante des montants imposables en Suisse ne sont pas déclarés aux autorités fiscales, le mandat « Pour une administration fiscale efficace » (2024-GC-286), déposé le 20 novembre 2024, demande une augmentation de la dotation en personnel du Service cantonal des contributions (SCC). Les auteurs de mandat estiment que les postes concernés doivent être perçus et considérés comme un investissement en faveur d’une perception de l’impôt équitable. Ils considèrent que la dotation en personnel actuelle du SCC ne permet plus un traitement en profondeur des déclarations fiscales et une lutte adéquate contre la soustraction et la fraude fiscale. Ils souhaitent que les effectifs soient complétés, tant au niveau des taxateurs et taxatrices, que de réviseurs et de l’inspection fiscale, puis ajustés chaque année en fonction de l’augmentation de la masse fiscale et du nombre de contribuables. Pour ce qui est de l’inspection fiscale, une augmentation initiale de 10 EPT est évoquée. </w:t>
      </w:r>
    </w:p>
    <w:p w14:paraId="5D5EA7F7" w14:textId="62DE8F06" w:rsidR="008602BF" w:rsidRPr="00FE3A13" w:rsidRDefault="008602BF" w:rsidP="008602BF">
      <w:pPr>
        <w:pStyle w:val="Corpsdetexte"/>
      </w:pPr>
      <w:r w:rsidRPr="00FE3A13">
        <w:t>Le Conseil d’Etat souli</w:t>
      </w:r>
      <w:r w:rsidR="00EC6275" w:rsidRPr="00FE3A13">
        <w:t>gne</w:t>
      </w:r>
      <w:r w:rsidRPr="00FE3A13">
        <w:t xml:space="preserve"> qu’il propose dans le cadre de la mesure « Augmentation du nombre de taxateurs au SCC afin de renforcer l’investigation fiscale » d’augmenter la dotation du SCC de 12 EPT en 3 ans. Il considère que cela répond de manière adéquate aux attentes formulées dans le mandat et propose dès lors au Grand Conseil de considérer que celui-ci a été rempli.</w:t>
      </w:r>
    </w:p>
    <w:p w14:paraId="349AAD1F" w14:textId="545D0867" w:rsidR="0001598C" w:rsidRPr="00FE3A13" w:rsidRDefault="0001598C" w:rsidP="0001598C">
      <w:pPr>
        <w:pStyle w:val="Titre3"/>
      </w:pPr>
      <w:bookmarkStart w:id="115" w:name="_Toc195715343"/>
      <w:r w:rsidRPr="00FE3A13">
        <w:lastRenderedPageBreak/>
        <w:t xml:space="preserve">Mandat </w:t>
      </w:r>
      <w:r w:rsidR="00037465">
        <w:t xml:space="preserve">« Diminuer les charges de l’Etat </w:t>
      </w:r>
      <w:r w:rsidR="004A4E56">
        <w:t>pour maintenir</w:t>
      </w:r>
      <w:r w:rsidR="00037465">
        <w:t xml:space="preserve"> le pouvoir d’achat » (</w:t>
      </w:r>
      <w:r w:rsidRPr="00FE3A13">
        <w:t>2025-GC-40</w:t>
      </w:r>
      <w:r w:rsidR="00037465">
        <w:t>)</w:t>
      </w:r>
      <w:bookmarkEnd w:id="115"/>
    </w:p>
    <w:p w14:paraId="61ED37D6" w14:textId="3367C523" w:rsidR="00AA335D" w:rsidRPr="00FE3A13" w:rsidRDefault="00AA335D" w:rsidP="00AA335D">
      <w:pPr>
        <w:pStyle w:val="Corpsdetexte"/>
      </w:pPr>
      <w:r w:rsidRPr="00FE3A13">
        <w:t xml:space="preserve">Déposé </w:t>
      </w:r>
      <w:r w:rsidR="000F0FDE" w:rsidRPr="00FE3A13">
        <w:t>le</w:t>
      </w:r>
      <w:r w:rsidRPr="00FE3A13">
        <w:t xml:space="preserve"> 11 février 2025, le mandat « Diminuer les charges de l’Etat pour maintenir le pouvoir d’achat » (2025-GC-40) demande au Conseil d’Etat de mett</w:t>
      </w:r>
      <w:r w:rsidR="00706E50">
        <w:t>r</w:t>
      </w:r>
      <w:r w:rsidRPr="00FE3A13">
        <w:t>e en place une série de 11 mesures devant lui permettre de continuer à remplir ses missions premières, à offrir un service adéquat à ses citoyennes et citoyens ainsi qu’aux entreprises et à maintenir son attrait en tant qu’employeur. Ce mandat part du constat</w:t>
      </w:r>
      <w:r w:rsidR="00E81A5A" w:rsidRPr="00FE3A13">
        <w:t xml:space="preserve"> que l’Etat de Fribourg prévoit un déficit structurel important dès 2026. Il estime qu’à l’heure où plusieurs cantons voisins ont instauré des réductions fiscales, une augmentation des impôts et une perte du pouvoir d’achat serai</w:t>
      </w:r>
      <w:r w:rsidR="00B2570A">
        <w:t>en</w:t>
      </w:r>
      <w:r w:rsidR="00E81A5A" w:rsidRPr="00FE3A13">
        <w:t>t difficilement compréhensibles pour les citoyennes et citoyens sans que des mesures pour réduire les dépenses de l’Etat aient d’abord été entreprises. Dans ce contexte, le Conseil d’Etat est appelé à viser à tout prix l’efficacité, à prioriser ses tâches et à demander des efforts supplémentaires à ses employé-e-s, notamment en révisant et canalisant l’augmentations de postes.</w:t>
      </w:r>
    </w:p>
    <w:p w14:paraId="41721F8B" w14:textId="178D1599" w:rsidR="00D67FAA" w:rsidRPr="00FE3A13" w:rsidRDefault="00265216" w:rsidP="00AA335D">
      <w:pPr>
        <w:pStyle w:val="Corpsdetexte"/>
      </w:pPr>
      <w:r w:rsidRPr="00FE3A13">
        <w:t>Le Conseil d’Etat constate que la plupart des propositions formulées correspondent à des idées qui ont aussi été exprimées au sein de l’administration cantonale, examinées dans le cadre de la préparation du PAFE</w:t>
      </w:r>
      <w:r w:rsidR="003F782A" w:rsidRPr="00FE3A13">
        <w:t xml:space="preserve"> 26-28</w:t>
      </w:r>
      <w:r w:rsidRPr="00FE3A13">
        <w:t xml:space="preserve"> et </w:t>
      </w:r>
      <w:r w:rsidR="003F782A" w:rsidRPr="00FE3A13">
        <w:t xml:space="preserve">le plus souvent </w:t>
      </w:r>
      <w:r w:rsidRPr="00FE3A13">
        <w:t xml:space="preserve">retenues pour des examens complémentaires en vue d’une mise en œuvre </w:t>
      </w:r>
      <w:r w:rsidR="003F782A" w:rsidRPr="00FE3A13">
        <w:t>ultérieure</w:t>
      </w:r>
      <w:r w:rsidRPr="00FE3A13">
        <w:t>. Certaines de ces propositions ont même déjà été intégré</w:t>
      </w:r>
      <w:r w:rsidR="003F782A" w:rsidRPr="00FE3A13">
        <w:t>e</w:t>
      </w:r>
      <w:r w:rsidRPr="00FE3A13">
        <w:t>s dans le présent projet, comme par exemple la mise en vente des propriétés de l’Etat (ex : chalets, alpage) n’ayant plus de lien direct avec ses missions principales ou de faisant pas partie du patrimoine historique ou culturel.</w:t>
      </w:r>
      <w:r w:rsidR="0099312E" w:rsidRPr="00FE3A13">
        <w:t xml:space="preserve"> Plusieurs propositions rejoignent en outre des préoccupations antérieures du Conseil d’Etat qui ont donné lieu au lancement de projets de rationalisation internes dont le suivi et la concrétisation font désormais partie des activités courantes des services et directions concernées.</w:t>
      </w:r>
    </w:p>
    <w:p w14:paraId="6742DF11" w14:textId="33595452" w:rsidR="0099312E" w:rsidRPr="00FE3A13" w:rsidRDefault="0099312E" w:rsidP="00AA335D">
      <w:pPr>
        <w:pStyle w:val="Corpsdetexte"/>
      </w:pPr>
      <w:r w:rsidRPr="00FE3A13">
        <w:t>Compte tenu de ce qui précède, le Conseil d’Etat proposera au Grand Conseil d</w:t>
      </w:r>
      <w:r w:rsidR="0080618A">
        <w:t>’accepter partiellement</w:t>
      </w:r>
      <w:r w:rsidRPr="00FE3A13">
        <w:t xml:space="preserve"> le mandat 2025-GC-40 tout en soulignant qu’il a déjà pris ou proposé diverses mesures allant dans le sens de ce qui est souhaité par ses auteurs.</w:t>
      </w:r>
    </w:p>
    <w:p w14:paraId="366613ED" w14:textId="22C2296E" w:rsidR="0001598C" w:rsidRPr="00FE3A13" w:rsidRDefault="0001598C" w:rsidP="0001598C">
      <w:pPr>
        <w:pStyle w:val="Titre3"/>
      </w:pPr>
      <w:bookmarkStart w:id="116" w:name="_Toc195715344"/>
      <w:r w:rsidRPr="00FE3A13">
        <w:t xml:space="preserve">Mandat </w:t>
      </w:r>
      <w:r w:rsidR="00037465">
        <w:t>« Un plan d’assainissement ! Une aubaine pour la biodiversité » (</w:t>
      </w:r>
      <w:r w:rsidRPr="00FE3A13">
        <w:t>2025-GC-55</w:t>
      </w:r>
      <w:r w:rsidR="00037465">
        <w:t>)</w:t>
      </w:r>
      <w:bookmarkEnd w:id="116"/>
    </w:p>
    <w:p w14:paraId="4BE43475" w14:textId="51596C74" w:rsidR="00E81A5A" w:rsidRPr="00FE3A13" w:rsidRDefault="00AB474F" w:rsidP="00E81A5A">
      <w:pPr>
        <w:pStyle w:val="Corpsdetexte"/>
      </w:pPr>
      <w:r w:rsidRPr="00FE3A13">
        <w:t>Partant du constat</w:t>
      </w:r>
      <w:r w:rsidR="000F0FDE" w:rsidRPr="00FE3A13">
        <w:t xml:space="preserve"> que la situation financièrement critique qui s’annonçait depuis plusieurs années a conduit le Conseil d’Etat </w:t>
      </w:r>
      <w:r w:rsidRPr="00FE3A13">
        <w:t>à</w:t>
      </w:r>
      <w:r w:rsidR="000F0FDE" w:rsidRPr="00FE3A13">
        <w:t xml:space="preserve"> annonc</w:t>
      </w:r>
      <w:r w:rsidRPr="00FE3A13">
        <w:t>er</w:t>
      </w:r>
      <w:r w:rsidR="000F0FDE" w:rsidRPr="00FE3A13">
        <w:t xml:space="preserve"> un plan d’assainissement, le mandat « Un plan d’assainissement ! Une aubaine pour la biodiversité ? » (2025-GC-55)</w:t>
      </w:r>
      <w:r w:rsidRPr="00FE3A13">
        <w:t>, déposé le 13 février 2025, propose d’aborder la situation actuelle dans une optique constructive et de la considérer même comme une aubaine. Afin de se donner l’opportunité et de dégager les moyens de réaliser les objectifs climatiques et en matière de biodiversité acceptés, les auteur-e-s du mandat demandent au Conseil d’Etat de prendre une liste de 10 dispositions particulières dans le cadre du plan d’assainissement des finances de l’Etat.</w:t>
      </w:r>
    </w:p>
    <w:p w14:paraId="049DB552" w14:textId="4F04863C" w:rsidR="00D67FAA" w:rsidRPr="00FE3A13" w:rsidRDefault="0009197A" w:rsidP="00E81A5A">
      <w:pPr>
        <w:pStyle w:val="Corpsdetexte"/>
      </w:pPr>
      <w:r w:rsidRPr="00FE3A13">
        <w:t>Le Conseil d’Etat constate que les mesures proposées dans le cadre du mandat ne correspondent pour la plupart pas à celles qu’il propose de mettre en œuvre dans le cadre du PAFE 26-28. Il partage certes les préoccupations exprimées quant la durée d’utilisation du matériel informatique et du parc automobile et la volonté de baisser la consommation énergétique générale des bâtiments de l’Etat mais entend y donner suite dans le cadre de son action courante et sur la durée, plutôt que dans le cadre d’un plan d’assainissement. Le Conseil d’Etat est en outre sur le principe d’accord avec l’idée de réduire les déductions fiscales pour les trajets en transport individuel motorisé, mais propose de fixer le nouveau plafond à 8'000 francs au lieu des 3'000 évoqués dans le mandat.</w:t>
      </w:r>
    </w:p>
    <w:p w14:paraId="0D6AD984" w14:textId="050498F2" w:rsidR="0009197A" w:rsidRPr="00FE3A13" w:rsidRDefault="0009197A" w:rsidP="00E81A5A">
      <w:pPr>
        <w:pStyle w:val="Corpsdetexte"/>
      </w:pPr>
      <w:r w:rsidRPr="00FE3A13">
        <w:t>Compte tenu de ce qui précède, le Conseil d’Etat propose</w:t>
      </w:r>
      <w:r w:rsidR="00033A00" w:rsidRPr="00FE3A13">
        <w:t>ra</w:t>
      </w:r>
      <w:r w:rsidRPr="00FE3A13">
        <w:t xml:space="preserve"> au Grand Conseil d</w:t>
      </w:r>
      <w:r w:rsidR="0080618A">
        <w:t>’accepter partiellement</w:t>
      </w:r>
      <w:r w:rsidRPr="00FE3A13">
        <w:t xml:space="preserve"> le mandat 2025-GC-55.</w:t>
      </w:r>
    </w:p>
    <w:p w14:paraId="04D22421" w14:textId="4E1B633D" w:rsidR="0001598C" w:rsidRPr="00FE3A13" w:rsidRDefault="0001598C" w:rsidP="0001598C">
      <w:pPr>
        <w:pStyle w:val="Titre3"/>
      </w:pPr>
      <w:bookmarkStart w:id="117" w:name="_Toc195715345"/>
      <w:r w:rsidRPr="00FE3A13">
        <w:t>Motion</w:t>
      </w:r>
      <w:r w:rsidR="00037465">
        <w:t xml:space="preserve"> « Bon pour le climat et les caisses de l’Etat »</w:t>
      </w:r>
      <w:r w:rsidRPr="00FE3A13">
        <w:t xml:space="preserve"> </w:t>
      </w:r>
      <w:r w:rsidR="00037465">
        <w:t>(</w:t>
      </w:r>
      <w:r w:rsidRPr="00FE3A13">
        <w:t>2025-GC-70</w:t>
      </w:r>
      <w:r w:rsidR="00037465">
        <w:t>)</w:t>
      </w:r>
      <w:bookmarkEnd w:id="117"/>
    </w:p>
    <w:p w14:paraId="6AB0A08B" w14:textId="37AE140F" w:rsidR="00AB474F" w:rsidRPr="00FE3A13" w:rsidRDefault="00D67FAA" w:rsidP="00AB474F">
      <w:pPr>
        <w:pStyle w:val="Corpsdetexte"/>
      </w:pPr>
      <w:r w:rsidRPr="00FE3A13">
        <w:t>La motion « Bon pour le climat et les caisses de l’Etat »</w:t>
      </w:r>
      <w:r w:rsidR="0097544B" w:rsidRPr="00FE3A13">
        <w:t xml:space="preserve"> (2025-GC-70)</w:t>
      </w:r>
      <w:r w:rsidRPr="00FE3A13">
        <w:t xml:space="preserve"> déposée le 3 mars 2025 propose de modifier l’article 27</w:t>
      </w:r>
      <w:r w:rsidR="00A70653" w:rsidRPr="00FE3A13">
        <w:rPr>
          <w:vertAlign w:val="superscript"/>
        </w:rPr>
        <w:t xml:space="preserve"> </w:t>
      </w:r>
      <w:r w:rsidR="00A70653" w:rsidRPr="00FE3A13">
        <w:t>al. 1 let. a</w:t>
      </w:r>
      <w:r w:rsidRPr="00FE3A13">
        <w:t xml:space="preserve"> de la loi du 6 juin 2000 sur les impôts cantonaux </w:t>
      </w:r>
      <w:r w:rsidR="00A70653" w:rsidRPr="00FE3A13">
        <w:t>(</w:t>
      </w:r>
      <w:r w:rsidRPr="00FE3A13">
        <w:t>LICD</w:t>
      </w:r>
      <w:r w:rsidR="00A70653" w:rsidRPr="00FE3A13">
        <w:t>) afin de contribuer à l’assainissement des finances cantonales et aux objectifs climatiques. La disposition en question concerne les déductions des frais professionnels relatifs aux déplacements nécessaires entre le domicile et le lieu de travail. Les motionnaires demande</w:t>
      </w:r>
      <w:r w:rsidR="006B10ED" w:rsidRPr="00FE3A13">
        <w:t>nt</w:t>
      </w:r>
      <w:r w:rsidR="00A70653" w:rsidRPr="00FE3A13">
        <w:t xml:space="preserve"> de plafonner ces déductions à 4'000 francs par an, équivalent plus ou moins au prix d’un abonnement général des CFF, au lieu des 12'000 francs actuellement en vigueur. Ils demandent en outre, dans l’idée d’inciter davantage au report modal, d’augmenter à 1'000 francs pour les déplacements à vélo.</w:t>
      </w:r>
    </w:p>
    <w:p w14:paraId="666F98D9" w14:textId="69E31CD2" w:rsidR="00A70653" w:rsidRPr="00FE3A13" w:rsidRDefault="003715DA" w:rsidP="00AB474F">
      <w:pPr>
        <w:pStyle w:val="Corpsdetexte"/>
      </w:pPr>
      <w:r w:rsidRPr="00FE3A13">
        <w:lastRenderedPageBreak/>
        <w:t>Comme indiqué précédemment, le Conseil d’Etat se rallie sur le principe à la proposition de réduire les déductions fiscales des frais professionnels relatifs aux déplacements avec des moyens de transports individuels motorisés entre le domicile et le lieu de travail, mais propose de fixer le plafond des déductions à 8'000 francs par année au lieu des 4'000 proposés par les motionnaires. Le Conseil d’Etat n’entend pas contre pas entrer en matière sur une augmentation de déduction accordée pour les déplacements à vélo dans le cadre du PAFE. Une telle mesure, qui engendrerait des pertes fiscales, serait incompatible avec les objectifs d’un plan d’assainissement des finances.</w:t>
      </w:r>
    </w:p>
    <w:p w14:paraId="44C688F8" w14:textId="1C6C3683" w:rsidR="00033A00" w:rsidRPr="00FE3A13" w:rsidRDefault="00033A00" w:rsidP="00AB474F">
      <w:pPr>
        <w:pStyle w:val="Corpsdetexte"/>
      </w:pPr>
      <w:r w:rsidRPr="00FE3A13">
        <w:t>Compte tenu de ce qui précède, le Conseil proposera au Grand Conseil d</w:t>
      </w:r>
      <w:r w:rsidR="0080618A">
        <w:t>’accepter partiellement</w:t>
      </w:r>
      <w:r w:rsidRPr="00FE3A13">
        <w:t xml:space="preserve"> la motion, tout en soulignant qu’il prévoit déjà une mesure de réduction des déductions fiscale</w:t>
      </w:r>
      <w:r w:rsidR="001F73D7" w:rsidRPr="00FE3A13">
        <w:t>s</w:t>
      </w:r>
      <w:r w:rsidRPr="00FE3A13">
        <w:t xml:space="preserve"> pour les déplacements entre le domicile et le lieu de travail allant dans le sens de la volonté des motionnaires.</w:t>
      </w:r>
    </w:p>
    <w:p w14:paraId="463F6C79" w14:textId="6ADA9708" w:rsidR="00086338" w:rsidRPr="00FE3A13" w:rsidRDefault="00086338" w:rsidP="00086338">
      <w:pPr>
        <w:pStyle w:val="Titre3"/>
      </w:pPr>
      <w:bookmarkStart w:id="118" w:name="_Toc195715346"/>
      <w:r w:rsidRPr="00FE3A13">
        <w:t xml:space="preserve">Mandat </w:t>
      </w:r>
      <w:r w:rsidR="00037465">
        <w:t>« Mesures d’économies : la classe politique doit donner l’exemple » (</w:t>
      </w:r>
      <w:r w:rsidRPr="00FE3A13">
        <w:t>2025-GC-94</w:t>
      </w:r>
      <w:r w:rsidR="00037465">
        <w:t>)</w:t>
      </w:r>
      <w:bookmarkEnd w:id="118"/>
    </w:p>
    <w:p w14:paraId="49CCFECF" w14:textId="538468F2" w:rsidR="00086338" w:rsidRPr="00FE3A13" w:rsidRDefault="00086338" w:rsidP="00086338">
      <w:pPr>
        <w:pStyle w:val="Corpsdetexte"/>
      </w:pPr>
      <w:r w:rsidRPr="00FE3A13">
        <w:t xml:space="preserve">Dans le cadre des mesures prises pour faire face à la situation exceptionnelle engendrée par le COVID-19, il avait été décidé d’augmenter à 500'000 francs les subventions accordées aux partis politiques </w:t>
      </w:r>
      <w:r w:rsidR="0097544B" w:rsidRPr="00FE3A13">
        <w:t>dans les années électorales</w:t>
      </w:r>
      <w:r w:rsidRPr="00FE3A13">
        <w:t>. Déposé le 27 mars 2025, le mandat « Mesures d’économie</w:t>
      </w:r>
      <w:r w:rsidR="0097544B" w:rsidRPr="00FE3A13">
        <w:t>s</w:t>
      </w:r>
      <w:r w:rsidRPr="00FE3A13">
        <w:t> : la classe politique doit donner l’exemple »</w:t>
      </w:r>
      <w:r w:rsidR="0097544B" w:rsidRPr="00FE3A13">
        <w:t xml:space="preserve"> (2025-GC-94)</w:t>
      </w:r>
      <w:r w:rsidR="00E52162" w:rsidRPr="00FE3A13">
        <w:t xml:space="preserve"> demande que la participation financière de l’Etat aux frais de campagnes électorales soit ramené</w:t>
      </w:r>
      <w:r w:rsidR="0097544B" w:rsidRPr="00FE3A13">
        <w:t>e</w:t>
      </w:r>
      <w:r w:rsidR="00E52162" w:rsidRPr="00FE3A13">
        <w:t xml:space="preserve"> à 250'000 francs. Il s’agirait ainsi de démontrer que la classe politique prend pleinement conscien</w:t>
      </w:r>
      <w:r w:rsidR="00B2570A">
        <w:t>c</w:t>
      </w:r>
      <w:r w:rsidR="00E52162" w:rsidRPr="00FE3A13">
        <w:t>e des réalités financières actuelles. Pour les auteurs du mandat, montrer ainsi l’exemple enverrait un signal fort envers les contribuables, qui fournissent déjà de nombreux efforts, et permettrait de renforcer la confiance entre la population et ses élus. Elle attesterait aussi d’une volonté de prioriser les dépenses véritablement essentielles au bénéfice de la population.</w:t>
      </w:r>
    </w:p>
    <w:p w14:paraId="25106B35" w14:textId="22CFB37F" w:rsidR="00086338" w:rsidRPr="00FE3A13" w:rsidRDefault="0097544B" w:rsidP="00086338">
      <w:pPr>
        <w:pStyle w:val="Corpsdetexte"/>
      </w:pPr>
      <w:r w:rsidRPr="00FE3A13">
        <w:t>Le Conseil d’Etat avait déjà retenu avant le dépôt de ce mandat une mesure permettant de réduire la participation de l’Etat aux frais de c</w:t>
      </w:r>
      <w:r w:rsidR="00033A00" w:rsidRPr="00FE3A13">
        <w:t>a</w:t>
      </w:r>
      <w:r w:rsidRPr="00FE3A13">
        <w:t>mpagnes électorales à raison d’environ 118'000 francs en 2026 et 2027. Il propose de s’en tenir à cette mesure qui va dans le sens du mandat déposé</w:t>
      </w:r>
      <w:r w:rsidR="00386639" w:rsidRPr="00FE3A13">
        <w:t xml:space="preserve"> et de considérer qu’il a ainsi été donné suite à ce dernier.</w:t>
      </w:r>
    </w:p>
    <w:p w14:paraId="3D9950A1" w14:textId="54CE7A04" w:rsidR="0001598C" w:rsidRPr="00FE3A13" w:rsidRDefault="0001598C" w:rsidP="0001598C">
      <w:pPr>
        <w:pStyle w:val="Titre1"/>
      </w:pPr>
      <w:bookmarkStart w:id="119" w:name="_Toc195715347"/>
      <w:bookmarkStart w:id="120" w:name="_Toc195715348"/>
      <w:bookmarkStart w:id="121" w:name="_Toc195715349"/>
      <w:bookmarkStart w:id="122" w:name="_Toc195715350"/>
      <w:bookmarkStart w:id="123" w:name="_Toc195715351"/>
      <w:bookmarkStart w:id="124" w:name="_Toc195715352"/>
      <w:bookmarkStart w:id="125" w:name="_Toc195715353"/>
      <w:bookmarkStart w:id="126" w:name="_Toc195715354"/>
      <w:bookmarkStart w:id="127" w:name="_Toc195715355"/>
      <w:bookmarkStart w:id="128" w:name="_Toc195715356"/>
      <w:bookmarkEnd w:id="119"/>
      <w:bookmarkEnd w:id="120"/>
      <w:bookmarkEnd w:id="121"/>
      <w:bookmarkEnd w:id="122"/>
      <w:bookmarkEnd w:id="123"/>
      <w:bookmarkEnd w:id="124"/>
      <w:bookmarkEnd w:id="125"/>
      <w:bookmarkEnd w:id="126"/>
      <w:bookmarkEnd w:id="127"/>
      <w:r w:rsidRPr="00FE3A13">
        <w:t>Commentaire des modifications légales</w:t>
      </w:r>
      <w:bookmarkEnd w:id="128"/>
    </w:p>
    <w:p w14:paraId="1C432281" w14:textId="77777777" w:rsidR="0001598C" w:rsidRPr="00FE3A13" w:rsidRDefault="0001598C" w:rsidP="0001598C">
      <w:pPr>
        <w:pStyle w:val="Tiret"/>
      </w:pP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t>—</w:t>
      </w:r>
    </w:p>
    <w:p w14:paraId="53E8BBD4" w14:textId="3C9B7D53" w:rsidR="00150C3B" w:rsidRPr="00FE3A13" w:rsidRDefault="000B56C5" w:rsidP="000B56C5">
      <w:r w:rsidRPr="00FE3A13">
        <w:t xml:space="preserve">Les mesures de la compétence du Grand Conseil, </w:t>
      </w:r>
      <w:r w:rsidR="002373F5">
        <w:t>présentées</w:t>
      </w:r>
      <w:r w:rsidRPr="00FE3A13">
        <w:t xml:space="preserve"> dans l</w:t>
      </w:r>
      <w:r w:rsidR="00CD1CB2">
        <w:t>a section 4.2</w:t>
      </w:r>
      <w:r w:rsidRPr="00FE3A13">
        <w:t>, entrainent des modifications légales. Les mesures ont été regroupé</w:t>
      </w:r>
      <w:r w:rsidR="001F73D7" w:rsidRPr="00FE3A13">
        <w:t>es</w:t>
      </w:r>
      <w:r w:rsidRPr="00FE3A13">
        <w:t xml:space="preserve"> selon les actes législatifs qu’elles modifiaient</w:t>
      </w:r>
      <w:r w:rsidR="00150C3B" w:rsidRPr="00FE3A13">
        <w:t>. Ceux-ci sont classé</w:t>
      </w:r>
      <w:r w:rsidR="001F73D7" w:rsidRPr="00FE3A13">
        <w:t>s</w:t>
      </w:r>
      <w:r w:rsidR="00150C3B" w:rsidRPr="00FE3A13">
        <w:t xml:space="preserve"> se</w:t>
      </w:r>
      <w:r w:rsidR="001F73D7" w:rsidRPr="00FE3A13">
        <w:t>lon leur numérotation RSF</w:t>
      </w:r>
      <w:r w:rsidR="00150C3B" w:rsidRPr="00FE3A13">
        <w:t>. Les commentaires sont</w:t>
      </w:r>
      <w:r w:rsidR="001F73D7" w:rsidRPr="00FE3A13">
        <w:t xml:space="preserve"> autant que</w:t>
      </w:r>
      <w:r w:rsidR="00150C3B" w:rsidRPr="00FE3A13">
        <w:t xml:space="preserve"> possible regroup</w:t>
      </w:r>
      <w:r w:rsidR="001F73D7" w:rsidRPr="00FE3A13">
        <w:t>és</w:t>
      </w:r>
      <w:r w:rsidR="00150C3B" w:rsidRPr="00FE3A13">
        <w:t xml:space="preserve"> par mesure afin de mieux pouvoir faire le lien avec l</w:t>
      </w:r>
      <w:r w:rsidR="00CD1CB2">
        <w:t>a section 4.2</w:t>
      </w:r>
      <w:r w:rsidRPr="00FE3A13">
        <w:t xml:space="preserve">. </w:t>
      </w:r>
    </w:p>
    <w:p w14:paraId="0BFFE218" w14:textId="77777777" w:rsidR="00DF52DA" w:rsidRPr="00FE3A13" w:rsidRDefault="000B56C5" w:rsidP="000B56C5">
      <w:r w:rsidRPr="00FE3A13">
        <w:t xml:space="preserve">A noter que </w:t>
      </w:r>
      <w:r w:rsidR="00DF52DA" w:rsidRPr="00FE3A13">
        <w:t>4</w:t>
      </w:r>
      <w:r w:rsidRPr="00FE3A13">
        <w:t xml:space="preserve"> mesures </w:t>
      </w:r>
      <w:r w:rsidR="001F73D7" w:rsidRPr="00FE3A13">
        <w:t xml:space="preserve">ne sont plus évoquées </w:t>
      </w:r>
      <w:r w:rsidRPr="00FE3A13">
        <w:t xml:space="preserve">dans la suite du chapitre. </w:t>
      </w:r>
    </w:p>
    <w:p w14:paraId="4BAB353D" w14:textId="77777777" w:rsidR="00DF52DA" w:rsidRPr="00FE3A13" w:rsidRDefault="000B56C5" w:rsidP="00DF52DA">
      <w:pPr>
        <w:pStyle w:val="08puces"/>
        <w:rPr>
          <w:sz w:val="21"/>
          <w:szCs w:val="21"/>
        </w:rPr>
      </w:pPr>
      <w:r w:rsidRPr="00FE3A13">
        <w:rPr>
          <w:sz w:val="21"/>
          <w:szCs w:val="21"/>
        </w:rPr>
        <w:t xml:space="preserve">La mesure </w:t>
      </w:r>
      <w:bookmarkStart w:id="129" w:name="_Hlk194571998"/>
      <w:r w:rsidR="001F73D7" w:rsidRPr="00FE3A13">
        <w:rPr>
          <w:sz w:val="21"/>
          <w:szCs w:val="21"/>
        </w:rPr>
        <w:t xml:space="preserve">prévoyant </w:t>
      </w:r>
      <w:r w:rsidR="00385EBB" w:rsidRPr="00FE3A13">
        <w:rPr>
          <w:sz w:val="21"/>
          <w:szCs w:val="21"/>
        </w:rPr>
        <w:t>l’</w:t>
      </w:r>
      <w:r w:rsidR="001F73D7" w:rsidRPr="00FE3A13">
        <w:rPr>
          <w:i/>
          <w:iCs/>
          <w:sz w:val="21"/>
          <w:szCs w:val="21"/>
        </w:rPr>
        <w:t>i</w:t>
      </w:r>
      <w:r w:rsidR="00385EBB" w:rsidRPr="00FE3A13">
        <w:rPr>
          <w:i/>
          <w:iCs/>
          <w:sz w:val="21"/>
          <w:szCs w:val="21"/>
        </w:rPr>
        <w:t>ntroduction d’une taxe sur les volumes extraits des sites de gravières</w:t>
      </w:r>
      <w:bookmarkEnd w:id="129"/>
      <w:r w:rsidR="00385EBB" w:rsidRPr="00FE3A13">
        <w:rPr>
          <w:sz w:val="21"/>
          <w:szCs w:val="21"/>
        </w:rPr>
        <w:t xml:space="preserve"> </w:t>
      </w:r>
      <w:r w:rsidR="001F73D7" w:rsidRPr="00FE3A13">
        <w:rPr>
          <w:sz w:val="21"/>
          <w:szCs w:val="21"/>
        </w:rPr>
        <w:t xml:space="preserve">doit faire l’objet d’une réflexion approfondie au niveau juridique qu’il n’a pas été possible de mener dans le délai d’élaboration du projet de PAFE. </w:t>
      </w:r>
      <w:r w:rsidR="00DF52DA" w:rsidRPr="00FE3A13">
        <w:rPr>
          <w:sz w:val="21"/>
          <w:szCs w:val="21"/>
        </w:rPr>
        <w:t>Elle</w:t>
      </w:r>
      <w:r w:rsidRPr="00FE3A13">
        <w:rPr>
          <w:sz w:val="21"/>
          <w:szCs w:val="21"/>
        </w:rPr>
        <w:t xml:space="preserve"> s’appliquera seulement depuis 2027. </w:t>
      </w:r>
    </w:p>
    <w:p w14:paraId="42AEBBE0" w14:textId="77777777" w:rsidR="00DF52DA" w:rsidRPr="00FE3A13" w:rsidRDefault="000B56C5" w:rsidP="00DF52DA">
      <w:pPr>
        <w:pStyle w:val="08puces"/>
        <w:rPr>
          <w:sz w:val="21"/>
          <w:szCs w:val="21"/>
        </w:rPr>
      </w:pPr>
      <w:r w:rsidRPr="00FE3A13">
        <w:rPr>
          <w:sz w:val="21"/>
          <w:szCs w:val="21"/>
        </w:rPr>
        <w:t>L</w:t>
      </w:r>
      <w:r w:rsidR="00DF52DA" w:rsidRPr="00FE3A13">
        <w:rPr>
          <w:sz w:val="21"/>
          <w:szCs w:val="21"/>
        </w:rPr>
        <w:t>a</w:t>
      </w:r>
      <w:r w:rsidRPr="00FE3A13">
        <w:rPr>
          <w:sz w:val="21"/>
          <w:szCs w:val="21"/>
        </w:rPr>
        <w:t xml:space="preserve"> mesure sur</w:t>
      </w:r>
      <w:r w:rsidR="00385EBB" w:rsidRPr="00FE3A13">
        <w:rPr>
          <w:sz w:val="21"/>
          <w:szCs w:val="21"/>
        </w:rPr>
        <w:t xml:space="preserve"> le</w:t>
      </w:r>
      <w:r w:rsidRPr="00FE3A13">
        <w:rPr>
          <w:sz w:val="21"/>
          <w:szCs w:val="21"/>
        </w:rPr>
        <w:t xml:space="preserve"> </w:t>
      </w:r>
      <w:bookmarkStart w:id="130" w:name="_Hlk194572009"/>
      <w:r w:rsidR="00EC6275" w:rsidRPr="00FE3A13">
        <w:rPr>
          <w:i/>
          <w:iCs/>
          <w:sz w:val="21"/>
          <w:szCs w:val="21"/>
        </w:rPr>
        <w:t>r</w:t>
      </w:r>
      <w:r w:rsidR="00385EBB" w:rsidRPr="00FE3A13">
        <w:rPr>
          <w:i/>
          <w:iCs/>
          <w:sz w:val="21"/>
          <w:szCs w:val="21"/>
        </w:rPr>
        <w:t>enoncement à la future prise en charge par l’Etat des frais d’expédition du vote par correspondance</w:t>
      </w:r>
      <w:bookmarkEnd w:id="130"/>
      <w:r w:rsidRPr="00FE3A13">
        <w:rPr>
          <w:sz w:val="21"/>
          <w:szCs w:val="21"/>
        </w:rPr>
        <w:t xml:space="preserve"> a déjà été validé</w:t>
      </w:r>
      <w:r w:rsidR="00385EBB" w:rsidRPr="00FE3A13">
        <w:rPr>
          <w:sz w:val="21"/>
          <w:szCs w:val="21"/>
        </w:rPr>
        <w:t>e</w:t>
      </w:r>
      <w:r w:rsidRPr="00FE3A13">
        <w:rPr>
          <w:sz w:val="21"/>
          <w:szCs w:val="21"/>
        </w:rPr>
        <w:t xml:space="preserve"> par le Grand Conseil le 27 mars </w:t>
      </w:r>
      <w:r w:rsidR="00DF52DA" w:rsidRPr="00FE3A13">
        <w:rPr>
          <w:sz w:val="21"/>
          <w:szCs w:val="21"/>
        </w:rPr>
        <w:t xml:space="preserve">dans le cadre d’une modification de la LEDP </w:t>
      </w:r>
      <w:r w:rsidRPr="00FE3A13">
        <w:rPr>
          <w:sz w:val="21"/>
          <w:szCs w:val="21"/>
        </w:rPr>
        <w:t xml:space="preserve">et ne nécessite pas d’autres </w:t>
      </w:r>
      <w:r w:rsidR="00150C3B" w:rsidRPr="00FE3A13">
        <w:rPr>
          <w:sz w:val="21"/>
          <w:szCs w:val="21"/>
        </w:rPr>
        <w:t>adaptations</w:t>
      </w:r>
      <w:r w:rsidRPr="00FE3A13">
        <w:rPr>
          <w:sz w:val="21"/>
          <w:szCs w:val="21"/>
        </w:rPr>
        <w:t>.</w:t>
      </w:r>
    </w:p>
    <w:p w14:paraId="49F8A225" w14:textId="37CB2FB2" w:rsidR="000B56C5" w:rsidRPr="00FE3A13" w:rsidRDefault="00DF52DA" w:rsidP="00DF52DA">
      <w:pPr>
        <w:pStyle w:val="08puces"/>
        <w:rPr>
          <w:sz w:val="21"/>
          <w:szCs w:val="21"/>
        </w:rPr>
      </w:pPr>
      <w:r w:rsidRPr="00FE3A13">
        <w:rPr>
          <w:sz w:val="21"/>
          <w:szCs w:val="21"/>
        </w:rPr>
        <w:t>L</w:t>
      </w:r>
      <w:r w:rsidR="000B56C5" w:rsidRPr="00FE3A13">
        <w:rPr>
          <w:sz w:val="21"/>
          <w:szCs w:val="21"/>
        </w:rPr>
        <w:t xml:space="preserve">a mesure </w:t>
      </w:r>
      <w:r w:rsidRPr="00FE3A13">
        <w:rPr>
          <w:sz w:val="21"/>
          <w:szCs w:val="21"/>
        </w:rPr>
        <w:t xml:space="preserve">portant </w:t>
      </w:r>
      <w:r w:rsidR="000B56C5" w:rsidRPr="00FE3A13">
        <w:rPr>
          <w:sz w:val="21"/>
          <w:szCs w:val="21"/>
        </w:rPr>
        <w:t xml:space="preserve">sur </w:t>
      </w:r>
      <w:bookmarkStart w:id="131" w:name="_Hlk194572024"/>
      <w:r w:rsidR="00385EBB" w:rsidRPr="00FE3A13">
        <w:rPr>
          <w:sz w:val="21"/>
          <w:szCs w:val="21"/>
        </w:rPr>
        <w:t>l’</w:t>
      </w:r>
      <w:r w:rsidR="00EC6275" w:rsidRPr="00FE3A13">
        <w:rPr>
          <w:i/>
          <w:iCs/>
          <w:sz w:val="21"/>
          <w:szCs w:val="21"/>
        </w:rPr>
        <w:t>a</w:t>
      </w:r>
      <w:r w:rsidR="00385EBB" w:rsidRPr="00FE3A13">
        <w:rPr>
          <w:i/>
          <w:iCs/>
          <w:sz w:val="21"/>
          <w:szCs w:val="21"/>
        </w:rPr>
        <w:t>ugmentation du revenu considéré dans le calcul des bourses d'étude et considérer le revenu de l'autre parent en cas de concubinage avec un enfant</w:t>
      </w:r>
      <w:r w:rsidR="00385EBB" w:rsidRPr="00FE3A13">
        <w:rPr>
          <w:sz w:val="21"/>
          <w:szCs w:val="21"/>
        </w:rPr>
        <w:t xml:space="preserve"> </w:t>
      </w:r>
      <w:bookmarkEnd w:id="131"/>
      <w:r w:rsidR="00EC6275" w:rsidRPr="00FE3A13">
        <w:rPr>
          <w:sz w:val="21"/>
          <w:szCs w:val="21"/>
        </w:rPr>
        <w:t>est intégrée à</w:t>
      </w:r>
      <w:r w:rsidRPr="00FE3A13">
        <w:rPr>
          <w:sz w:val="21"/>
          <w:szCs w:val="21"/>
        </w:rPr>
        <w:t xml:space="preserve"> la </w:t>
      </w:r>
      <w:r w:rsidR="000B56C5" w:rsidRPr="00FE3A13">
        <w:rPr>
          <w:sz w:val="21"/>
          <w:szCs w:val="21"/>
        </w:rPr>
        <w:t xml:space="preserve">procédure </w:t>
      </w:r>
      <w:r w:rsidR="00EC6275" w:rsidRPr="00FE3A13">
        <w:rPr>
          <w:sz w:val="21"/>
          <w:szCs w:val="21"/>
        </w:rPr>
        <w:t xml:space="preserve">de révision de la LBPE </w:t>
      </w:r>
      <w:r w:rsidR="000B56C5" w:rsidRPr="00FE3A13">
        <w:rPr>
          <w:sz w:val="21"/>
          <w:szCs w:val="21"/>
        </w:rPr>
        <w:t>en cours.</w:t>
      </w:r>
    </w:p>
    <w:p w14:paraId="381935D8" w14:textId="60853A77" w:rsidR="00DF52DA" w:rsidRPr="00FE3A13" w:rsidRDefault="00DF52DA" w:rsidP="00DF52DA">
      <w:pPr>
        <w:pStyle w:val="08puces"/>
        <w:rPr>
          <w:sz w:val="21"/>
          <w:szCs w:val="21"/>
        </w:rPr>
      </w:pPr>
      <w:r w:rsidRPr="00FE3A13">
        <w:rPr>
          <w:sz w:val="21"/>
          <w:szCs w:val="21"/>
        </w:rPr>
        <w:t xml:space="preserve">La mesure relative </w:t>
      </w:r>
      <w:r w:rsidR="00C375E1" w:rsidRPr="00FE3A13">
        <w:rPr>
          <w:sz w:val="21"/>
          <w:szCs w:val="21"/>
        </w:rPr>
        <w:t>au</w:t>
      </w:r>
      <w:r w:rsidRPr="00FE3A13">
        <w:rPr>
          <w:sz w:val="21"/>
          <w:szCs w:val="21"/>
        </w:rPr>
        <w:t xml:space="preserve"> report de la mise en œuvre du projet ENEO </w:t>
      </w:r>
      <w:r w:rsidR="00C375E1" w:rsidRPr="00FE3A13">
        <w:rPr>
          <w:sz w:val="21"/>
          <w:szCs w:val="21"/>
        </w:rPr>
        <w:t xml:space="preserve">doit faire l’objet d’examens complémentaires et </w:t>
      </w:r>
      <w:r w:rsidRPr="00FE3A13">
        <w:rPr>
          <w:sz w:val="21"/>
          <w:szCs w:val="21"/>
        </w:rPr>
        <w:t>ne pourra être concrétisée que lorsque les travaux de la commission parlementaire traitant actuellement de ce projet auront abouti.</w:t>
      </w:r>
    </w:p>
    <w:p w14:paraId="191C3919" w14:textId="77777777" w:rsidR="00E26DBC" w:rsidRPr="00FE3A13" w:rsidRDefault="00E26DBC" w:rsidP="00E26DBC">
      <w:pPr>
        <w:pStyle w:val="Titre2"/>
      </w:pPr>
      <w:bookmarkStart w:id="132" w:name="_Toc195715357"/>
      <w:r w:rsidRPr="00FE3A13">
        <w:t>La modification de la loi sur le droit de cité (LDCF)</w:t>
      </w:r>
      <w:bookmarkEnd w:id="132"/>
    </w:p>
    <w:p w14:paraId="6AC7284E" w14:textId="77777777" w:rsidR="00E26DBC" w:rsidRPr="00FE3A13" w:rsidRDefault="00E26DBC" w:rsidP="00E26DBC">
      <w:pPr>
        <w:pStyle w:val="Titre3"/>
      </w:pPr>
      <w:bookmarkStart w:id="133" w:name="_Toc195715358"/>
      <w:r w:rsidRPr="00FE3A13">
        <w:t>Informations générales</w:t>
      </w:r>
      <w:bookmarkEnd w:id="133"/>
    </w:p>
    <w:p w14:paraId="75622953" w14:textId="77777777" w:rsidR="00E26DBC" w:rsidRPr="00FE3A13" w:rsidRDefault="00E26DBC" w:rsidP="00E26DBC">
      <w:pPr>
        <w:pStyle w:val="Corpsdetexte"/>
      </w:pPr>
      <w:r w:rsidRPr="00FE3A13">
        <w:rPr>
          <w:b/>
          <w:bCs/>
        </w:rPr>
        <w:t xml:space="preserve">&gt; </w:t>
      </w:r>
      <w:r w:rsidRPr="00FE3A13">
        <w:rPr>
          <w:b/>
          <w:bCs/>
        </w:rPr>
        <w:tab/>
        <w:t>Modification de la procédure de naturalisation ordinaire</w:t>
      </w:r>
    </w:p>
    <w:p w14:paraId="51D8520F" w14:textId="78366267" w:rsidR="00E26DBC" w:rsidRPr="00FE3A13" w:rsidRDefault="00E26DBC" w:rsidP="00E26DBC">
      <w:r w:rsidRPr="00FE3A13">
        <w:lastRenderedPageBreak/>
        <w:t>La présente révision de la loi</w:t>
      </w:r>
      <w:r w:rsidR="00EC6275" w:rsidRPr="00FE3A13">
        <w:t xml:space="preserve"> </w:t>
      </w:r>
      <w:r w:rsidRPr="00FE3A13">
        <w:t>affiche la volonté d’alléger le processus décisionnel en supprimant l’audition des personnes candidates à la naturalisation par la Commission des naturalisations du Grand Conseil. Cette commission est, de toutes les commissions du Grand Conseil, celle qui siège le plus souvent. La suppression de cette audition a pour objet principal de permettre des économies financières substantielles et comme conséquence de renforcer le rôle des auditions communales qui seront les seules à subsister dans le processus de naturalisation, avec l’audition effectuée en début de procédure par le Service de l’état civil et des naturalisations (SENa) lors de l’établissement du rapport d’enquête.</w:t>
      </w:r>
    </w:p>
    <w:p w14:paraId="72D0DB7E" w14:textId="33D68AC4" w:rsidR="00E26DBC" w:rsidRPr="00FE3A13" w:rsidRDefault="00E26DBC" w:rsidP="00E26DBC">
      <w:r w:rsidRPr="00FE3A13">
        <w:t>Au cours de l’année 2024 la Commission des naturalisations a siégé à 57 reprises, pour un coût total de plus de 88'000 francs, auquel s’ajoute les divers frais des membres de la commission. Ce seul chiffre illustre les économies qui pourront être réalisées au fil des années, à l’heure où le canton doit faire des efforts pour limiter ses dépenses.</w:t>
      </w:r>
    </w:p>
    <w:p w14:paraId="51816D01" w14:textId="77777777" w:rsidR="00E26DBC" w:rsidRPr="00FE3A13" w:rsidRDefault="00E26DBC" w:rsidP="00E26DBC">
      <w:r w:rsidRPr="00FE3A13">
        <w:t>L’octroi de la compétence d’octroyer, ou non, le droit de cité cantonal et partant la nationalité suisse au Conseil d’Etat, autorité exécutive, n’est en soi pas nouvelle ni originale. En effet, dans quasi la totalité des cantons romands, cette compétence relève déjà des gouvernements. Ainsi, dans les cantons de Vaud, de Neuchâtel, du Jura et de Genève cette compétence relève déjà de l’exécutif cantonal. Dans les cantons du Valais, elle relève encore du Grand Conseil. Toutefois, le canton du Valais est actuellement en train de réviser sa loi et prévoit de transférer cette compétence au Conseil d’Etat. Le canton de Berne quant à lui va même plus loin puisque cette compétence a été déléguée par le Conseil exécutif au Conseiller d’Etat en charge du département responsable des naturalisations.</w:t>
      </w:r>
    </w:p>
    <w:p w14:paraId="6D3F9F7E" w14:textId="77777777" w:rsidR="00E26DBC" w:rsidRPr="00FE3A13" w:rsidRDefault="00E26DBC" w:rsidP="00E26DBC">
      <w:r w:rsidRPr="00FE3A13">
        <w:t>Outre les économies mentionnées précédemment portant sur les indemnités et les frais de fonctionnement de la Commission des naturalisations, le présent projet de loi permettra de libérer des ressources du SENa actuellement chargées de la préparation des décrets de naturalisation et l’organisation des auditions des personnes requérant la naturalisation. Etant donné l’augmentation constante des procédures de naturalisation, il devrait ainsi permettre de limiter le besoin en ressources supplémentaires dans les années à venir. La modification de la procédure allègera en outre la charge du Secrétariat du Grand Conseil chargé d’accompagner le processus parlementaire.</w:t>
      </w:r>
    </w:p>
    <w:p w14:paraId="3CD6A6B3" w14:textId="77777777" w:rsidR="00E26DBC" w:rsidRPr="00FE3A13" w:rsidRDefault="00E26DBC" w:rsidP="00E26DBC">
      <w:pPr>
        <w:pStyle w:val="Titre3"/>
      </w:pPr>
      <w:bookmarkStart w:id="134" w:name="_Toc195715359"/>
      <w:r w:rsidRPr="00FE3A13">
        <w:t>Commentaires des articles de la modification légale</w:t>
      </w:r>
      <w:bookmarkEnd w:id="134"/>
    </w:p>
    <w:p w14:paraId="11C5F9AC" w14:textId="77777777" w:rsidR="00E26DBC" w:rsidRPr="00FE3A13" w:rsidRDefault="00E26DBC" w:rsidP="00E26DBC">
      <w:pPr>
        <w:pStyle w:val="TitreArticleloi"/>
      </w:pPr>
      <w:r w:rsidRPr="00FE3A13">
        <w:t>Art. 19</w:t>
      </w:r>
    </w:p>
    <w:p w14:paraId="7307EA63" w14:textId="77777777" w:rsidR="00E26DBC" w:rsidRPr="00FE3A13" w:rsidRDefault="00E26DBC" w:rsidP="00E26DBC">
      <w:pPr>
        <w:rPr>
          <w:i/>
          <w:iCs/>
        </w:rPr>
      </w:pPr>
      <w:r w:rsidRPr="00FE3A13">
        <w:t>Le premier alinéa précise que dès la délivrance du droit de cité communal et l’octroi de l’autorisation fédérale de naturalisation, le dossier est transmis à la Direction. Ainsi, le SENa pourra directement transmettre à sa Direction le dossier du requérant et un projet d’arrêté de naturalisation. La procédure ne suivra plus le processus de transmission des objets au pouvoir législatif. Outre la simplification du processus, cette façon de faire aura ainsi le grand avantage de raccourcir considérablement les délais de naturalisation puisque les dossiers ne seront plus soumis au processus parlementaire, plus lent et comme indiqué précédemment plus onéreux. Il est à relever que la suppression de ce processus parlementaire permettra de raccourcir la durée des procédures ordinaires d’environ 8 mois.</w:t>
      </w:r>
    </w:p>
    <w:p w14:paraId="11B7CCEE" w14:textId="77777777" w:rsidR="00E26DBC" w:rsidRPr="00FE3A13" w:rsidRDefault="00E26DBC" w:rsidP="00E26DBC">
      <w:pPr>
        <w:rPr>
          <w:i/>
          <w:iCs/>
        </w:rPr>
      </w:pPr>
      <w:r w:rsidRPr="00FE3A13">
        <w:t>L’alinéa 2 accorde la compétence finale d’octroi du droit de cité cantonal et partant de la nationalité suisse au Conseil d’Etat. Il est quand même précisé que la DIAF devra émettre un préavis à l’intention du Conseil d’Etat. Cela signifie que concrètement la DIAF, par ses services généraux, devra examiner les dossiers pour forger sa conviction et juger du bien-fondé d’octroyer la nationalité suisse. Ainsi, la motivation des éventuelles décisions négatives sera faite directement par la DIAF tout comme la recommandation de retirer le dossier pour éviter une décision formelle de refus, comme cela se fait déjà actuellement, au niveau de la Commission des naturalisations du Grand Conseil, s’il est considéré que certaines conditions de naturalisation sont lacunaires.</w:t>
      </w:r>
    </w:p>
    <w:p w14:paraId="533D8EC4" w14:textId="77777777" w:rsidR="00E26DBC" w:rsidRPr="00FE3A13" w:rsidRDefault="00E26DBC" w:rsidP="00E26DBC">
      <w:pPr>
        <w:pStyle w:val="TitreArticleloi"/>
      </w:pPr>
      <w:r w:rsidRPr="00FE3A13">
        <w:t>Art. 20</w:t>
      </w:r>
    </w:p>
    <w:p w14:paraId="7B9AD9E7" w14:textId="77777777" w:rsidR="00E26DBC" w:rsidRPr="00FE3A13" w:rsidRDefault="00E26DBC" w:rsidP="00E26DBC">
      <w:r w:rsidRPr="00FE3A13">
        <w:t>Cette disposition traitait le déroulement de la procédure de naturalisation par le Grand Conseil. La présente révision supprimant la compétence du pouvoir législatif dans le domaine, cette disposition n’est plus nécessaire et elle est donc abrogée.</w:t>
      </w:r>
    </w:p>
    <w:p w14:paraId="7EA677EA" w14:textId="77777777" w:rsidR="00E26DBC" w:rsidRPr="00FE3A13" w:rsidRDefault="00E26DBC" w:rsidP="00E26DBC">
      <w:pPr>
        <w:pStyle w:val="TitreArticleloi"/>
      </w:pPr>
      <w:r w:rsidRPr="00FE3A13">
        <w:lastRenderedPageBreak/>
        <w:t>Art. 21</w:t>
      </w:r>
    </w:p>
    <w:p w14:paraId="535335BB" w14:textId="77777777" w:rsidR="00E26DBC" w:rsidRPr="00FE3A13" w:rsidRDefault="00E26DBC" w:rsidP="00E26DBC">
      <w:r w:rsidRPr="00FE3A13">
        <w:t xml:space="preserve">L’article 21 concerne la publication des décrets du Grand Conseil en matière de naturalisations. Dans la mesure où le Pouvoir législatif n’est plus compétent en la matière, cette disposition ne se justifie plus et doit être simplement supprimée. </w:t>
      </w:r>
    </w:p>
    <w:p w14:paraId="3A412C2A" w14:textId="77777777" w:rsidR="00E26DBC" w:rsidRPr="00FE3A13" w:rsidRDefault="00E26DBC" w:rsidP="00E26DBC">
      <w:r w:rsidRPr="00FE3A13">
        <w:t>Toutefois, il convient de préciser que le nombre de procédures de naturalisations et le nombre des personnes concernées continueront à être publiées dans le cadre des rapports d’activités du Conseil d’Etat, selon l’usage en cours.</w:t>
      </w:r>
    </w:p>
    <w:p w14:paraId="714809F1" w14:textId="77777777" w:rsidR="00E26DBC" w:rsidRPr="00FE3A13" w:rsidRDefault="00E26DBC" w:rsidP="00E26DBC">
      <w:pPr>
        <w:pStyle w:val="TitreArticleloi"/>
      </w:pPr>
      <w:r w:rsidRPr="00FE3A13">
        <w:t>Art. 22</w:t>
      </w:r>
    </w:p>
    <w:p w14:paraId="73B255B6" w14:textId="77777777" w:rsidR="00E26DBC" w:rsidRPr="00FE3A13" w:rsidRDefault="00E26DBC" w:rsidP="00E26DBC">
      <w:r w:rsidRPr="00FE3A13">
        <w:t>Cette disposition est une disposition qui permettait à la Commission des naturalisations du Grand Conseil de renoncer, en certaines circonstances, à auditionner les personnes de la deuxième génération. Avec la suppression de la compétence du Grand Conseil en la matière, il convient de supprimer cet article qui n’a plus de raison d’être. L’abrogation de cette disposition, tout comme l’article 20 également supprimé, résulte de la décision de principe de modifier le mode d’octroi du droit de cité cantonal et partant de la nationalité suisse.</w:t>
      </w:r>
    </w:p>
    <w:p w14:paraId="1B8F2E5E" w14:textId="77777777" w:rsidR="00E26DBC" w:rsidRPr="00FE3A13" w:rsidRDefault="00E26DBC" w:rsidP="00E26DBC">
      <w:pPr>
        <w:pStyle w:val="TitreArticleloi"/>
      </w:pPr>
      <w:r w:rsidRPr="00FE3A13">
        <w:t>Art. 23</w:t>
      </w:r>
    </w:p>
    <w:p w14:paraId="5EF27A61" w14:textId="77777777" w:rsidR="00E26DBC" w:rsidRPr="00FE3A13" w:rsidRDefault="00E26DBC" w:rsidP="00E26DBC">
      <w:r w:rsidRPr="00FE3A13">
        <w:t>L’article 23 al. 1 let. b de la loi prévoyait que les personnes confédérées demandant le droit de cité fribourgeois ne sont pas auditionnées par la Commission du Grand Conseil. Là encore, en raison de la modification des modalités de la procédure, le maintien de cette lettre n’est plus nécessaire et son abrogation logique. Il est à noter que l’alinéa 1 let. d de cet article prévoit déjà que l’octroi du droit de cité fribourgeois est du ressort du Conseil d’Etat. Avec la présente révision partielle, désormais toutes les décisions de naturalisation relèveront du seul Pouvoir exécutif.</w:t>
      </w:r>
    </w:p>
    <w:p w14:paraId="174DB7DA" w14:textId="77777777" w:rsidR="00E26DBC" w:rsidRPr="00FE3A13" w:rsidRDefault="00E26DBC" w:rsidP="00E26DBC">
      <w:pPr>
        <w:pStyle w:val="TitreArticleloi"/>
      </w:pPr>
      <w:r w:rsidRPr="00FE3A13">
        <w:t>Art. 24</w:t>
      </w:r>
    </w:p>
    <w:p w14:paraId="1B92ED28" w14:textId="77777777" w:rsidR="00E26DBC" w:rsidRPr="00FE3A13" w:rsidRDefault="00E26DBC" w:rsidP="00E26DBC">
      <w:r w:rsidRPr="00FE3A13">
        <w:t>Chaque décision de naturalisation doit être transcrite dans le registre suisse de l’état civil Infostar. Précédemment l’article 24 prévoyait que l’acquisition du droit de cité fribourgeois et de la nationalité suisse prenait effet à la date de l’adoption du décret de naturalisation par le Grand Conseil. Désormais l’entrée en force de la naturalisation prend effet à la date de l’adoption de l’arrêté du Conseil d’Etat. Sur le fond, cette modification est une simple adaptation de la loi au principe retenu d’octroyer la compétence pour les procédures de naturalisation au Conseil d’Etat.</w:t>
      </w:r>
    </w:p>
    <w:p w14:paraId="6EA0CB87" w14:textId="77777777" w:rsidR="00E26DBC" w:rsidRPr="00FE3A13" w:rsidRDefault="00E26DBC" w:rsidP="00E26DBC">
      <w:pPr>
        <w:pStyle w:val="TitreArticleloi"/>
      </w:pPr>
      <w:r w:rsidRPr="00FE3A13">
        <w:t>Art. 28</w:t>
      </w:r>
    </w:p>
    <w:p w14:paraId="29ACFC7F" w14:textId="77777777" w:rsidR="00E26DBC" w:rsidRPr="00FE3A13" w:rsidRDefault="00E26DBC" w:rsidP="00E26DBC">
      <w:r w:rsidRPr="00FE3A13">
        <w:t>La modification de cet article est une simple adaptation rédactionnelle en lien avec l’autorité compétente. Sur le fond, les modalités de paiement des émoluments de naturalisation ne sont pas modifiées. Ils devront toujours être payés avant la transmission du projet de décision à l’autorité compétente pour décider de l’octroi du droit de cité et partant de la nationalité suisse.</w:t>
      </w:r>
    </w:p>
    <w:p w14:paraId="6C5F50C0" w14:textId="77777777" w:rsidR="00E26DBC" w:rsidRPr="00FE3A13" w:rsidRDefault="00E26DBC" w:rsidP="00E26DBC">
      <w:pPr>
        <w:pStyle w:val="TitreArticleloi"/>
      </w:pPr>
      <w:r w:rsidRPr="00FE3A13">
        <w:t>Art. 40</w:t>
      </w:r>
    </w:p>
    <w:p w14:paraId="1FA9D3EE" w14:textId="77777777" w:rsidR="00E26DBC" w:rsidRPr="00FE3A13" w:rsidRDefault="00E26DBC" w:rsidP="00E26DBC">
      <w:r w:rsidRPr="00FE3A13">
        <w:t xml:space="preserve">L’alinéa 2 prévoit que le Conseil d’Etat est compétent, en application du droit fédéral, pour annuler une naturalisation ordinaire octroyée. Cette disposition respecte la logique de la théorie générale de la révocation des actes administratifs. Seul l’autorité compétente ayant pris une décision peut l’annuler si des faits ayant empêché la prise d’une telle décision sont découverts par après. Selon l’article 36 de la loi fédérale sur la nationalité suisse (LN), cette circonstance porte sur la découverte, après la naturalisation, de déclarations mensongères ou de faits essentiels dissimulés. En pareille circonstance l’autorité décisionnelle dispose selon le droit fédéral d’un délai de 8 ans pour prononcer une telle annulation. </w:t>
      </w:r>
    </w:p>
    <w:p w14:paraId="513426CE" w14:textId="77777777" w:rsidR="00E26DBC" w:rsidRPr="00FE3A13" w:rsidRDefault="00E26DBC" w:rsidP="00E26DBC">
      <w:r w:rsidRPr="00FE3A13">
        <w:t xml:space="preserve">Il est pour le surplus à relever que le SENa n’a jamais dû traiter d’une telle situation au cours des dernières décennies et il semble bien que jusqu’à ce jour le Grand Conseil n’a jamais eu à décider d’annuler une décision de naturalisation qu’il aurait prise. </w:t>
      </w:r>
    </w:p>
    <w:p w14:paraId="58C18267" w14:textId="77777777" w:rsidR="00E26DBC" w:rsidRPr="00FE3A13" w:rsidRDefault="00E26DBC" w:rsidP="00E26DBC">
      <w:pPr>
        <w:pStyle w:val="TitreArticleloi"/>
      </w:pPr>
      <w:r w:rsidRPr="00FE3A13">
        <w:t>Art. 43</w:t>
      </w:r>
    </w:p>
    <w:p w14:paraId="12B493E5" w14:textId="77777777" w:rsidR="00E26DBC" w:rsidRPr="00FE3A13" w:rsidRDefault="00E26DBC" w:rsidP="00E26DBC">
      <w:r w:rsidRPr="00FE3A13">
        <w:t xml:space="preserve">L’article 43 se trouve dans la section de la loi traitant de la procédure de naturalisation au niveau communal. Dans la mesure où la commission des naturalisations du Grand Conseil n’aura plus la compétence d’auditionner les personnes demandant la naturalisation, il a été jugé utile de renforcer le rôle des commissions communales des naturalisations. </w:t>
      </w:r>
    </w:p>
    <w:p w14:paraId="349A6FF0" w14:textId="77777777" w:rsidR="00E26DBC" w:rsidRPr="00FE3A13" w:rsidRDefault="00E26DBC" w:rsidP="00E26DBC">
      <w:r w:rsidRPr="00FE3A13">
        <w:lastRenderedPageBreak/>
        <w:t xml:space="preserve">Tout d’abord le nouvel alinéa 2 rappelle la règle générale que la commune veille à ce que les personnes requérantes soient auditionnées par la commission communale des naturalisations pour s’assurer de leur bonne intégration. L’alinéa 2, combiné à l’alinéa 3, prévoit ainsi que toutes les personnes de première génération devront obligatoirement être auditionnées au niveau communal, sans exception. En revanche, les dossiers des personnes de deuxième génération pourront être traités sur dossier, sous réserve que leur intégration soit parfaitement aboutie et que les personnes concernées soient favorablement connues des autorités communales. </w:t>
      </w:r>
    </w:p>
    <w:p w14:paraId="23C5296C" w14:textId="77777777" w:rsidR="00E26DBC" w:rsidRPr="00FE3A13" w:rsidRDefault="00E26DBC" w:rsidP="00E26DBC">
      <w:r w:rsidRPr="00FE3A13">
        <w:t xml:space="preserve">Cette dernière condition est nouvelle et aura un impact principalement pour les petites communes où les habitants se connaissent en principe davantage. Il va de soi que pour de plus grandes communes cette condition sera plus dure à vérifier mais même dans des chefs-lieux, on ne peut exclure que des personnes de la deuxième génération, impliquées d’une manière ou d’une autre dans la vie associative, culturelle, professionnelle voire même de la politique locale puissent malgré tout en bénéficier. Ainsi, le renoncement à l’audition d’une personne de la deuxième génération ne sera qu’une exception à la règle générale qui impose que les personnes requérant la nationalité suisse doivent être auditionnées, comme le prévoit l’article 43 al. 2. </w:t>
      </w:r>
    </w:p>
    <w:p w14:paraId="5DD2E8E7" w14:textId="77777777" w:rsidR="00E26DBC" w:rsidRPr="00FE3A13" w:rsidRDefault="00E26DBC" w:rsidP="00E26DBC">
      <w:r w:rsidRPr="00FE3A13">
        <w:t>La question de l’audition des personnes confédérées est reportée au nouvel article 3</w:t>
      </w:r>
      <w:r w:rsidRPr="00FE3A13">
        <w:rPr>
          <w:vertAlign w:val="superscript"/>
        </w:rPr>
        <w:t>bis</w:t>
      </w:r>
      <w:r w:rsidRPr="00FE3A13">
        <w:t>. C’est là une simple adaptation rédactionnelle qui ne modifie pas la pratique déjà existante. Les personnes confédérées n’ont pas à être auditionnées pour qu’on puisse juger de leur intégration, puisqu’elles ont déjà la nationalité suisse</w:t>
      </w:r>
    </w:p>
    <w:p w14:paraId="7F3DC97E" w14:textId="77777777" w:rsidR="00E26DBC" w:rsidRPr="00FE3A13" w:rsidRDefault="00E26DBC" w:rsidP="00E26DBC">
      <w:pPr>
        <w:pStyle w:val="TitreArticleloi"/>
      </w:pPr>
      <w:r w:rsidRPr="00FE3A13">
        <w:t>Art. 54</w:t>
      </w:r>
    </w:p>
    <w:p w14:paraId="0D91454C" w14:textId="2F621BFB" w:rsidR="00E26DBC" w:rsidRDefault="00E26DBC" w:rsidP="000B56C5">
      <w:r w:rsidRPr="00FE3A13">
        <w:t>Sur le principe cette disposition n’est pas nouvelle. Une décision de refus d’octroi du droit de cité et partant de la nationalité suisse impose un délai d’attente de 2 ans avant de pouvoir déposer une nouvelle demande. L’alinéa 2 est simplement adapté pour les cas de refus de la naturalisation décidés par le Conseil d’Etat. Cette modification est donc une simple adaptation rédactionnelle au principe du transfert de compétence du pouvoir législatif au pouvoir exécutif.</w:t>
      </w:r>
    </w:p>
    <w:p w14:paraId="2D196883" w14:textId="402A5D54" w:rsidR="00FF2462" w:rsidRPr="00FE3A13" w:rsidRDefault="00FF2462" w:rsidP="00FF2462">
      <w:pPr>
        <w:pStyle w:val="TitreArticleloi"/>
      </w:pPr>
      <w:r w:rsidRPr="00FE3A13">
        <w:t>Art. 5</w:t>
      </w:r>
      <w:r>
        <w:t>5</w:t>
      </w:r>
    </w:p>
    <w:p w14:paraId="02A3BB15" w14:textId="0E87E6CC" w:rsidR="00FF2462" w:rsidRDefault="00FF2462" w:rsidP="000B56C5">
      <w:r>
        <w:t>Le titre de la disposition a été adapté afin de distinguer la modification du 14 décembre 2017 de celle traitée dans le nouvel art. 55a.</w:t>
      </w:r>
    </w:p>
    <w:p w14:paraId="0AC13761" w14:textId="09182EFC" w:rsidR="00FF2462" w:rsidRPr="00FE3A13" w:rsidRDefault="00FF2462" w:rsidP="00FF2462">
      <w:pPr>
        <w:pStyle w:val="TitreArticleloi"/>
      </w:pPr>
      <w:r w:rsidRPr="00FE3A13">
        <w:t>Art. 5</w:t>
      </w:r>
      <w:r>
        <w:t>5a</w:t>
      </w:r>
    </w:p>
    <w:p w14:paraId="3EE88876" w14:textId="736450F6" w:rsidR="00FF2462" w:rsidRPr="00FE3A13" w:rsidRDefault="00FF2462" w:rsidP="000B56C5">
      <w:r>
        <w:t>Cette disposition précise</w:t>
      </w:r>
      <w:r w:rsidR="001836A5">
        <w:t xml:space="preserve"> que les modifications en lien avec le PAFE entrent en vigueur dès la nouvelle législature, à savoir le 1</w:t>
      </w:r>
      <w:r w:rsidR="001836A5" w:rsidRPr="00CF6A23">
        <w:rPr>
          <w:vertAlign w:val="superscript"/>
        </w:rPr>
        <w:t>er</w:t>
      </w:r>
      <w:r w:rsidR="001836A5">
        <w:t xml:space="preserve"> janvier 2027. Il a été décidé de mettre en place une solution simple pour le changement de pratique prévue par la modification législative. Ainsi, dans l’actuelle législature la Commission de naturalisation du Grand Conseil ne sera pas impactée dans son activité.</w:t>
      </w:r>
    </w:p>
    <w:p w14:paraId="2E7DCFA4" w14:textId="77777777" w:rsidR="00DB489E" w:rsidRPr="00FE3A13" w:rsidRDefault="00DB489E" w:rsidP="00DB489E">
      <w:pPr>
        <w:pStyle w:val="Titre2"/>
      </w:pPr>
      <w:bookmarkStart w:id="135" w:name="_Toc195715360"/>
      <w:r w:rsidRPr="00FE3A13">
        <w:t>La modification de la loi sur la participation de l’Etat aux frais de campagne électorale (LPFC)</w:t>
      </w:r>
      <w:bookmarkEnd w:id="135"/>
    </w:p>
    <w:p w14:paraId="2B93A510" w14:textId="77777777" w:rsidR="00DB489E" w:rsidRPr="00FE3A13" w:rsidRDefault="00DB489E" w:rsidP="00DB489E">
      <w:pPr>
        <w:pStyle w:val="Titre3"/>
      </w:pPr>
      <w:bookmarkStart w:id="136" w:name="_Toc195715361"/>
      <w:r w:rsidRPr="00FE3A13">
        <w:t>Informations générales</w:t>
      </w:r>
      <w:bookmarkEnd w:id="136"/>
    </w:p>
    <w:p w14:paraId="5A303286" w14:textId="77777777" w:rsidR="00DB489E" w:rsidRPr="00FE3A13" w:rsidRDefault="00DB489E" w:rsidP="00DB489E">
      <w:pPr>
        <w:pStyle w:val="Corpsdetexte"/>
        <w:rPr>
          <w:strike/>
        </w:rPr>
      </w:pPr>
      <w:r w:rsidRPr="00FE3A13">
        <w:rPr>
          <w:b/>
          <w:bCs/>
        </w:rPr>
        <w:t xml:space="preserve">&gt; </w:t>
      </w:r>
      <w:r w:rsidRPr="00FE3A13">
        <w:rPr>
          <w:b/>
          <w:bCs/>
        </w:rPr>
        <w:tab/>
        <w:t>Suppression de l’envoi du matériel de propagande électorale aux Suisses de l’Etranger</w:t>
      </w:r>
    </w:p>
    <w:p w14:paraId="0E0F6244" w14:textId="77777777" w:rsidR="00DB489E" w:rsidRPr="00FE3A13" w:rsidRDefault="00DB489E" w:rsidP="00DB489E">
      <w:pPr>
        <w:pStyle w:val="Corpsdetexte"/>
      </w:pPr>
      <w:r w:rsidRPr="00FE3A13">
        <w:t>La première partie consiste à supprimer l’envoi du matériel de propagande aux Suisses de l’étranger. Cet envoi à l’étranger est coûteux et fait souvent l’objet d’un retour à l’expéditeur à la suite d’un défaut de distribution. Il est proposé de remplacer l’envoi de l’enveloppe unique contenant le matériel de propagande des partis politiques et groupes de citoyens ayant déposé une liste à l’occasion des élections cantonales ou fédérale par l’ajout au matériel électoral d’une information (un flyer ou une mention sur la brochure explicative du Conseil d’Etat) indiquant l’ensemble des informations relatives à la publicité des partis politiques (disponible sur le site internet de l’Etat de Fribourg). L’accès à la page spécifique peut être simplifié par un code QR à scanner qui ouvre directement la page en question sur le site de l’Etat.</w:t>
      </w:r>
    </w:p>
    <w:p w14:paraId="7F397BED" w14:textId="77777777" w:rsidR="00DB489E" w:rsidRPr="00FE3A13" w:rsidRDefault="00DB489E" w:rsidP="00DB489E">
      <w:pPr>
        <w:pStyle w:val="Corpsdetexte"/>
      </w:pPr>
      <w:r w:rsidRPr="00FE3A13">
        <w:rPr>
          <w:b/>
          <w:bCs/>
        </w:rPr>
        <w:t xml:space="preserve">&gt; </w:t>
      </w:r>
      <w:r w:rsidRPr="00FE3A13">
        <w:rPr>
          <w:b/>
          <w:bCs/>
        </w:rPr>
        <w:tab/>
        <w:t>Réduction de la participation de l'Etat aux frais de campagne électorale</w:t>
      </w:r>
    </w:p>
    <w:p w14:paraId="5B544043" w14:textId="77777777" w:rsidR="00DB489E" w:rsidRPr="00FE3A13" w:rsidRDefault="00DB489E" w:rsidP="00DB489E">
      <w:pPr>
        <w:pStyle w:val="Corpsdetexte"/>
      </w:pPr>
      <w:r w:rsidRPr="00FE3A13">
        <w:t xml:space="preserve">La seconde partie consiste à réduire l'enveloppe accordée aux partis politiques lors des campagnes électorales qui avait été augmentée, pour donner suite à des demandes successives des partis politiques. Le calcul de l’enveloppe a </w:t>
      </w:r>
      <w:r w:rsidRPr="00FE3A13">
        <w:lastRenderedPageBreak/>
        <w:t>été formalisé (art.1b) dans la loi sur la participation aux frais de campagne électorale (LPFC) lors de sa dernière révision (2023).</w:t>
      </w:r>
    </w:p>
    <w:p w14:paraId="4A322C45" w14:textId="77777777" w:rsidR="00DB489E" w:rsidRPr="00FE3A13" w:rsidRDefault="00DB489E" w:rsidP="00DB489E">
      <w:pPr>
        <w:pStyle w:val="Titre3"/>
      </w:pPr>
      <w:bookmarkStart w:id="137" w:name="_Toc195715362"/>
      <w:r w:rsidRPr="00FE3A13">
        <w:t>Commentaires des articles de la modification légale</w:t>
      </w:r>
      <w:bookmarkEnd w:id="137"/>
    </w:p>
    <w:p w14:paraId="01D93C6B" w14:textId="77777777" w:rsidR="00DB489E" w:rsidRPr="00FE3A13" w:rsidRDefault="00DB489E" w:rsidP="00DB489E">
      <w:pPr>
        <w:pStyle w:val="TitreArticleloi"/>
      </w:pPr>
      <w:r w:rsidRPr="00FE3A13">
        <w:t>Art. 1a al. 2a (nouveau)</w:t>
      </w:r>
    </w:p>
    <w:p w14:paraId="05EF9730" w14:textId="77777777" w:rsidR="00DB489E" w:rsidRPr="00FE3A13" w:rsidRDefault="00DB489E" w:rsidP="00DB489E">
      <w:r w:rsidRPr="00FE3A13">
        <w:t>L’envoi à l’étranger d’une enveloppe de grand format contenant la propagande de l’ensemble des partis politiques et des groupements de citoyens et citoyennes ayant déposé une liste électorale est particulièrement coûteux (jusqu'à 55 000 francs). Nous enregistrons après chaque élection des retours importants de ces enveloppes, du fait de l’impossibilité de distribuer ce matériel aux électeurs et électrices. Ce retour se fait dans les mois, voir les années (jusqu’à 18 mois après l’élection) qui suivent et engendre des coûts pour l’Etat. Il n’est pas possible d’éviter ces retours du fait des accords postaux. Il n’est donc pas possible non plus d’éviter ces frais qui s’ajoutent aux montants payés pour leur envoi.</w:t>
      </w:r>
    </w:p>
    <w:p w14:paraId="5387B666" w14:textId="77777777" w:rsidR="00DB489E" w:rsidRPr="00FE3A13" w:rsidRDefault="00DB489E" w:rsidP="00DB489E">
      <w:r w:rsidRPr="00FE3A13">
        <w:t>Le changement ne doit pas pour autant engendrer une péjoration de l’information mise à disposition des électeurs et électrices résidant durablement à l’étranger. La solution proposée permet aux électeurs et électrices d’accéder aux informations des partis politiques et groupements de citoyens et citoyennes ayant déposé une liste pour l’élection concernée. L’accès à l’information est simple et rapide par l’entremise d’une page internet du site fr.ch renvoyant aux sites internet de l’ensemble des groupements politiques concernés.</w:t>
      </w:r>
    </w:p>
    <w:p w14:paraId="186D4D1A" w14:textId="77777777" w:rsidR="00DB489E" w:rsidRPr="00FE3A13" w:rsidRDefault="00DB489E" w:rsidP="00DB489E">
      <w:pPr>
        <w:pStyle w:val="TitreArticleloi"/>
      </w:pPr>
      <w:r w:rsidRPr="00FE3A13">
        <w:t>Art. 1b al.2 lettres a et b</w:t>
      </w:r>
    </w:p>
    <w:p w14:paraId="4462B5A2" w14:textId="77777777" w:rsidR="00DB489E" w:rsidRPr="00FE3A13" w:rsidRDefault="00DB489E" w:rsidP="00DB489E">
      <w:r w:rsidRPr="00FE3A13">
        <w:t>Cette modification conduit à une adaptation nécessaire de l’ordonnance du Conseil d’Etat du 23 avril 2024 fixant la participation de l’Etat aux frais de campagne des élections cantonales de 2026 et nationales de 2027 (RSF 115.61).</w:t>
      </w:r>
    </w:p>
    <w:p w14:paraId="1C7E25D3" w14:textId="14E167DB" w:rsidR="00DB489E" w:rsidRPr="00FE3A13" w:rsidRDefault="00DB489E" w:rsidP="000B56C5">
      <w:r w:rsidRPr="00FE3A13">
        <w:t>Cette modification de la LPFC constitue par ailleurs une suite directe donnée au mandat 2025-GC-94 « Mesures d’économies : la classe politique doit donner l’exemple » du 27 mars 2025, quand bien même celui-ci, requérant la modification d’une loi, aurait dû prendre la forme d’une motion.</w:t>
      </w:r>
    </w:p>
    <w:p w14:paraId="3732821E" w14:textId="77777777" w:rsidR="006A6561" w:rsidRPr="00FE3A13" w:rsidRDefault="006A6561" w:rsidP="006A6561">
      <w:pPr>
        <w:pStyle w:val="Titre2"/>
      </w:pPr>
      <w:bookmarkStart w:id="138" w:name="_Toc195715363"/>
      <w:r w:rsidRPr="00FE3A13">
        <w:t>La modification de la loi relative au traitement et à la prévoyance professionnelle des conseillers d’Etat, des préfets et des juges cantonaux (LTCE)</w:t>
      </w:r>
      <w:bookmarkEnd w:id="138"/>
    </w:p>
    <w:p w14:paraId="27B682DB" w14:textId="77777777" w:rsidR="006A6561" w:rsidRPr="00FE3A13" w:rsidRDefault="006A6561" w:rsidP="006A6561">
      <w:pPr>
        <w:pStyle w:val="Titre3"/>
      </w:pPr>
      <w:bookmarkStart w:id="139" w:name="_Toc195715364"/>
      <w:r w:rsidRPr="00FE3A13">
        <w:t>Informations générales</w:t>
      </w:r>
      <w:bookmarkEnd w:id="139"/>
    </w:p>
    <w:p w14:paraId="5CE73451" w14:textId="77777777" w:rsidR="00E17883" w:rsidRPr="00FE3A13" w:rsidRDefault="006A6561" w:rsidP="00692365">
      <w:pPr>
        <w:pStyle w:val="Corpsdetexte"/>
      </w:pPr>
      <w:r w:rsidRPr="00FE3A13">
        <w:t>Les mesures</w:t>
      </w:r>
      <w:r w:rsidR="00692365" w:rsidRPr="00FE3A13">
        <w:t xml:space="preserve"> </w:t>
      </w:r>
      <w:r w:rsidRPr="00FE3A13">
        <w:t>décrites dans la modification de la loi sur le personnel de l’Etat</w:t>
      </w:r>
      <w:r w:rsidR="00692365" w:rsidRPr="00FE3A13">
        <w:t xml:space="preserve"> au chapitre 6.4</w:t>
      </w:r>
      <w:r w:rsidRPr="00FE3A13">
        <w:t xml:space="preserve"> </w:t>
      </w:r>
      <w:r w:rsidR="00E17883" w:rsidRPr="00FE3A13">
        <w:t>(Renoncer à l’indexation des salaires avec fixation d’un seuil à 117 points, Décalage de l’augmentation du palier et, Introduction d’une contribution de solidarité</w:t>
      </w:r>
      <w:r w:rsidR="00E17883" w:rsidRPr="00FE3A13">
        <w:rPr>
          <w:b/>
          <w:bCs/>
        </w:rPr>
        <w:t>)</w:t>
      </w:r>
      <w:r w:rsidR="00E17883" w:rsidRPr="00FE3A13">
        <w:t xml:space="preserve"> </w:t>
      </w:r>
      <w:r w:rsidRPr="00FE3A13">
        <w:t>s’appliquent aussi aux membres du Conseil d’Etat et du Tribunal cantonal. Comme ces personnes ne sont pas soumises à la LPers, il est nécessaire de modifier également la LTCE pour donner une base légale aux</w:t>
      </w:r>
      <w:r w:rsidR="00692365" w:rsidRPr="00FE3A13">
        <w:t xml:space="preserve"> 3</w:t>
      </w:r>
      <w:r w:rsidRPr="00FE3A13">
        <w:t xml:space="preserve"> mesures proposées. </w:t>
      </w:r>
    </w:p>
    <w:p w14:paraId="6BC11346" w14:textId="11CC1250" w:rsidR="00692365" w:rsidRPr="00FE3A13" w:rsidRDefault="00692365" w:rsidP="00E17883">
      <w:pPr>
        <w:pStyle w:val="Titre3"/>
      </w:pPr>
      <w:bookmarkStart w:id="140" w:name="_Toc195715365"/>
      <w:r w:rsidRPr="00FE3A13">
        <w:t>Commentaires des articles de la modification légale</w:t>
      </w:r>
      <w:bookmarkEnd w:id="140"/>
    </w:p>
    <w:p w14:paraId="1FB2BFB1" w14:textId="3F973188" w:rsidR="00692365" w:rsidRPr="00FE3A13" w:rsidRDefault="00692365" w:rsidP="00692365">
      <w:pPr>
        <w:pStyle w:val="TitreArticleloi"/>
      </w:pPr>
      <w:r w:rsidRPr="00FE3A13">
        <w:t>Art. 28d</w:t>
      </w:r>
    </w:p>
    <w:p w14:paraId="69A62B6E" w14:textId="39DC757D" w:rsidR="00692365" w:rsidRPr="00FE3A13" w:rsidRDefault="00692365" w:rsidP="00692365">
      <w:pPr>
        <w:pStyle w:val="Corpsdetexte"/>
      </w:pPr>
      <w:r w:rsidRPr="00FE3A13">
        <w:t>Cela permet de faire participer les préfets, les membres du Conseil d’Etat et du Tribunal Cantonal aux efforts du personnel au programme d’assainissement des finances de l’Etat. Les commentaires de la LPers s’appliqueront ici aussi.</w:t>
      </w:r>
    </w:p>
    <w:p w14:paraId="26DD012A" w14:textId="77777777" w:rsidR="00692365" w:rsidRPr="00FE3A13" w:rsidRDefault="00692365" w:rsidP="00692365">
      <w:pPr>
        <w:pStyle w:val="Corpsdetexte"/>
      </w:pPr>
      <w:r w:rsidRPr="00FE3A13">
        <w:t>En plus des dispositions de l’article 138d LPers, auxquelles il est fait expressément référence dans le nouvel article 28d LTCE, la mesure prévue par le nouvel article 138c al. 2 LPers (indexation) s’appliquera aussi aux membres du Conseil d’Etat et du Tribunal cantonal. Dans la mesure où le contenu actuel de l’article 5 al. 1 LTCE est déjà suffisamment explicite (renchérissement des traitements comme pour le personnel de l’Etat), il n’apparaît pas nécessaire de proposer une adaptation légale en la matière.</w:t>
      </w:r>
    </w:p>
    <w:p w14:paraId="22A75CF2" w14:textId="5DB45177" w:rsidR="00692365" w:rsidRPr="00FE3A13" w:rsidRDefault="00692365" w:rsidP="00692365">
      <w:pPr>
        <w:pStyle w:val="Corpsdetexte"/>
      </w:pPr>
    </w:p>
    <w:p w14:paraId="2D4BB90D" w14:textId="428005B3" w:rsidR="00FD0537" w:rsidRPr="00FE3A13" w:rsidRDefault="00C70653" w:rsidP="00C70653">
      <w:pPr>
        <w:pStyle w:val="Titre2"/>
      </w:pPr>
      <w:bookmarkStart w:id="141" w:name="_Toc195715366"/>
      <w:r w:rsidRPr="00FE3A13">
        <w:lastRenderedPageBreak/>
        <w:t>La modification de la loi sur le personnel de l’Etat (LPers)</w:t>
      </w:r>
      <w:bookmarkEnd w:id="141"/>
    </w:p>
    <w:p w14:paraId="524CD2E8" w14:textId="72E39319" w:rsidR="004902B7" w:rsidRPr="00FE3A13" w:rsidRDefault="000479A7" w:rsidP="004902B7">
      <w:pPr>
        <w:pStyle w:val="Titre3"/>
      </w:pPr>
      <w:bookmarkStart w:id="142" w:name="_Toc195715367"/>
      <w:r w:rsidRPr="00FE3A13">
        <w:t>Information</w:t>
      </w:r>
      <w:r w:rsidR="00C24D74" w:rsidRPr="00FE3A13">
        <w:t>s</w:t>
      </w:r>
      <w:r w:rsidRPr="00FE3A13">
        <w:t xml:space="preserve"> générale</w:t>
      </w:r>
      <w:r w:rsidR="00C24D74" w:rsidRPr="00FE3A13">
        <w:t>s</w:t>
      </w:r>
      <w:bookmarkEnd w:id="142"/>
    </w:p>
    <w:p w14:paraId="6843EBB7" w14:textId="1833D0D3" w:rsidR="004902B7" w:rsidRPr="00FE3A13" w:rsidRDefault="00004E4A" w:rsidP="004902B7">
      <w:pPr>
        <w:pStyle w:val="Corpsdetexte"/>
      </w:pPr>
      <w:r w:rsidRPr="00FE3A13">
        <w:t>Trois mesures du PAFE induisent des modifications de la loi sur le personnel</w:t>
      </w:r>
      <w:r w:rsidR="00C24D74" w:rsidRPr="00FE3A13">
        <w:t xml:space="preserve"> de l’Etat</w:t>
      </w:r>
      <w:r w:rsidRPr="00FE3A13">
        <w:t xml:space="preserve">. </w:t>
      </w:r>
      <w:r w:rsidR="00C24D74" w:rsidRPr="00FE3A13">
        <w:t>Les explications et justifications apportées sont séquencées par mesure dans un souci de clarté.</w:t>
      </w:r>
      <w:r w:rsidRPr="00FE3A13">
        <w:t xml:space="preserve"> Conscient de l’effort demandé à son personnel et du risque de perte d’attractivité de l’Etat-employeur en comparaison avec la Confédération et les cantons voisins, le Conseil d’Etat a veillé à ce qu’au travers des autres mesures (hors personnel) la symétrie des sacrifices soit appliquée.</w:t>
      </w:r>
    </w:p>
    <w:p w14:paraId="55CE2FCE" w14:textId="5FDE1AE6" w:rsidR="00C24D74" w:rsidRPr="00FE3A13" w:rsidRDefault="00C24D74" w:rsidP="00C24D74">
      <w:pPr>
        <w:pStyle w:val="Listealphabtique"/>
        <w:numPr>
          <w:ilvl w:val="0"/>
          <w:numId w:val="0"/>
        </w:numPr>
        <w:rPr>
          <w:b/>
          <w:bCs/>
        </w:rPr>
      </w:pPr>
      <w:r w:rsidRPr="00FE3A13">
        <w:rPr>
          <w:b/>
          <w:bCs/>
        </w:rPr>
        <w:t xml:space="preserve">&gt; </w:t>
      </w:r>
      <w:r w:rsidRPr="00FE3A13">
        <w:rPr>
          <w:b/>
          <w:bCs/>
        </w:rPr>
        <w:tab/>
        <w:t>Renoncer à l’indexation des salaires (avec fixation d’un seuil à 117 points)</w:t>
      </w:r>
    </w:p>
    <w:p w14:paraId="6A83F940" w14:textId="35BB9951" w:rsidR="00E038FE" w:rsidRPr="00FE3A13" w:rsidRDefault="00E038FE" w:rsidP="00E038FE">
      <w:pPr>
        <w:pStyle w:val="Corpsdetexte"/>
      </w:pPr>
      <w:r w:rsidRPr="00FE3A13">
        <w:t xml:space="preserve">Le Conseil d’Etat propose de renoncer à indexer les salaires du personnel tant que l’indice suisse des prix à la consommation (base mai 2000) n’a pas atteint 117 points. Une mesure similaire avait déjà été mise en place dans le cadre des </w:t>
      </w:r>
      <w:r w:rsidR="009D0494" w:rsidRPr="00FE3A13">
        <w:t>m</w:t>
      </w:r>
      <w:r w:rsidRPr="00FE3A13">
        <w:t>esures structurelles et d’économie 2014-2016 de l’Etat de Fribourg</w:t>
      </w:r>
    </w:p>
    <w:p w14:paraId="23BA4722" w14:textId="3133D480" w:rsidR="00E038FE" w:rsidRPr="00FE3A13" w:rsidRDefault="00E038FE" w:rsidP="00E038FE">
      <w:pPr>
        <w:pStyle w:val="Corpsdetexte"/>
      </w:pPr>
      <w:r w:rsidRPr="00FE3A13">
        <w:t>Les salaires actuels sont déterminés sur la base d’un indice des prix à la consommation de 114,2 points (indice du mois de novembre 2023, base mai 2000 = 100 points). Il est proposé de renoncer à indexer les salaires jusqu’à concurrence d’un indice de 117 points. Cette mesure n’entraîne pas de diminution de salaire. En revanche, le personnel renonce à une indexation future éventuelle dans l’hypothèse où l’indice des prix à la consommation dépasserait le niveau pris en compte actuellement. L’indexation future interviendra uniquement quand l’indice de novembre de l’année précédente dépassera l’indice de 117 points.</w:t>
      </w:r>
    </w:p>
    <w:p w14:paraId="3074DE16" w14:textId="1B84484C" w:rsidR="00C24D74" w:rsidRPr="00FE3A13" w:rsidRDefault="00C24D74" w:rsidP="00C24D74">
      <w:pPr>
        <w:pStyle w:val="Corpsdetexte"/>
      </w:pPr>
      <w:r w:rsidRPr="00FE3A13">
        <w:t>L’indice des prix à la consommation reste un paramètre externe dont l’évolution est en soi difficilement prévisible. Les prévisions économiques indiquent que</w:t>
      </w:r>
      <w:r w:rsidR="00302090" w:rsidRPr="00FE3A13">
        <w:t xml:space="preserve"> l’inflation</w:t>
      </w:r>
      <w:r w:rsidRPr="00FE3A13">
        <w:t xml:space="preserve"> devrait rester dans les objectifs de la politique monétaire de la BNS. Vu les difficultés financières de l’Etat, il est judicieux de fixer des règles dérogatoires à la LPers concernant l’adaptation des salaires à l’indice des prix à la consommation, afin de freiner l’évolution de la masse salariale ces prochaines années.</w:t>
      </w:r>
    </w:p>
    <w:p w14:paraId="0E78D25A" w14:textId="77777777" w:rsidR="00C24D74" w:rsidRPr="00FE3A13" w:rsidRDefault="00C24D74" w:rsidP="00C24D74">
      <w:pPr>
        <w:pStyle w:val="Corpsdetexte"/>
      </w:pPr>
      <w:r w:rsidRPr="00FE3A13">
        <w:t>Le Conseil d’Etat souhaite introduire un plancher de l’indice de référence à 117.0 pour servir à nouveau une indexation totale ou partielle, dans l’hypothèse où l’inflation atteindrait réellement cet indice.</w:t>
      </w:r>
    </w:p>
    <w:p w14:paraId="6C0816F8" w14:textId="4C2A90CD" w:rsidR="00C24D74" w:rsidRPr="00FE3A13" w:rsidRDefault="00C24D74" w:rsidP="00C24D74">
      <w:pPr>
        <w:pStyle w:val="Corpsdetexte"/>
      </w:pPr>
      <w:r w:rsidRPr="00FE3A13">
        <w:t>Pour mémoire, en 2025, le Conseil d’Etat a décidé de ne pas ajuster les salaires du personnel au renchérissement, malgré l’augmentation de l’inflation entre 2023 et 2024 (hausse de l’IPC de 0,9 point entre novembre 2023 et novembre 2024). Cette décision était motivée par la péjoration des finances cantonales et de l’obligation constitutionnelle de présenter un budget 2025 à l’équilibre.</w:t>
      </w:r>
    </w:p>
    <w:p w14:paraId="237EF7D0" w14:textId="0FA0EC4E" w:rsidR="00C24D74" w:rsidRPr="00FE3A13" w:rsidRDefault="00C24D74" w:rsidP="00E038FE">
      <w:pPr>
        <w:pStyle w:val="Corpsdetexte"/>
      </w:pPr>
      <w:r w:rsidRPr="00FE3A13">
        <w:rPr>
          <w:b/>
          <w:bCs/>
        </w:rPr>
        <w:t xml:space="preserve">&gt; </w:t>
      </w:r>
      <w:r w:rsidRPr="00FE3A13">
        <w:rPr>
          <w:b/>
          <w:bCs/>
        </w:rPr>
        <w:tab/>
        <w:t>Décalage de l’augmentation du palier</w:t>
      </w:r>
    </w:p>
    <w:p w14:paraId="250CCB2D" w14:textId="73840960" w:rsidR="00E038FE" w:rsidRPr="00FE3A13" w:rsidRDefault="00E038FE" w:rsidP="00E038FE">
      <w:pPr>
        <w:pStyle w:val="Corpsdetexte"/>
      </w:pPr>
      <w:r w:rsidRPr="00FE3A13">
        <w:t>De plus, le Conseil d’Etat propose de décaler l’augmentation annuelle de palier au 1er juillet au lieu du 1er janvier, en 2026, 2027 et 2028, ce tout en maintenant le traitement minimal et maximal de chaque classe. Cette mesure avait déjà été mise en place dans le cadre des Mesures structurelles et d’économie 2014-2016 de l’Etat de Fribourg. Elle n’entraîne pas une baisse des salaires, mais un manque à gagner pour le personnel concerné.</w:t>
      </w:r>
    </w:p>
    <w:p w14:paraId="49474D4F" w14:textId="77777777" w:rsidR="00C24D74" w:rsidRPr="00FE3A13" w:rsidRDefault="00C24D74" w:rsidP="00C24D74">
      <w:pPr>
        <w:pStyle w:val="Corpsdetexte"/>
      </w:pPr>
      <w:r w:rsidRPr="00FE3A13">
        <w:t xml:space="preserve">L’art. 79 LPers fixe le montant minimal et maximal de l’échelle générale et de l’échelle spéciale de traitements du personnel de l’Etat. Selon l’art. 80 LPers, chaque échelle de traitement est divisée en classes de traitement dont le nombre est fixé par le Conseil d’Etat (actuellement 36 classes pour l’échelle générale). Chaque classe de traitement a un montant minimal et un montant maximal. La différence entre ces montants est divisée en paliers dont le nombre est également fixé par le Conseil d’Etat (actuellement 20 paliers). Selon la législation en vigueur (art. 88 LPers), l’octroi de l’augmentation annuelle (palier) au début de l’année civile est obligatoire. </w:t>
      </w:r>
    </w:p>
    <w:p w14:paraId="3367D20F" w14:textId="4F6D9A54" w:rsidR="00C24D74" w:rsidRPr="00FE3A13" w:rsidRDefault="00C24D74" w:rsidP="00C24D74">
      <w:pPr>
        <w:pStyle w:val="Corpsdetexte"/>
      </w:pPr>
      <w:r w:rsidRPr="00FE3A13">
        <w:t>Le Conseil d’Etat, au vu des perspectives financières, estime qu’il est nécessaire d’adapter transitoirement le mécanisme d’attribution des paliers. Il propose en conséquence de n’octroyer le palier entier qu’à partir du mois de juillet en 2026, 2027 et 2028.</w:t>
      </w:r>
    </w:p>
    <w:p w14:paraId="49A461D1" w14:textId="607CF01A" w:rsidR="00C24D74" w:rsidRPr="00FE3A13" w:rsidRDefault="00C24D74" w:rsidP="00E038FE">
      <w:pPr>
        <w:pStyle w:val="Corpsdetexte"/>
      </w:pPr>
      <w:r w:rsidRPr="00FE3A13">
        <w:rPr>
          <w:b/>
          <w:bCs/>
        </w:rPr>
        <w:t xml:space="preserve">&gt; </w:t>
      </w:r>
      <w:r w:rsidRPr="00FE3A13">
        <w:rPr>
          <w:b/>
          <w:bCs/>
        </w:rPr>
        <w:tab/>
        <w:t>Introduction d’une contribution de solidarité</w:t>
      </w:r>
    </w:p>
    <w:p w14:paraId="2FDE8CF7" w14:textId="7B8E8DF8" w:rsidR="00C24D74" w:rsidRPr="00FE3A13" w:rsidRDefault="00C24D74" w:rsidP="00C24D74">
      <w:pPr>
        <w:pStyle w:val="Corpsdetexte"/>
      </w:pPr>
      <w:r w:rsidRPr="00FE3A13">
        <w:t>Le Conseil d’Etat a décidé de rep</w:t>
      </w:r>
      <w:r w:rsidR="00861B48" w:rsidRPr="00FE3A13">
        <w:t>roposer</w:t>
      </w:r>
      <w:r w:rsidRPr="00FE3A13">
        <w:t xml:space="preserve"> la mesure d’une contribution temporaire de solidarité, laquelle avait déjà été appliquée lors des </w:t>
      </w:r>
      <w:r w:rsidR="00BB062F" w:rsidRPr="00FE3A13">
        <w:t>m</w:t>
      </w:r>
      <w:r w:rsidRPr="00FE3A13">
        <w:t xml:space="preserve">esures structurelles et d’économie de 2014-2016 de l’Etat de Fribourg. </w:t>
      </w:r>
    </w:p>
    <w:p w14:paraId="3604174E" w14:textId="3AF7620C" w:rsidR="00C24D74" w:rsidRPr="00FE3A13" w:rsidRDefault="00C24D74" w:rsidP="00C24D74">
      <w:pPr>
        <w:pStyle w:val="Corpsdetexte"/>
      </w:pPr>
      <w:r w:rsidRPr="00FE3A13">
        <w:lastRenderedPageBreak/>
        <w:t>Cette mesure ne pourra pas être appliquée en 2026 pour des raisons techniques liées au système de paiement des salaires HR-Access. Il s’agira d’adapter le paramétrage et les tests du système pour permettre cette retenue salariale. Cela doit être fait avec le partenaire de prestations externes qui s’occupe de la maintenance de ce système.</w:t>
      </w:r>
    </w:p>
    <w:p w14:paraId="0313028C" w14:textId="2769BDC0" w:rsidR="00004E4A" w:rsidRPr="00FE3A13" w:rsidRDefault="00C24D74" w:rsidP="004902B7">
      <w:pPr>
        <w:pStyle w:val="Corpsdetexte"/>
      </w:pPr>
      <w:r w:rsidRPr="00FE3A13">
        <w:t xml:space="preserve">La contribution de solidarité proposée </w:t>
      </w:r>
      <w:r w:rsidR="00861B48" w:rsidRPr="00FE3A13">
        <w:t>serait</w:t>
      </w:r>
      <w:r w:rsidRPr="00FE3A13">
        <w:t xml:space="preserve"> fixée à 1% en 2027 et 1% en 2028, après déduction d’un montant forfaitaire de 39'000 francs, qui </w:t>
      </w:r>
      <w:r w:rsidR="00861B48" w:rsidRPr="00FE3A13">
        <w:t>permettrait</w:t>
      </w:r>
      <w:r w:rsidRPr="00FE3A13">
        <w:t xml:space="preserve"> d’alléger la mesure pour les collaborateurs et collaboratrices colloqué-e-s dans les bas salaires. Cela étant, la contribution de solidarité intègre une notion de progressivité dans la participation des collaborateurs et collaboratrices à l’effort de redressement des finances cantonales.</w:t>
      </w:r>
    </w:p>
    <w:p w14:paraId="6E27ED0C" w14:textId="3C39D9D5" w:rsidR="004902B7" w:rsidRPr="00FE3A13" w:rsidRDefault="004902B7" w:rsidP="004902B7">
      <w:pPr>
        <w:pStyle w:val="Titre3"/>
      </w:pPr>
      <w:bookmarkStart w:id="143" w:name="_Toc195715368"/>
      <w:r w:rsidRPr="00FE3A13">
        <w:t>Commentaires des articles de la modification légale</w:t>
      </w:r>
      <w:bookmarkEnd w:id="143"/>
    </w:p>
    <w:p w14:paraId="4157CB4C" w14:textId="03533006" w:rsidR="004902B7" w:rsidRPr="00FE3A13" w:rsidRDefault="00CC17E8" w:rsidP="004902B7">
      <w:pPr>
        <w:pStyle w:val="TitreArticleloi"/>
      </w:pPr>
      <w:r w:rsidRPr="00FE3A13">
        <w:t xml:space="preserve">Art. 138c </w:t>
      </w:r>
      <w:r w:rsidR="00E038FE" w:rsidRPr="00FE3A13">
        <w:t>al. 1</w:t>
      </w:r>
      <w:r w:rsidRPr="00FE3A13">
        <w:t>(nouveau)</w:t>
      </w:r>
    </w:p>
    <w:p w14:paraId="089034FA" w14:textId="3C6D8AC2" w:rsidR="00A960D1" w:rsidRPr="00FE3A13" w:rsidRDefault="00A960D1" w:rsidP="00A960D1">
      <w:pPr>
        <w:pStyle w:val="Corpsdetexte"/>
      </w:pPr>
      <w:r w:rsidRPr="00FE3A13">
        <w:t>La modification de loi sur le personnel de l’Etat est temporaire, liée aux mesures d’assainissement limitées dans le temps, soit de 2026 à 2028. Pour des raisons de technique législative, comme il s’agit d’une modification temporaire de la LPers, il est proposé d’introduire, au chapitre XV, sous dispositions finales et transitoires, une nouvelle disposition transitoire.</w:t>
      </w:r>
    </w:p>
    <w:p w14:paraId="5A63CA61" w14:textId="27D20B12" w:rsidR="004902B7" w:rsidRPr="00FE3A13" w:rsidRDefault="00A960D1" w:rsidP="00A960D1">
      <w:r w:rsidRPr="00FE3A13">
        <w:t xml:space="preserve">L’alinéa 1 fonde la compétence du Conseil d’Etat de déroger, durant les années 2026, 2027 et 2028, aux articles 81 et 88 LPers. La lettre </w:t>
      </w:r>
      <w:r w:rsidRPr="00FE3A13">
        <w:rPr>
          <w:i/>
          <w:iCs/>
        </w:rPr>
        <w:t>a</w:t>
      </w:r>
      <w:r w:rsidRPr="00FE3A13">
        <w:t xml:space="preserve"> concrétise la mesure concernant l’indexation des échelles de traitement et la Lettre </w:t>
      </w:r>
      <w:r w:rsidRPr="00FE3A13">
        <w:rPr>
          <w:i/>
          <w:iCs/>
        </w:rPr>
        <w:t>b</w:t>
      </w:r>
      <w:r w:rsidRPr="00FE3A13">
        <w:t xml:space="preserve"> la mesure concernant l’augmentation annuelle (palier). La lettre c prévoit que les mesures restrictives appliquées au personnel de l’Etat devront également être appliquées au personnel des secteurs bénéficiant des subventions étatiques. Cette même disposition existe déjà au niveau de la LPers (art. 81 al. 5) et elle s’inscrit également dans la ligne de l’article 22 al. 2 de la loi sur les subventions (LSub, RSF 616.1) qui stipule que « Les dépenses excédant les normes appliquées par l’Etat ne sont pas subventionnables ». Il en sera tenu compte lors de l’octroi des subventions. </w:t>
      </w:r>
      <w:r w:rsidR="00CC17E8" w:rsidRPr="00FE3A13">
        <w:t xml:space="preserve"> </w:t>
      </w:r>
    </w:p>
    <w:p w14:paraId="6E9DA418" w14:textId="77777777" w:rsidR="00E038FE" w:rsidRPr="00FE3A13" w:rsidRDefault="00CC17E8" w:rsidP="00E038FE">
      <w:pPr>
        <w:pStyle w:val="TitreArticleloi"/>
      </w:pPr>
      <w:r w:rsidRPr="00FE3A13">
        <w:t>Art. 138d al</w:t>
      </w:r>
      <w:r w:rsidR="00E038FE" w:rsidRPr="00FE3A13">
        <w:t>.</w:t>
      </w:r>
      <w:r w:rsidRPr="00FE3A13">
        <w:t xml:space="preserve"> </w:t>
      </w:r>
      <w:r w:rsidR="00E038FE" w:rsidRPr="00FE3A13">
        <w:t>1</w:t>
      </w:r>
      <w:r w:rsidRPr="00FE3A13">
        <w:t xml:space="preserve"> (nouveau)</w:t>
      </w:r>
    </w:p>
    <w:p w14:paraId="3F7D9908" w14:textId="19AF214F" w:rsidR="00CC17E8" w:rsidRPr="00FE3A13" w:rsidRDefault="00E038FE" w:rsidP="00E038FE">
      <w:r w:rsidRPr="00FE3A13">
        <w:t>Il e</w:t>
      </w:r>
      <w:r w:rsidR="00CC17E8" w:rsidRPr="00FE3A13">
        <w:t xml:space="preserve">st précisé à l’alinéa 1 que l’ensemble du personnel de l’Etat est appelé à participer à l’effort de redressement des finances cantonales durant les années 2027 et 2028 par une contribution de solidarité. Pour l’année 2026, aucune contribution de solidarité n’est perçue. </w:t>
      </w:r>
    </w:p>
    <w:p w14:paraId="734F4E01" w14:textId="1C67DC80" w:rsidR="00CC17E8" w:rsidRPr="00FE3A13" w:rsidRDefault="00CC17E8" w:rsidP="00CC17E8">
      <w:pPr>
        <w:pStyle w:val="TitreArticleloi"/>
      </w:pPr>
      <w:r w:rsidRPr="00FE3A13">
        <w:t>Art. 138d al</w:t>
      </w:r>
      <w:r w:rsidR="00E038FE" w:rsidRPr="00FE3A13">
        <w:t>.</w:t>
      </w:r>
      <w:r w:rsidRPr="00FE3A13">
        <w:t xml:space="preserve"> 2 (nouveau)</w:t>
      </w:r>
    </w:p>
    <w:p w14:paraId="5064AD0F" w14:textId="3E25E79A" w:rsidR="00CC17E8" w:rsidRPr="00FE3A13" w:rsidRDefault="00E038FE" w:rsidP="00E038FE">
      <w:r w:rsidRPr="00FE3A13">
        <w:t>Cet</w:t>
      </w:r>
      <w:r w:rsidR="00CC17E8" w:rsidRPr="00FE3A13">
        <w:t xml:space="preserve"> alinéa fixe, pour les années 2027 et 2028 (aucune contribution n’étant perçue pour l’année 2026), le taux de la contribution et le montant de la déduction faite sur le traitement de base dépassant le montant annuel de 39'000 francs. Il convient de préciser que ce calcul sera fait au prorata du taux d’activité et que les cotisations sociales seront prélevées sur le traitement réduit.</w:t>
      </w:r>
    </w:p>
    <w:p w14:paraId="7E188B47" w14:textId="686517EE" w:rsidR="00E038FE" w:rsidRPr="00FE3A13" w:rsidRDefault="00E038FE" w:rsidP="00E038FE">
      <w:pPr>
        <w:pStyle w:val="TitreArticleloi"/>
      </w:pPr>
      <w:r w:rsidRPr="00FE3A13">
        <w:t>Art. 138d al. 3 (nouveau)</w:t>
      </w:r>
    </w:p>
    <w:p w14:paraId="1101F828" w14:textId="0CE49C61" w:rsidR="00E038FE" w:rsidRPr="00FE3A13" w:rsidRDefault="00E038FE" w:rsidP="00E038FE">
      <w:r w:rsidRPr="00FE3A13">
        <w:t>Cet</w:t>
      </w:r>
      <w:r w:rsidR="00CC17E8" w:rsidRPr="00FE3A13">
        <w:t xml:space="preserve"> alinéa prévoit que la mesure s’applique aussi au personnel des secteurs bénéficiant des subventions étatiques.</w:t>
      </w:r>
    </w:p>
    <w:p w14:paraId="0A0FE575" w14:textId="2B39C49F" w:rsidR="00E038FE" w:rsidRPr="00FE3A13" w:rsidRDefault="00E038FE" w:rsidP="00E038FE">
      <w:pPr>
        <w:pStyle w:val="TitreArticleloi"/>
      </w:pPr>
      <w:r w:rsidRPr="00FE3A13">
        <w:t>Art. 138e al. 1 (nouveau)</w:t>
      </w:r>
    </w:p>
    <w:p w14:paraId="1299E6F0" w14:textId="2603F852" w:rsidR="00CC17E8" w:rsidRPr="00FE3A13" w:rsidRDefault="00E038FE" w:rsidP="004902B7">
      <w:r w:rsidRPr="00FE3A13">
        <w:t>Cet alinéa mentionne la possibilité pour le Conseil d’Etat d’adapter les mesures durant les 3 ans de leur application en fonction de l’évolution de la situation financière de l’Etat.</w:t>
      </w:r>
    </w:p>
    <w:p w14:paraId="27A5CAF0" w14:textId="3843C90A" w:rsidR="00A85995" w:rsidRPr="00FE3A13" w:rsidRDefault="00A85995" w:rsidP="00A85995">
      <w:pPr>
        <w:pStyle w:val="Titre2"/>
      </w:pPr>
      <w:bookmarkStart w:id="144" w:name="_Toc195715369"/>
      <w:r w:rsidRPr="00FE3A13">
        <w:t>La modification de la loi d’application de la législation fédérale sur l’aide aux victimes d’infractions (LALAVI)</w:t>
      </w:r>
      <w:bookmarkEnd w:id="144"/>
    </w:p>
    <w:p w14:paraId="0A7D1808" w14:textId="77777777" w:rsidR="00AD01C8" w:rsidRPr="00FE3A13" w:rsidRDefault="00AD01C8" w:rsidP="00AD01C8">
      <w:pPr>
        <w:pStyle w:val="Titre3"/>
      </w:pPr>
      <w:bookmarkStart w:id="145" w:name="_Toc195715370"/>
      <w:r w:rsidRPr="00FE3A13">
        <w:t>Informations générales</w:t>
      </w:r>
      <w:bookmarkEnd w:id="145"/>
    </w:p>
    <w:p w14:paraId="7C0F8EDE" w14:textId="77777777" w:rsidR="00AD01C8" w:rsidRPr="00FE3A13" w:rsidRDefault="00AD01C8" w:rsidP="00AD01C8">
      <w:pPr>
        <w:pStyle w:val="Listealphabtique"/>
        <w:numPr>
          <w:ilvl w:val="0"/>
          <w:numId w:val="0"/>
        </w:numPr>
        <w:rPr>
          <w:b/>
          <w:bCs/>
        </w:rPr>
      </w:pPr>
      <w:r w:rsidRPr="00FE3A13">
        <w:rPr>
          <w:b/>
          <w:bCs/>
        </w:rPr>
        <w:t xml:space="preserve">&gt; </w:t>
      </w:r>
      <w:r w:rsidRPr="00FE3A13">
        <w:rPr>
          <w:b/>
          <w:bCs/>
        </w:rPr>
        <w:tab/>
        <w:t>Modifier et simplifier la répartition de subvention dans le domaine de l'aide sociale</w:t>
      </w:r>
    </w:p>
    <w:p w14:paraId="7BE8E20A" w14:textId="77777777" w:rsidR="00AD01C8" w:rsidRPr="00FE3A13" w:rsidRDefault="00AD01C8" w:rsidP="00AD01C8">
      <w:r w:rsidRPr="00FE3A13">
        <w:t>La mesure d’assainissement propose de modifier et simplifier la répartition de trois subventions : la loi sur l’aide sociale (LASoc), la loi d’application de la loi sur l’aide aux victimes d’infractions (LALAVI) et la loi sur les avances et recouvrement de contributions d’entretien (LARACE).</w:t>
      </w:r>
    </w:p>
    <w:p w14:paraId="3034A287" w14:textId="77777777" w:rsidR="00AD01C8" w:rsidRPr="00FE3A13" w:rsidRDefault="00AD01C8" w:rsidP="00AD01C8">
      <w:pPr>
        <w:pStyle w:val="Corpsdetexte"/>
      </w:pPr>
      <w:r w:rsidRPr="00FE3A13">
        <w:t xml:space="preserve">Ces trois lois sont appliquées selon deux sortes de modalités différentes. Dans la LASoc, l'Etat surveille et coordonne, tandis que les communes assument la délivrance des prestations. En revanche, dans la LAVI, comme dans la LARACE, la délivrance des prestations est entièrement de la compétence de l'Etat, tandis que les communes </w:t>
      </w:r>
      <w:r w:rsidRPr="00FE3A13">
        <w:lastRenderedPageBreak/>
        <w:t>n’assument aucun rôle, hormis leur contribution à la prise en charge de ces prestations. Afin d’optimiser le système de subventionnement, le système de répartition des charges peut être simplifié tout en tenant compte des rôles.  C’est pourquoi, la mesure préconisée consiste à changer la répartition LASoc actuelle, 40% Etat / 60% communes, pour passer à 20% Etat et 80% communes. A l’inverses, la répartition des deux autres lois est aussi modifiée en fonction de la distribution des rôles. L'Etat prend en charge les frais LAVI et LARACE à 100%, ce qui concorde avec la logique des compétences</w:t>
      </w:r>
    </w:p>
    <w:p w14:paraId="6E4BE97C" w14:textId="1845D5AB" w:rsidR="00AD01C8" w:rsidRPr="00FE3A13" w:rsidRDefault="00AD01C8" w:rsidP="00AD01C8">
      <w:pPr>
        <w:pStyle w:val="Titre3"/>
      </w:pPr>
      <w:bookmarkStart w:id="146" w:name="_Toc195715371"/>
      <w:r w:rsidRPr="00FE3A13">
        <w:t>Estimations financières détaillée</w:t>
      </w:r>
      <w:r w:rsidR="003626F6" w:rsidRPr="00FE3A13">
        <w:t>s</w:t>
      </w:r>
      <w:bookmarkEnd w:id="146"/>
    </w:p>
    <w:p w14:paraId="71492F15" w14:textId="2BD0F171" w:rsidR="00AD01C8" w:rsidRDefault="00AD01C8" w:rsidP="00AD01C8">
      <w:pPr>
        <w:pStyle w:val="Corpsdetexte"/>
      </w:pPr>
      <w:r w:rsidRPr="00FE3A13">
        <w:t>La simplification apportée par cette nouvelle répartition a un impact</w:t>
      </w:r>
      <w:r w:rsidR="002F318F" w:rsidRPr="00FE3A13">
        <w:t xml:space="preserve"> global</w:t>
      </w:r>
      <w:r w:rsidRPr="00FE3A13">
        <w:t xml:space="preserve"> de l’ordre de 4 millions de francs par année en réduction des charges actuelles de l’Etat, comme le montre le tableau suivant avec les projections correspondant à la période 2026 à 2028. Cette nouvelle répartition implique évidemment une augmentation des charges de l’aide sociale pour les communes, partiellement compensée par le fait qu’une diminution des charges interviendra dans les domaines de la LARACE et de la LAVI.</w:t>
      </w:r>
    </w:p>
    <w:p w14:paraId="634FB0AD" w14:textId="77777777" w:rsidR="00CD1CB2" w:rsidRPr="00FE3A13" w:rsidRDefault="00CD1CB2" w:rsidP="00AD01C8">
      <w:pPr>
        <w:pStyle w:val="Corpsdetexte"/>
      </w:pPr>
    </w:p>
    <w:tbl>
      <w:tblPr>
        <w:tblStyle w:val="TableauEtatFR"/>
        <w:tblW w:w="5000" w:type="pct"/>
        <w:tblLook w:val="04E0" w:firstRow="1" w:lastRow="1" w:firstColumn="1" w:lastColumn="0" w:noHBand="0" w:noVBand="1"/>
      </w:tblPr>
      <w:tblGrid>
        <w:gridCol w:w="1299"/>
        <w:gridCol w:w="1080"/>
        <w:gridCol w:w="1079"/>
        <w:gridCol w:w="1081"/>
        <w:gridCol w:w="1079"/>
        <w:gridCol w:w="1079"/>
        <w:gridCol w:w="1081"/>
        <w:gridCol w:w="1079"/>
        <w:gridCol w:w="1063"/>
      </w:tblGrid>
      <w:tr w:rsidR="00AD01C8" w:rsidRPr="00FE3A13" w14:paraId="14CE4D44" w14:textId="77777777" w:rsidTr="00DB7321">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654" w:type="pct"/>
            <w:vMerge w:val="restart"/>
          </w:tcPr>
          <w:p w14:paraId="1FA02E58" w14:textId="77777777" w:rsidR="00AD01C8" w:rsidRPr="00FE3A13" w:rsidRDefault="00AD01C8" w:rsidP="00DB7321">
            <w:pPr>
              <w:pStyle w:val="NIVtableau"/>
            </w:pPr>
          </w:p>
        </w:tc>
        <w:tc>
          <w:tcPr>
            <w:tcW w:w="2721" w:type="pct"/>
            <w:gridSpan w:val="5"/>
          </w:tcPr>
          <w:p w14:paraId="5F1EA73B" w14:textId="77777777" w:rsidR="00AD01C8" w:rsidRPr="00FE3A13" w:rsidRDefault="00AD01C8" w:rsidP="00DB7321">
            <w:pPr>
              <w:pStyle w:val="NIVtableau"/>
              <w:cnfStyle w:val="100000000000" w:firstRow="1" w:lastRow="0" w:firstColumn="0" w:lastColumn="0" w:oddVBand="0" w:evenVBand="0" w:oddHBand="0" w:evenHBand="0" w:firstRowFirstColumn="0" w:firstRowLastColumn="0" w:lastRowFirstColumn="0" w:lastRowLastColumn="0"/>
            </w:pPr>
            <w:r w:rsidRPr="00FE3A13">
              <w:t>Part de l’Etat</w:t>
            </w:r>
          </w:p>
        </w:tc>
        <w:tc>
          <w:tcPr>
            <w:tcW w:w="1626" w:type="pct"/>
            <w:gridSpan w:val="3"/>
          </w:tcPr>
          <w:p w14:paraId="3602644A" w14:textId="77777777" w:rsidR="00AD01C8" w:rsidRPr="00FE3A13" w:rsidRDefault="00AD01C8" w:rsidP="00DB7321">
            <w:pPr>
              <w:pStyle w:val="NIVtableau"/>
              <w:cnfStyle w:val="100000000000" w:firstRow="1" w:lastRow="0" w:firstColumn="0" w:lastColumn="0" w:oddVBand="0" w:evenVBand="0" w:oddHBand="0" w:evenHBand="0" w:firstRowFirstColumn="0" w:firstRowLastColumn="0" w:lastRowFirstColumn="0" w:lastRowLastColumn="0"/>
            </w:pPr>
            <w:r w:rsidRPr="00FE3A13">
              <w:t>Part des communes</w:t>
            </w:r>
          </w:p>
        </w:tc>
      </w:tr>
      <w:tr w:rsidR="00AD01C8" w:rsidRPr="00FE3A13" w14:paraId="285838BA"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vMerge/>
          </w:tcPr>
          <w:p w14:paraId="4976F023" w14:textId="77777777" w:rsidR="00AD01C8" w:rsidRPr="00FE3A13" w:rsidRDefault="00AD01C8" w:rsidP="00DB7321">
            <w:pPr>
              <w:pStyle w:val="NIVtableau"/>
            </w:pPr>
          </w:p>
        </w:tc>
        <w:tc>
          <w:tcPr>
            <w:tcW w:w="544" w:type="pct"/>
          </w:tcPr>
          <w:p w14:paraId="72E73EA9"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C23</w:t>
            </w:r>
          </w:p>
        </w:tc>
        <w:tc>
          <w:tcPr>
            <w:tcW w:w="544" w:type="pct"/>
          </w:tcPr>
          <w:p w14:paraId="2C5BD255"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BU25</w:t>
            </w:r>
          </w:p>
        </w:tc>
        <w:tc>
          <w:tcPr>
            <w:tcW w:w="545" w:type="pct"/>
          </w:tcPr>
          <w:p w14:paraId="59A0C0F2"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PF26</w:t>
            </w:r>
          </w:p>
        </w:tc>
        <w:tc>
          <w:tcPr>
            <w:tcW w:w="544" w:type="pct"/>
          </w:tcPr>
          <w:p w14:paraId="0716FB5B"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PF27</w:t>
            </w:r>
          </w:p>
        </w:tc>
        <w:tc>
          <w:tcPr>
            <w:tcW w:w="544" w:type="pct"/>
          </w:tcPr>
          <w:p w14:paraId="17B573B4"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PF28</w:t>
            </w:r>
          </w:p>
        </w:tc>
        <w:tc>
          <w:tcPr>
            <w:tcW w:w="545" w:type="pct"/>
          </w:tcPr>
          <w:p w14:paraId="27248939"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PF26</w:t>
            </w:r>
          </w:p>
        </w:tc>
        <w:tc>
          <w:tcPr>
            <w:tcW w:w="544" w:type="pct"/>
          </w:tcPr>
          <w:p w14:paraId="3FB11876"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PF27</w:t>
            </w:r>
          </w:p>
        </w:tc>
        <w:tc>
          <w:tcPr>
            <w:tcW w:w="537" w:type="pct"/>
          </w:tcPr>
          <w:p w14:paraId="08044F05" w14:textId="77777777" w:rsidR="00AD01C8" w:rsidRPr="00FE3A13" w:rsidRDefault="00AD01C8" w:rsidP="00DB7321">
            <w:pPr>
              <w:pStyle w:val="NIVtableau"/>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PF28</w:t>
            </w:r>
          </w:p>
        </w:tc>
      </w:tr>
      <w:tr w:rsidR="00AD01C8" w:rsidRPr="00FE3A13" w14:paraId="3CF6A4F2"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5B84FD1A" w14:textId="77777777" w:rsidR="00AD01C8" w:rsidRPr="00FE3A13" w:rsidRDefault="00AD01C8" w:rsidP="00DB7321">
            <w:pPr>
              <w:pStyle w:val="NIVtableau"/>
              <w:rPr>
                <w:b/>
                <w:bCs w:val="0"/>
              </w:rPr>
            </w:pPr>
            <w:r w:rsidRPr="00FE3A13">
              <w:rPr>
                <w:b/>
                <w:bCs w:val="0"/>
              </w:rPr>
              <w:t>Loi appliquée</w:t>
            </w:r>
          </w:p>
        </w:tc>
        <w:tc>
          <w:tcPr>
            <w:tcW w:w="4346" w:type="pct"/>
            <w:gridSpan w:val="8"/>
          </w:tcPr>
          <w:p w14:paraId="17EEBDDE" w14:textId="77777777" w:rsidR="00AD01C8" w:rsidRPr="00FE3A13" w:rsidRDefault="00AD01C8" w:rsidP="00DB7321">
            <w:pPr>
              <w:pStyle w:val="NIVtableau"/>
              <w:spacing w:before="100" w:after="100"/>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Répartition actuelle des charges</w:t>
            </w:r>
          </w:p>
        </w:tc>
      </w:tr>
      <w:tr w:rsidR="00AD01C8" w:rsidRPr="00FE3A13" w14:paraId="52F77C46"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5D22B3B3" w14:textId="77777777" w:rsidR="00AD01C8" w:rsidRPr="00FE3A13" w:rsidRDefault="00AD01C8" w:rsidP="00DB7321">
            <w:pPr>
              <w:pStyle w:val="NIVtableau"/>
            </w:pPr>
            <w:r w:rsidRPr="00FE3A13">
              <w:t>LASoc</w:t>
            </w:r>
          </w:p>
        </w:tc>
        <w:tc>
          <w:tcPr>
            <w:tcW w:w="544" w:type="pct"/>
          </w:tcPr>
          <w:p w14:paraId="1754C76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14 673 157</w:t>
            </w:r>
          </w:p>
        </w:tc>
        <w:tc>
          <w:tcPr>
            <w:tcW w:w="544" w:type="pct"/>
          </w:tcPr>
          <w:p w14:paraId="2A735B9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14 875 000</w:t>
            </w:r>
          </w:p>
        </w:tc>
        <w:tc>
          <w:tcPr>
            <w:tcW w:w="545" w:type="pct"/>
          </w:tcPr>
          <w:p w14:paraId="268CA1A5"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13 750 000</w:t>
            </w:r>
          </w:p>
        </w:tc>
        <w:tc>
          <w:tcPr>
            <w:tcW w:w="544" w:type="pct"/>
          </w:tcPr>
          <w:p w14:paraId="7C21F3DB"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14 155 000</w:t>
            </w:r>
          </w:p>
        </w:tc>
        <w:tc>
          <w:tcPr>
            <w:tcW w:w="544" w:type="pct"/>
          </w:tcPr>
          <w:p w14:paraId="3D950C40"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14 315 000</w:t>
            </w:r>
          </w:p>
        </w:tc>
        <w:tc>
          <w:tcPr>
            <w:tcW w:w="545" w:type="pct"/>
          </w:tcPr>
          <w:p w14:paraId="1A03B81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20 625 000</w:t>
            </w:r>
          </w:p>
        </w:tc>
        <w:tc>
          <w:tcPr>
            <w:tcW w:w="544" w:type="pct"/>
          </w:tcPr>
          <w:p w14:paraId="1BBAE13E"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21 232 500</w:t>
            </w:r>
          </w:p>
        </w:tc>
        <w:tc>
          <w:tcPr>
            <w:tcW w:w="537" w:type="pct"/>
          </w:tcPr>
          <w:p w14:paraId="6B5FBD8B"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21 472 500</w:t>
            </w:r>
          </w:p>
        </w:tc>
      </w:tr>
      <w:tr w:rsidR="00AD01C8" w:rsidRPr="00FE3A13" w14:paraId="150E80FD"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7B677027" w14:textId="77777777" w:rsidR="00AD01C8" w:rsidRPr="00FE3A13" w:rsidRDefault="00AD01C8" w:rsidP="00DB7321">
            <w:pPr>
              <w:pStyle w:val="NIVtableau"/>
            </w:pPr>
            <w:r w:rsidRPr="00FE3A13">
              <w:t>LAVI</w:t>
            </w:r>
          </w:p>
        </w:tc>
        <w:tc>
          <w:tcPr>
            <w:tcW w:w="544" w:type="pct"/>
          </w:tcPr>
          <w:p w14:paraId="4A46897E"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1 021 387</w:t>
            </w:r>
          </w:p>
        </w:tc>
        <w:tc>
          <w:tcPr>
            <w:tcW w:w="544" w:type="pct"/>
          </w:tcPr>
          <w:p w14:paraId="0F159466"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1 322 850</w:t>
            </w:r>
          </w:p>
        </w:tc>
        <w:tc>
          <w:tcPr>
            <w:tcW w:w="545" w:type="pct"/>
          </w:tcPr>
          <w:p w14:paraId="49EAB69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1 407 000</w:t>
            </w:r>
          </w:p>
        </w:tc>
        <w:tc>
          <w:tcPr>
            <w:tcW w:w="544" w:type="pct"/>
          </w:tcPr>
          <w:p w14:paraId="4C6AA447"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1 407 000</w:t>
            </w:r>
          </w:p>
        </w:tc>
        <w:tc>
          <w:tcPr>
            <w:tcW w:w="544" w:type="pct"/>
          </w:tcPr>
          <w:p w14:paraId="322D1C33"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1 407 000</w:t>
            </w:r>
          </w:p>
        </w:tc>
        <w:tc>
          <w:tcPr>
            <w:tcW w:w="545" w:type="pct"/>
          </w:tcPr>
          <w:p w14:paraId="079F934B"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44" w:type="pct"/>
          </w:tcPr>
          <w:p w14:paraId="0FE251A8"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37" w:type="pct"/>
          </w:tcPr>
          <w:p w14:paraId="7863505A"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r>
      <w:tr w:rsidR="00AD01C8" w:rsidRPr="00FE3A13" w14:paraId="09051F33"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687719CA" w14:textId="77777777" w:rsidR="00AD01C8" w:rsidRPr="00FE3A13" w:rsidRDefault="00AD01C8" w:rsidP="00DB7321">
            <w:pPr>
              <w:pStyle w:val="NIVtableau"/>
            </w:pPr>
            <w:r w:rsidRPr="00FE3A13">
              <w:t>LARACE</w:t>
            </w:r>
          </w:p>
        </w:tc>
        <w:tc>
          <w:tcPr>
            <w:tcW w:w="544" w:type="pct"/>
          </w:tcPr>
          <w:p w14:paraId="3C2536D8"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2 235 023</w:t>
            </w:r>
          </w:p>
        </w:tc>
        <w:tc>
          <w:tcPr>
            <w:tcW w:w="544" w:type="pct"/>
          </w:tcPr>
          <w:p w14:paraId="7AB5DBD9"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2 175 000</w:t>
            </w:r>
          </w:p>
        </w:tc>
        <w:tc>
          <w:tcPr>
            <w:tcW w:w="545" w:type="pct"/>
          </w:tcPr>
          <w:p w14:paraId="2DC01CC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2 031 000</w:t>
            </w:r>
          </w:p>
        </w:tc>
        <w:tc>
          <w:tcPr>
            <w:tcW w:w="544" w:type="pct"/>
          </w:tcPr>
          <w:p w14:paraId="3E1DBFD0"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2 058 000</w:t>
            </w:r>
          </w:p>
        </w:tc>
        <w:tc>
          <w:tcPr>
            <w:tcW w:w="544" w:type="pct"/>
          </w:tcPr>
          <w:p w14:paraId="16545227"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2 086 000</w:t>
            </w:r>
          </w:p>
        </w:tc>
        <w:tc>
          <w:tcPr>
            <w:tcW w:w="545" w:type="pct"/>
          </w:tcPr>
          <w:p w14:paraId="3BE04F80"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2 058 000</w:t>
            </w:r>
          </w:p>
        </w:tc>
        <w:tc>
          <w:tcPr>
            <w:tcW w:w="544" w:type="pct"/>
          </w:tcPr>
          <w:p w14:paraId="2756B738" w14:textId="6F76D683"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2 101 0</w:t>
            </w:r>
            <w:r w:rsidR="003E0229" w:rsidRPr="00FE3A13">
              <w:t>0</w:t>
            </w:r>
            <w:r w:rsidRPr="00FE3A13">
              <w:t>0</w:t>
            </w:r>
          </w:p>
        </w:tc>
        <w:tc>
          <w:tcPr>
            <w:tcW w:w="537" w:type="pct"/>
          </w:tcPr>
          <w:p w14:paraId="44BFB164"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2 145 000</w:t>
            </w:r>
          </w:p>
        </w:tc>
      </w:tr>
      <w:tr w:rsidR="00AD01C8" w:rsidRPr="00FE3A13" w14:paraId="6C1BDB4D"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248AA126" w14:textId="77777777" w:rsidR="00AD01C8" w:rsidRPr="00FE3A13" w:rsidRDefault="00AD01C8" w:rsidP="00DB7321">
            <w:pPr>
              <w:pStyle w:val="NIVtableau"/>
            </w:pPr>
            <w:r w:rsidRPr="00FE3A13">
              <w:t>Total actuel</w:t>
            </w:r>
          </w:p>
        </w:tc>
        <w:tc>
          <w:tcPr>
            <w:tcW w:w="544" w:type="pct"/>
          </w:tcPr>
          <w:p w14:paraId="7554FC6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17 929 567</w:t>
            </w:r>
          </w:p>
        </w:tc>
        <w:tc>
          <w:tcPr>
            <w:tcW w:w="544" w:type="pct"/>
          </w:tcPr>
          <w:p w14:paraId="5864E8B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18 372 850</w:t>
            </w:r>
          </w:p>
        </w:tc>
        <w:tc>
          <w:tcPr>
            <w:tcW w:w="545" w:type="pct"/>
          </w:tcPr>
          <w:p w14:paraId="323FBB53"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17 188 000</w:t>
            </w:r>
          </w:p>
        </w:tc>
        <w:tc>
          <w:tcPr>
            <w:tcW w:w="544" w:type="pct"/>
          </w:tcPr>
          <w:p w14:paraId="52021DA4"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17 620 000</w:t>
            </w:r>
          </w:p>
        </w:tc>
        <w:tc>
          <w:tcPr>
            <w:tcW w:w="544" w:type="pct"/>
          </w:tcPr>
          <w:p w14:paraId="36380926"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17 808 000</w:t>
            </w:r>
          </w:p>
        </w:tc>
        <w:tc>
          <w:tcPr>
            <w:tcW w:w="545" w:type="pct"/>
          </w:tcPr>
          <w:p w14:paraId="1EC3D837"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23 568 000</w:t>
            </w:r>
          </w:p>
        </w:tc>
        <w:tc>
          <w:tcPr>
            <w:tcW w:w="544" w:type="pct"/>
          </w:tcPr>
          <w:p w14:paraId="5A4A6E8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24 218 500</w:t>
            </w:r>
          </w:p>
        </w:tc>
        <w:tc>
          <w:tcPr>
            <w:tcW w:w="537" w:type="pct"/>
          </w:tcPr>
          <w:p w14:paraId="747FF66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24 502 500</w:t>
            </w:r>
          </w:p>
        </w:tc>
      </w:tr>
      <w:tr w:rsidR="00AD01C8" w:rsidRPr="00FE3A13" w14:paraId="25AA91B9"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03B900C1" w14:textId="77777777" w:rsidR="00AD01C8" w:rsidRPr="00FE3A13" w:rsidRDefault="00AD01C8" w:rsidP="00DB7321">
            <w:pPr>
              <w:pStyle w:val="NIVtableau"/>
            </w:pPr>
          </w:p>
        </w:tc>
        <w:tc>
          <w:tcPr>
            <w:tcW w:w="4346" w:type="pct"/>
            <w:gridSpan w:val="8"/>
          </w:tcPr>
          <w:p w14:paraId="6B5E8F41" w14:textId="77777777" w:rsidR="00AD01C8" w:rsidRPr="00FE3A13" w:rsidRDefault="00AD01C8" w:rsidP="00DB7321">
            <w:pPr>
              <w:pStyle w:val="NIVtableau"/>
              <w:spacing w:before="100" w:after="100"/>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Nouvelle répartition des charges</w:t>
            </w:r>
          </w:p>
        </w:tc>
      </w:tr>
      <w:tr w:rsidR="00AD01C8" w:rsidRPr="00FE3A13" w14:paraId="656CFD15"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1BA52945" w14:textId="77777777" w:rsidR="00AD01C8" w:rsidRPr="00FE3A13" w:rsidRDefault="00AD01C8" w:rsidP="00DB7321">
            <w:pPr>
              <w:pStyle w:val="NIVtableau"/>
            </w:pPr>
            <w:r w:rsidRPr="00FE3A13">
              <w:t>LASoc</w:t>
            </w:r>
          </w:p>
        </w:tc>
        <w:tc>
          <w:tcPr>
            <w:tcW w:w="1088" w:type="pct"/>
            <w:gridSpan w:val="2"/>
            <w:vMerge w:val="restart"/>
          </w:tcPr>
          <w:p w14:paraId="2A2D0559"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1C32F389"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6 875 000</w:t>
            </w:r>
          </w:p>
        </w:tc>
        <w:tc>
          <w:tcPr>
            <w:tcW w:w="544" w:type="pct"/>
          </w:tcPr>
          <w:p w14:paraId="69B59E3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7 077 500</w:t>
            </w:r>
          </w:p>
        </w:tc>
        <w:tc>
          <w:tcPr>
            <w:tcW w:w="544" w:type="pct"/>
          </w:tcPr>
          <w:p w14:paraId="7782AC5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7 157 500</w:t>
            </w:r>
          </w:p>
        </w:tc>
        <w:tc>
          <w:tcPr>
            <w:tcW w:w="545" w:type="pct"/>
          </w:tcPr>
          <w:p w14:paraId="6B199C8E"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27 500 000</w:t>
            </w:r>
          </w:p>
        </w:tc>
        <w:tc>
          <w:tcPr>
            <w:tcW w:w="544" w:type="pct"/>
          </w:tcPr>
          <w:p w14:paraId="5097DA9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28 310 000</w:t>
            </w:r>
          </w:p>
        </w:tc>
        <w:tc>
          <w:tcPr>
            <w:tcW w:w="537" w:type="pct"/>
          </w:tcPr>
          <w:p w14:paraId="6CAA8995"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28 630 000</w:t>
            </w:r>
          </w:p>
        </w:tc>
      </w:tr>
      <w:tr w:rsidR="00AD01C8" w:rsidRPr="00FE3A13" w14:paraId="60E1B76A"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2135F475" w14:textId="77777777" w:rsidR="00AD01C8" w:rsidRPr="00FE3A13" w:rsidRDefault="00AD01C8" w:rsidP="00DB7321">
            <w:pPr>
              <w:pStyle w:val="NIVtableau"/>
            </w:pPr>
            <w:r w:rsidRPr="00FE3A13">
              <w:t>LAVI</w:t>
            </w:r>
          </w:p>
        </w:tc>
        <w:tc>
          <w:tcPr>
            <w:tcW w:w="1088" w:type="pct"/>
            <w:gridSpan w:val="2"/>
            <w:vMerge/>
          </w:tcPr>
          <w:p w14:paraId="2DF00093"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6B52D999"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2 292 000</w:t>
            </w:r>
          </w:p>
        </w:tc>
        <w:tc>
          <w:tcPr>
            <w:tcW w:w="544" w:type="pct"/>
          </w:tcPr>
          <w:p w14:paraId="6472A662"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2 292 000</w:t>
            </w:r>
          </w:p>
        </w:tc>
        <w:tc>
          <w:tcPr>
            <w:tcW w:w="544" w:type="pct"/>
          </w:tcPr>
          <w:p w14:paraId="1D65FBB5"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2 292 000</w:t>
            </w:r>
          </w:p>
        </w:tc>
        <w:tc>
          <w:tcPr>
            <w:tcW w:w="545" w:type="pct"/>
          </w:tcPr>
          <w:p w14:paraId="6C761D20"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0</w:t>
            </w:r>
          </w:p>
        </w:tc>
        <w:tc>
          <w:tcPr>
            <w:tcW w:w="544" w:type="pct"/>
          </w:tcPr>
          <w:p w14:paraId="0A4854AE"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0</w:t>
            </w:r>
          </w:p>
        </w:tc>
        <w:tc>
          <w:tcPr>
            <w:tcW w:w="537" w:type="pct"/>
          </w:tcPr>
          <w:p w14:paraId="13E55B06"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0</w:t>
            </w:r>
          </w:p>
        </w:tc>
      </w:tr>
      <w:tr w:rsidR="00AD01C8" w:rsidRPr="00FE3A13" w14:paraId="04D4E2A4"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4E464D3A" w14:textId="77777777" w:rsidR="00AD01C8" w:rsidRPr="00FE3A13" w:rsidRDefault="00AD01C8" w:rsidP="00DB7321">
            <w:pPr>
              <w:pStyle w:val="NIVtableau"/>
            </w:pPr>
            <w:r w:rsidRPr="00FE3A13">
              <w:t>LARACE</w:t>
            </w:r>
          </w:p>
        </w:tc>
        <w:tc>
          <w:tcPr>
            <w:tcW w:w="1088" w:type="pct"/>
            <w:gridSpan w:val="2"/>
            <w:vMerge/>
          </w:tcPr>
          <w:p w14:paraId="7A0D7D3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728A7ED3"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4 089 000</w:t>
            </w:r>
          </w:p>
        </w:tc>
        <w:tc>
          <w:tcPr>
            <w:tcW w:w="544" w:type="pct"/>
          </w:tcPr>
          <w:p w14:paraId="4630539F"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4 159 000</w:t>
            </w:r>
          </w:p>
        </w:tc>
        <w:tc>
          <w:tcPr>
            <w:tcW w:w="544" w:type="pct"/>
          </w:tcPr>
          <w:p w14:paraId="4704D50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4 231 000</w:t>
            </w:r>
          </w:p>
        </w:tc>
        <w:tc>
          <w:tcPr>
            <w:tcW w:w="545" w:type="pct"/>
          </w:tcPr>
          <w:p w14:paraId="1F6E28D8"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0</w:t>
            </w:r>
          </w:p>
        </w:tc>
        <w:tc>
          <w:tcPr>
            <w:tcW w:w="544" w:type="pct"/>
          </w:tcPr>
          <w:p w14:paraId="6021A72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0</w:t>
            </w:r>
          </w:p>
        </w:tc>
        <w:tc>
          <w:tcPr>
            <w:tcW w:w="537" w:type="pct"/>
          </w:tcPr>
          <w:p w14:paraId="061593D4"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0</w:t>
            </w:r>
          </w:p>
        </w:tc>
      </w:tr>
      <w:tr w:rsidR="00AD01C8" w:rsidRPr="00FE3A13" w14:paraId="12D09153"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76077103" w14:textId="77777777" w:rsidR="00AD01C8" w:rsidRPr="00FE3A13" w:rsidRDefault="00AD01C8" w:rsidP="00DB7321">
            <w:pPr>
              <w:pStyle w:val="NIVtableau"/>
            </w:pPr>
            <w:r w:rsidRPr="00FE3A13">
              <w:t>Nouveau total</w:t>
            </w:r>
          </w:p>
        </w:tc>
        <w:tc>
          <w:tcPr>
            <w:tcW w:w="1088" w:type="pct"/>
            <w:gridSpan w:val="2"/>
            <w:vMerge/>
          </w:tcPr>
          <w:p w14:paraId="16876C37"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644F31A6"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13 256 000</w:t>
            </w:r>
          </w:p>
        </w:tc>
        <w:tc>
          <w:tcPr>
            <w:tcW w:w="544" w:type="pct"/>
          </w:tcPr>
          <w:p w14:paraId="4D30ABEF"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13 528 500</w:t>
            </w:r>
          </w:p>
        </w:tc>
        <w:tc>
          <w:tcPr>
            <w:tcW w:w="544" w:type="pct"/>
          </w:tcPr>
          <w:p w14:paraId="5F40C89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13 680 500</w:t>
            </w:r>
          </w:p>
        </w:tc>
        <w:tc>
          <w:tcPr>
            <w:tcW w:w="545" w:type="pct"/>
          </w:tcPr>
          <w:p w14:paraId="535D123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27 500 000</w:t>
            </w:r>
          </w:p>
        </w:tc>
        <w:tc>
          <w:tcPr>
            <w:tcW w:w="544" w:type="pct"/>
          </w:tcPr>
          <w:p w14:paraId="34919AE2"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28 310 000</w:t>
            </w:r>
          </w:p>
        </w:tc>
        <w:tc>
          <w:tcPr>
            <w:tcW w:w="537" w:type="pct"/>
          </w:tcPr>
          <w:p w14:paraId="50EF9915"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28 630 000</w:t>
            </w:r>
          </w:p>
        </w:tc>
      </w:tr>
      <w:tr w:rsidR="00AD01C8" w:rsidRPr="00FE3A13" w14:paraId="1CA0B96E"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6663D6B2" w14:textId="77777777" w:rsidR="00AD01C8" w:rsidRPr="00FE3A13" w:rsidRDefault="00AD01C8" w:rsidP="00DB7321">
            <w:pPr>
              <w:pStyle w:val="NIVtableau"/>
            </w:pPr>
          </w:p>
        </w:tc>
        <w:tc>
          <w:tcPr>
            <w:tcW w:w="4346" w:type="pct"/>
            <w:gridSpan w:val="8"/>
          </w:tcPr>
          <w:p w14:paraId="1F3057B0" w14:textId="77777777" w:rsidR="00AD01C8" w:rsidRPr="00FE3A13" w:rsidRDefault="00AD01C8" w:rsidP="00DB7321">
            <w:pPr>
              <w:pStyle w:val="NIVtableau"/>
              <w:spacing w:before="100" w:after="100"/>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Incidences financières nettes (+ amélioration financière / - dégradation financière)</w:t>
            </w:r>
          </w:p>
        </w:tc>
      </w:tr>
      <w:tr w:rsidR="00AD01C8" w:rsidRPr="00FE3A13" w14:paraId="57CD1B39"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5CF6772B" w14:textId="77777777" w:rsidR="00AD01C8" w:rsidRPr="00FE3A13" w:rsidRDefault="00AD01C8" w:rsidP="00DB7321">
            <w:pPr>
              <w:pStyle w:val="NIVtableau"/>
            </w:pPr>
            <w:r w:rsidRPr="00FE3A13">
              <w:t>LASoc</w:t>
            </w:r>
          </w:p>
        </w:tc>
        <w:tc>
          <w:tcPr>
            <w:tcW w:w="1088" w:type="pct"/>
            <w:gridSpan w:val="2"/>
            <w:vMerge w:val="restart"/>
          </w:tcPr>
          <w:p w14:paraId="76468E06"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0BC3817B"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6 875 000</w:t>
            </w:r>
          </w:p>
        </w:tc>
        <w:tc>
          <w:tcPr>
            <w:tcW w:w="544" w:type="pct"/>
          </w:tcPr>
          <w:p w14:paraId="664B048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7 077 500</w:t>
            </w:r>
          </w:p>
        </w:tc>
        <w:tc>
          <w:tcPr>
            <w:tcW w:w="544" w:type="pct"/>
          </w:tcPr>
          <w:p w14:paraId="66FA904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7 157 500</w:t>
            </w:r>
          </w:p>
        </w:tc>
        <w:tc>
          <w:tcPr>
            <w:tcW w:w="545" w:type="pct"/>
          </w:tcPr>
          <w:p w14:paraId="357CF132"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-6 875 000</w:t>
            </w:r>
          </w:p>
        </w:tc>
        <w:tc>
          <w:tcPr>
            <w:tcW w:w="544" w:type="pct"/>
          </w:tcPr>
          <w:p w14:paraId="153DCE01"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-7 077 500</w:t>
            </w:r>
          </w:p>
        </w:tc>
        <w:tc>
          <w:tcPr>
            <w:tcW w:w="537" w:type="pct"/>
          </w:tcPr>
          <w:p w14:paraId="7F14B0BC" w14:textId="534093E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 xml:space="preserve">-7 157 </w:t>
            </w:r>
            <w:r w:rsidR="003E0229" w:rsidRPr="00FE3A13">
              <w:t>5</w:t>
            </w:r>
            <w:r w:rsidRPr="00FE3A13">
              <w:t>00</w:t>
            </w:r>
          </w:p>
        </w:tc>
      </w:tr>
      <w:tr w:rsidR="00AD01C8" w:rsidRPr="00FE3A13" w14:paraId="423DA5BD"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729A4E84" w14:textId="77777777" w:rsidR="00AD01C8" w:rsidRPr="00FE3A13" w:rsidRDefault="00AD01C8" w:rsidP="00DB7321">
            <w:pPr>
              <w:pStyle w:val="NIVtableau"/>
            </w:pPr>
            <w:r w:rsidRPr="00FE3A13">
              <w:t>LAVI</w:t>
            </w:r>
          </w:p>
        </w:tc>
        <w:tc>
          <w:tcPr>
            <w:tcW w:w="1088" w:type="pct"/>
            <w:gridSpan w:val="2"/>
            <w:vMerge/>
          </w:tcPr>
          <w:p w14:paraId="24C324FA"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6D6E4A95"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44" w:type="pct"/>
          </w:tcPr>
          <w:p w14:paraId="3B302613"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44" w:type="pct"/>
          </w:tcPr>
          <w:p w14:paraId="413168C4"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45" w:type="pct"/>
          </w:tcPr>
          <w:p w14:paraId="1F8CF415"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44" w:type="pct"/>
          </w:tcPr>
          <w:p w14:paraId="7D7C8B0A"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c>
          <w:tcPr>
            <w:tcW w:w="537" w:type="pct"/>
          </w:tcPr>
          <w:p w14:paraId="2DEEEE6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885 000</w:t>
            </w:r>
          </w:p>
        </w:tc>
      </w:tr>
      <w:tr w:rsidR="00AD01C8" w:rsidRPr="00FE3A13" w14:paraId="030A0BF6" w14:textId="77777777" w:rsidTr="00DB7321">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654" w:type="pct"/>
          </w:tcPr>
          <w:p w14:paraId="520C0AD7" w14:textId="77777777" w:rsidR="00AD01C8" w:rsidRPr="00FE3A13" w:rsidRDefault="00AD01C8" w:rsidP="00DB7321">
            <w:pPr>
              <w:pStyle w:val="NIVtableau"/>
            </w:pPr>
            <w:r w:rsidRPr="00FE3A13">
              <w:t>LARACE</w:t>
            </w:r>
          </w:p>
        </w:tc>
        <w:tc>
          <w:tcPr>
            <w:tcW w:w="1088" w:type="pct"/>
            <w:gridSpan w:val="2"/>
            <w:vMerge/>
          </w:tcPr>
          <w:p w14:paraId="3308C960"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rPr>
                <w:b/>
                <w:bCs w:val="0"/>
              </w:rPr>
            </w:pPr>
          </w:p>
        </w:tc>
        <w:tc>
          <w:tcPr>
            <w:tcW w:w="545" w:type="pct"/>
          </w:tcPr>
          <w:p w14:paraId="73223799"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-2 058 000</w:t>
            </w:r>
          </w:p>
        </w:tc>
        <w:tc>
          <w:tcPr>
            <w:tcW w:w="544" w:type="pct"/>
          </w:tcPr>
          <w:p w14:paraId="02BBCC9E"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-2 101 000</w:t>
            </w:r>
          </w:p>
        </w:tc>
        <w:tc>
          <w:tcPr>
            <w:tcW w:w="544" w:type="pct"/>
          </w:tcPr>
          <w:p w14:paraId="79A56964"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-2 145 000</w:t>
            </w:r>
          </w:p>
        </w:tc>
        <w:tc>
          <w:tcPr>
            <w:tcW w:w="545" w:type="pct"/>
          </w:tcPr>
          <w:p w14:paraId="59C910AC"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2 058 000</w:t>
            </w:r>
          </w:p>
        </w:tc>
        <w:tc>
          <w:tcPr>
            <w:tcW w:w="544" w:type="pct"/>
          </w:tcPr>
          <w:p w14:paraId="11918442"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2 101 000</w:t>
            </w:r>
          </w:p>
        </w:tc>
        <w:tc>
          <w:tcPr>
            <w:tcW w:w="537" w:type="pct"/>
          </w:tcPr>
          <w:p w14:paraId="168B8F6D" w14:textId="77777777" w:rsidR="00AD01C8" w:rsidRPr="00FE3A13" w:rsidRDefault="00AD01C8" w:rsidP="00DB7321">
            <w:pPr>
              <w:pStyle w:val="NIVtableauchiffres"/>
              <w:cnfStyle w:val="000000000000" w:firstRow="0" w:lastRow="0" w:firstColumn="0" w:lastColumn="0" w:oddVBand="0" w:evenVBand="0" w:oddHBand="0" w:evenHBand="0" w:firstRowFirstColumn="0" w:firstRowLastColumn="0" w:lastRowFirstColumn="0" w:lastRowLastColumn="0"/>
            </w:pPr>
            <w:r w:rsidRPr="00FE3A13">
              <w:t>2 145 000</w:t>
            </w:r>
          </w:p>
        </w:tc>
      </w:tr>
      <w:tr w:rsidR="00AD01C8" w:rsidRPr="00FE3A13" w14:paraId="04EEC65D" w14:textId="77777777" w:rsidTr="00DB732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654" w:type="pct"/>
          </w:tcPr>
          <w:p w14:paraId="33799B28" w14:textId="77777777" w:rsidR="00AD01C8" w:rsidRPr="00FE3A13" w:rsidRDefault="00AD01C8" w:rsidP="00DB7321">
            <w:pPr>
              <w:pStyle w:val="NIVtableau"/>
            </w:pPr>
            <w:r w:rsidRPr="00FE3A13">
              <w:t>Total</w:t>
            </w:r>
          </w:p>
        </w:tc>
        <w:tc>
          <w:tcPr>
            <w:tcW w:w="1088" w:type="pct"/>
            <w:gridSpan w:val="2"/>
            <w:vMerge/>
          </w:tcPr>
          <w:p w14:paraId="5B422F9D"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rPr>
                <w:b w:val="0"/>
                <w:bCs w:val="0"/>
              </w:rPr>
            </w:pPr>
          </w:p>
        </w:tc>
        <w:tc>
          <w:tcPr>
            <w:tcW w:w="545" w:type="pct"/>
          </w:tcPr>
          <w:p w14:paraId="152981F7"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pPr>
            <w:r w:rsidRPr="00FE3A13">
              <w:t>3 932 000</w:t>
            </w:r>
          </w:p>
        </w:tc>
        <w:tc>
          <w:tcPr>
            <w:tcW w:w="544" w:type="pct"/>
          </w:tcPr>
          <w:p w14:paraId="746B91BB"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pPr>
            <w:r w:rsidRPr="00FE3A13">
              <w:t>4 091 500</w:t>
            </w:r>
          </w:p>
        </w:tc>
        <w:tc>
          <w:tcPr>
            <w:tcW w:w="544" w:type="pct"/>
          </w:tcPr>
          <w:p w14:paraId="5DC2AB31"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pPr>
            <w:r w:rsidRPr="00FE3A13">
              <w:t>4 127 500</w:t>
            </w:r>
          </w:p>
        </w:tc>
        <w:tc>
          <w:tcPr>
            <w:tcW w:w="545" w:type="pct"/>
          </w:tcPr>
          <w:p w14:paraId="102E652C"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pPr>
            <w:r w:rsidRPr="00FE3A13">
              <w:t>-3 932 000</w:t>
            </w:r>
          </w:p>
        </w:tc>
        <w:tc>
          <w:tcPr>
            <w:tcW w:w="544" w:type="pct"/>
          </w:tcPr>
          <w:p w14:paraId="5EEC11D0"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pPr>
            <w:r w:rsidRPr="00FE3A13">
              <w:t>-4 091 500</w:t>
            </w:r>
          </w:p>
        </w:tc>
        <w:tc>
          <w:tcPr>
            <w:tcW w:w="537" w:type="pct"/>
          </w:tcPr>
          <w:p w14:paraId="217447AF" w14:textId="77777777" w:rsidR="00AD01C8" w:rsidRPr="00FE3A13" w:rsidRDefault="00AD01C8" w:rsidP="00DB7321">
            <w:pPr>
              <w:pStyle w:val="NIVtableauchiffres"/>
              <w:cnfStyle w:val="010000000000" w:firstRow="0" w:lastRow="1" w:firstColumn="0" w:lastColumn="0" w:oddVBand="0" w:evenVBand="0" w:oddHBand="0" w:evenHBand="0" w:firstRowFirstColumn="0" w:firstRowLastColumn="0" w:lastRowFirstColumn="0" w:lastRowLastColumn="0"/>
            </w:pPr>
            <w:r w:rsidRPr="00FE3A13">
              <w:t>- 4 127 500</w:t>
            </w:r>
          </w:p>
        </w:tc>
      </w:tr>
    </w:tbl>
    <w:p w14:paraId="4C60A932" w14:textId="77777777" w:rsidR="00AD01C8" w:rsidRPr="00FE3A13" w:rsidRDefault="00AD01C8" w:rsidP="00AD01C8">
      <w:pPr>
        <w:pStyle w:val="Titre3"/>
      </w:pPr>
      <w:bookmarkStart w:id="147" w:name="_Toc195715372"/>
      <w:r w:rsidRPr="00FE3A13">
        <w:t>Commentaires des articles de la modification légale</w:t>
      </w:r>
      <w:bookmarkEnd w:id="147"/>
    </w:p>
    <w:p w14:paraId="3347D295" w14:textId="2A246458" w:rsidR="00AD01C8" w:rsidRPr="00FE3A13" w:rsidRDefault="00AD01C8" w:rsidP="00AD01C8">
      <w:pPr>
        <w:pStyle w:val="TitreArticleloi"/>
      </w:pPr>
      <w:r w:rsidRPr="00FE3A13">
        <w:t>Art. 9 al. 2</w:t>
      </w:r>
    </w:p>
    <w:p w14:paraId="4E3CB874" w14:textId="5AE76E31" w:rsidR="00AD01C8" w:rsidRPr="00FE3A13" w:rsidRDefault="00AD01C8" w:rsidP="00AD01C8">
      <w:r w:rsidRPr="00FE3A13">
        <w:t>Les parts des communes sont supprimées. L’Etat reprend intégralement le financement dans ce domaine.</w:t>
      </w:r>
    </w:p>
    <w:p w14:paraId="206D287E" w14:textId="77777777" w:rsidR="00A50BCC" w:rsidRPr="00FE3A13" w:rsidRDefault="00A50BCC" w:rsidP="00A50BCC">
      <w:pPr>
        <w:pStyle w:val="Titre2"/>
      </w:pPr>
      <w:bookmarkStart w:id="148" w:name="_Toc195715373"/>
      <w:r w:rsidRPr="00FE3A13">
        <w:t>La modification de la loi sur la péréquation financière intercommunale (LPFI)</w:t>
      </w:r>
      <w:bookmarkEnd w:id="148"/>
    </w:p>
    <w:p w14:paraId="16B726FE" w14:textId="77777777" w:rsidR="00A50BCC" w:rsidRPr="00FE3A13" w:rsidRDefault="00A50BCC" w:rsidP="00A50BCC">
      <w:pPr>
        <w:pStyle w:val="Titre3"/>
      </w:pPr>
      <w:bookmarkStart w:id="149" w:name="_Toc195715374"/>
      <w:r w:rsidRPr="00FE3A13">
        <w:t>Informations générales</w:t>
      </w:r>
      <w:bookmarkEnd w:id="149"/>
    </w:p>
    <w:p w14:paraId="0B5FA11D" w14:textId="77777777" w:rsidR="00A50BCC" w:rsidRPr="00FE3A13" w:rsidRDefault="00A50BCC" w:rsidP="00A50BCC">
      <w:pPr>
        <w:rPr>
          <w:b/>
          <w:bCs/>
        </w:rPr>
      </w:pPr>
      <w:r w:rsidRPr="00FE3A13">
        <w:t xml:space="preserve">&gt; </w:t>
      </w:r>
      <w:r w:rsidRPr="00FE3A13">
        <w:tab/>
      </w:r>
      <w:r w:rsidRPr="00FE3A13">
        <w:rPr>
          <w:b/>
          <w:bCs/>
        </w:rPr>
        <w:t>Plafonnement de la péréquation financière intercommunale des besoins au niveau de 2025</w:t>
      </w:r>
    </w:p>
    <w:p w14:paraId="6EB489E8" w14:textId="77777777" w:rsidR="00A50BCC" w:rsidRPr="00FE3A13" w:rsidRDefault="00A50BCC" w:rsidP="00A50BCC">
      <w:pPr>
        <w:pStyle w:val="Corpsdetexte"/>
      </w:pPr>
      <w:r w:rsidRPr="00FE3A13">
        <w:t xml:space="preserve">L’art. 14 de la loi sur la péréquation financière intercommunale (LPFI ; RSF 142.1) prévoit que la somme à répartir annuellement entre les communes au titre de la péréquation de besoins correspond à 50% du montant de la somme </w:t>
      </w:r>
      <w:r w:rsidRPr="00FE3A13">
        <w:lastRenderedPageBreak/>
        <w:t>annuelle à répartir au titre de la péréquation des ressources (elle-même correspondant à 2,5% du potentiel fiscal de l’ensemble des communes, art. 6 al. 1 LPFI). Dans le cadre du PAFE, il est toutefois proposé de plafonner cette somme, entièrement financée par l’Etat, à son niveau 2025, soit 17,2 millions de francs.</w:t>
      </w:r>
    </w:p>
    <w:p w14:paraId="1F1B8836" w14:textId="77777777" w:rsidR="00A50BCC" w:rsidRPr="00FE3A13" w:rsidRDefault="00A50BCC" w:rsidP="00A50BCC">
      <w:pPr>
        <w:pStyle w:val="Corpsdetexte"/>
      </w:pPr>
      <w:r w:rsidRPr="00FE3A13">
        <w:t>Le plan financier de l’Etat anticipait une croissance de la péréquation financière intercommunale des besoins pour les années 2026, 2027 et 2028. Le plafonnement temporaire permettrait une stabilisation des dépenses sur l’intervalle. Cela correspond, en parallèle, à un manque à gagner global pour l’ensemble des communes pour les années 2027 et 2028. Dès 2029, le système ordinaire prévu par l’art. 14 sera rétabli. La péréquation des ressources n’est pas impactée par cette mesure.</w:t>
      </w:r>
    </w:p>
    <w:p w14:paraId="7E454E10" w14:textId="77777777" w:rsidR="00A50BCC" w:rsidRPr="00FE3A13" w:rsidRDefault="00A50BCC" w:rsidP="00A50BCC">
      <w:pPr>
        <w:pStyle w:val="Titre3"/>
      </w:pPr>
      <w:bookmarkStart w:id="150" w:name="_Toc195715375"/>
      <w:r w:rsidRPr="00FE3A13">
        <w:t>Commentaires des articles de la modification légale</w:t>
      </w:r>
      <w:bookmarkEnd w:id="150"/>
    </w:p>
    <w:p w14:paraId="43D0C2D5" w14:textId="77777777" w:rsidR="00A50BCC" w:rsidRPr="00FE3A13" w:rsidRDefault="00A50BCC" w:rsidP="00A50BCC">
      <w:pPr>
        <w:pStyle w:val="TitreArticleloi"/>
      </w:pPr>
      <w:r w:rsidRPr="00FE3A13">
        <w:t>Art 20a</w:t>
      </w:r>
    </w:p>
    <w:p w14:paraId="6BF4910A" w14:textId="3D9083CE" w:rsidR="00A50BCC" w:rsidRPr="00FE3A13" w:rsidRDefault="00A50BCC" w:rsidP="00AD01C8">
      <w:r w:rsidRPr="00FE3A13">
        <w:t>L’article concrétise le plafonnement à 17,2 millions de francs pour les années 2026, 2027 et 2028.</w:t>
      </w:r>
    </w:p>
    <w:p w14:paraId="2817A7D0" w14:textId="5706FDA8" w:rsidR="00A85995" w:rsidRPr="00FE3A13" w:rsidRDefault="00A85995" w:rsidP="00A85995">
      <w:pPr>
        <w:pStyle w:val="Titre2"/>
      </w:pPr>
      <w:bookmarkStart w:id="151" w:name="_Toc195715376"/>
      <w:r w:rsidRPr="00FE3A13">
        <w:t>La modification de la loi sur l’aide au recouvrement et l’avance de contributions d’entretien (LARACE)</w:t>
      </w:r>
      <w:bookmarkEnd w:id="151"/>
    </w:p>
    <w:p w14:paraId="52B0AB44" w14:textId="75F0445D" w:rsidR="00AD01C8" w:rsidRPr="00FE3A13" w:rsidRDefault="00AD01C8" w:rsidP="004205DF">
      <w:pPr>
        <w:pStyle w:val="Titre3"/>
      </w:pPr>
      <w:bookmarkStart w:id="152" w:name="_Toc195715377"/>
      <w:r w:rsidRPr="00FE3A13">
        <w:t>Informations générales</w:t>
      </w:r>
      <w:bookmarkEnd w:id="152"/>
    </w:p>
    <w:p w14:paraId="5B0F6043" w14:textId="4D367A08" w:rsidR="004205DF" w:rsidRPr="00FE3A13" w:rsidRDefault="004205DF" w:rsidP="00AD01C8">
      <w:bookmarkStart w:id="153" w:name="_Hlk194644616"/>
      <w:r w:rsidRPr="00FE3A13">
        <w:t xml:space="preserve">Cette modification est liée à celles de la LALAVI et de la LASoc. Les explications nécessaires à ce sujet sont données dans le cadre de la section 6.5.1. </w:t>
      </w:r>
    </w:p>
    <w:p w14:paraId="448DE5F2" w14:textId="26049145" w:rsidR="00AD01C8" w:rsidRPr="00FE3A13" w:rsidRDefault="00AD01C8" w:rsidP="00AD01C8">
      <w:pPr>
        <w:pStyle w:val="Titre3"/>
      </w:pPr>
      <w:bookmarkStart w:id="154" w:name="_Toc195715378"/>
      <w:bookmarkEnd w:id="153"/>
      <w:r w:rsidRPr="00FE3A13">
        <w:t>Estimations financières détaillée</w:t>
      </w:r>
      <w:r w:rsidR="003626F6" w:rsidRPr="00FE3A13">
        <w:t>s</w:t>
      </w:r>
      <w:bookmarkEnd w:id="154"/>
    </w:p>
    <w:p w14:paraId="1CA503B7" w14:textId="7187F439" w:rsidR="004205DF" w:rsidRPr="00FE3A13" w:rsidRDefault="004205DF" w:rsidP="00AD01C8">
      <w:pPr>
        <w:pStyle w:val="Corpsdetexte"/>
      </w:pPr>
      <w:bookmarkStart w:id="155" w:name="_Hlk194645008"/>
      <w:r w:rsidRPr="00FE3A13">
        <w:t>Cette modification est liée à celles de la LALAVI et de la LASoc. Une estimation détaillée des incidences financières de la mesure est présentée dans le cadre de la section 6.5.2.</w:t>
      </w:r>
    </w:p>
    <w:p w14:paraId="50611BA8" w14:textId="77777777" w:rsidR="00AD01C8" w:rsidRPr="00FE3A13" w:rsidRDefault="00AD01C8" w:rsidP="00AD01C8">
      <w:pPr>
        <w:pStyle w:val="Titre3"/>
      </w:pPr>
      <w:bookmarkStart w:id="156" w:name="_Toc195715379"/>
      <w:bookmarkEnd w:id="155"/>
      <w:r w:rsidRPr="00FE3A13">
        <w:t>Commentaires des articles de la modification légale</w:t>
      </w:r>
      <w:bookmarkEnd w:id="156"/>
    </w:p>
    <w:p w14:paraId="386ED486" w14:textId="0E6D6116" w:rsidR="00AD01C8" w:rsidRPr="00FE3A13" w:rsidRDefault="00AD01C8" w:rsidP="00AD01C8">
      <w:pPr>
        <w:pStyle w:val="TitreArticleloi"/>
      </w:pPr>
      <w:r w:rsidRPr="00FE3A13">
        <w:t>Art. 21 al. 1</w:t>
      </w:r>
    </w:p>
    <w:p w14:paraId="1C7494F0" w14:textId="4499CA01" w:rsidR="00AD01C8" w:rsidRPr="00FE3A13" w:rsidRDefault="00AD01C8" w:rsidP="00A85995">
      <w:r w:rsidRPr="00FE3A13">
        <w:t>Les parts des communes sont supprimées. L’Etat reprend intégralement le financement dans ce domaine.</w:t>
      </w:r>
    </w:p>
    <w:p w14:paraId="33C60D3D" w14:textId="572BA55D" w:rsidR="00B92569" w:rsidRPr="00FE3A13" w:rsidRDefault="00B92569" w:rsidP="00B92569">
      <w:pPr>
        <w:pStyle w:val="Titre2"/>
      </w:pPr>
      <w:bookmarkStart w:id="157" w:name="_Toc195715380"/>
      <w:r w:rsidRPr="00FE3A13">
        <w:t>La modification de la loi relative aux subventions pour les constructions d’écoles enfantines, primaires et du cycle d’orientation</w:t>
      </w:r>
      <w:bookmarkEnd w:id="157"/>
      <w:r w:rsidRPr="00FE3A13">
        <w:t xml:space="preserve"> </w:t>
      </w:r>
    </w:p>
    <w:p w14:paraId="4FF69B20" w14:textId="77777777" w:rsidR="00B92569" w:rsidRPr="00FE3A13" w:rsidRDefault="00B92569" w:rsidP="00B92569">
      <w:pPr>
        <w:pStyle w:val="Titre3"/>
      </w:pPr>
      <w:bookmarkStart w:id="158" w:name="_Toc195715381"/>
      <w:r w:rsidRPr="00FE3A13">
        <w:t>Informations générales</w:t>
      </w:r>
      <w:bookmarkEnd w:id="158"/>
    </w:p>
    <w:p w14:paraId="6E4857C1" w14:textId="685B7E66" w:rsidR="00CC7F8D" w:rsidRPr="00FE3A13" w:rsidRDefault="00CC7F8D" w:rsidP="00B92569">
      <w:pPr>
        <w:pStyle w:val="Corpsdetexte"/>
      </w:pPr>
      <w:r w:rsidRPr="00FE3A13">
        <w:t xml:space="preserve">&gt; </w:t>
      </w:r>
      <w:r w:rsidRPr="00FE3A13">
        <w:tab/>
      </w:r>
      <w:r w:rsidRPr="00FE3A13">
        <w:rPr>
          <w:b/>
          <w:bCs/>
        </w:rPr>
        <w:t>Réévaluation du soutien à la construction de bâtiments scolaires</w:t>
      </w:r>
    </w:p>
    <w:p w14:paraId="49614AAD" w14:textId="01268500" w:rsidR="00561083" w:rsidRPr="00FE3A13" w:rsidRDefault="00561083" w:rsidP="009551DC">
      <w:r w:rsidRPr="00FE3A13">
        <w:t>Conformément aux articles 12 et 13 de la loi, l’État subventionne les constructions scolaires à hauteur de 16,8 % d’un montant subventionnable forfaitaire au m² pour les écoles enfantines et primaires, ainsi que par bâtiment pour les salles de sport. Pour les écoles du cycle d’orientation, la subvention s’élève à 45 % du montant subventionnable.</w:t>
      </w:r>
      <w:r w:rsidR="00191E01" w:rsidRPr="00FE3A13">
        <w:t xml:space="preserve"> </w:t>
      </w:r>
      <w:r w:rsidRPr="00FE3A13">
        <w:t>En réalité, ces taux forfaitaires correspondent, sur les coûts de construction finaux, à une subvention effective située entre 2,89 % et 6,30 % pour les écoles primaires, et à environ 12 % pour les cycles d’orientation.</w:t>
      </w:r>
    </w:p>
    <w:p w14:paraId="347A9F52" w14:textId="77777777" w:rsidR="00561083" w:rsidRPr="00FE3A13" w:rsidRDefault="00561083" w:rsidP="009551DC">
      <w:r w:rsidRPr="00FE3A13">
        <w:t xml:space="preserve">Compte tenu du faible taux de subventionnement effectif ainsi que des importantes ressources humaines mobilisées pour le traitement de ces demandes, il est proposé de supprimer le subventionnement pour les écoles primaires. Cette suppression emporte également la fin du subventionnement pour les écoles enfantines et l’accueil extra-scolaire, ces infrastructures étant en principe intégrées aux bâtiments scolaires primaires. Par ailleurs, l’accueil extra-scolaire ne s’applique plus au niveau du cycle d’orientation. </w:t>
      </w:r>
    </w:p>
    <w:p w14:paraId="42A9FCC8" w14:textId="5F3EE9C6" w:rsidR="00B92569" w:rsidRPr="00FE3A13" w:rsidRDefault="00561083" w:rsidP="009551DC">
      <w:bookmarkStart w:id="159" w:name="_Hlk195091562"/>
      <w:r w:rsidRPr="00FE3A13">
        <w:t>L’économie générée par cette mesure est estimée à environ 5 millions de francs par an. Il convient toutefois de préciser que l’effet ne sera pas immédiat. Ainsi, selon la disposition transitoire proposée à l’art. 25 al. 1, les projets relatifs aux accueils extra-scolaires, aux écoles enfantines et aux écoles primaires qui, au moment de l’entrée en vigueur de la modification législative, ont déjà fait l’objet d’une approbation du programme des locaux au sens de l’article 15 de la loi, demeureront soumis à l’ancien droit et pourront donc encore bénéficier d’une subvention. Les effets financiers de cette mesure se feront ainsi ressentir de manière progressive et à plus long terme. Une adaptation légale s’impose toutefois dès à présent, dans la perspective de l’assainissement des finances de l’État.</w:t>
      </w:r>
    </w:p>
    <w:p w14:paraId="2F12432C" w14:textId="0444B21A" w:rsidR="00B92569" w:rsidRPr="00FE3A13" w:rsidRDefault="00B92569" w:rsidP="00B92569">
      <w:pPr>
        <w:pStyle w:val="Titre3"/>
      </w:pPr>
      <w:bookmarkStart w:id="160" w:name="_Toc195715382"/>
      <w:bookmarkEnd w:id="159"/>
      <w:r w:rsidRPr="00FE3A13">
        <w:lastRenderedPageBreak/>
        <w:t>Commentaires des articles de la modification légale</w:t>
      </w:r>
      <w:bookmarkEnd w:id="160"/>
    </w:p>
    <w:p w14:paraId="15183467" w14:textId="57029FD1" w:rsidR="00B92569" w:rsidRPr="00FE3A13" w:rsidRDefault="00E8479E" w:rsidP="00A85995">
      <w:r w:rsidRPr="00FE3A13">
        <w:t>Les modifications</w:t>
      </w:r>
      <w:r w:rsidR="00B964CE" w:rsidRPr="00FE3A13">
        <w:t xml:space="preserve"> proposées</w:t>
      </w:r>
      <w:r w:rsidRPr="00FE3A13">
        <w:t xml:space="preserve"> visent toutes à</w:t>
      </w:r>
      <w:r w:rsidR="00B964CE" w:rsidRPr="00FE3A13">
        <w:t xml:space="preserve"> concrétiser</w:t>
      </w:r>
      <w:r w:rsidRPr="00FE3A13">
        <w:t xml:space="preserve"> le principe général de suppression du subventionnement pour les écoles primaire</w:t>
      </w:r>
      <w:r w:rsidR="00B964CE" w:rsidRPr="00FE3A13">
        <w:t>s</w:t>
      </w:r>
      <w:r w:rsidRPr="00FE3A13">
        <w:t xml:space="preserve"> </w:t>
      </w:r>
      <w:r w:rsidR="00B964CE" w:rsidRPr="00FE3A13">
        <w:t>présenté</w:t>
      </w:r>
      <w:r w:rsidRPr="00FE3A13">
        <w:t xml:space="preserve"> précédemment</w:t>
      </w:r>
      <w:r w:rsidR="00B964CE" w:rsidRPr="00FE3A13">
        <w:t>. A l’exception de l’art. 25, elles n’appellent pas de commentaires particuliers.</w:t>
      </w:r>
    </w:p>
    <w:p w14:paraId="0E824C0C" w14:textId="4C08EDFB" w:rsidR="00191E01" w:rsidRPr="00FE3A13" w:rsidRDefault="00191E01" w:rsidP="00191E01">
      <w:pPr>
        <w:pStyle w:val="TitreArticleloi"/>
      </w:pPr>
      <w:r w:rsidRPr="00FE3A13">
        <w:t>Art. 25</w:t>
      </w:r>
    </w:p>
    <w:p w14:paraId="7DE5594C" w14:textId="3CD63FE9" w:rsidR="00A71185" w:rsidRPr="00FE3A13" w:rsidRDefault="009270BB" w:rsidP="00A85995">
      <w:r w:rsidRPr="00FE3A13">
        <w:t>Cette disposition transitoire permet de continuer de soutenir les projets ayant déjà fait l’objet d’une approbation, avant le 31 décembre 2025, au sens de l’article 15</w:t>
      </w:r>
    </w:p>
    <w:p w14:paraId="07D813A5" w14:textId="77777777" w:rsidR="00A50BCC" w:rsidRPr="00FE3A13" w:rsidRDefault="00A50BCC" w:rsidP="00A50BCC">
      <w:pPr>
        <w:pStyle w:val="Titre2"/>
      </w:pPr>
      <w:bookmarkStart w:id="161" w:name="_Toc195715383"/>
      <w:r w:rsidRPr="00FE3A13">
        <w:t>La modification de la loi sur les impôts cantonaux directs (LICD)</w:t>
      </w:r>
      <w:bookmarkEnd w:id="161"/>
      <w:r w:rsidRPr="00FE3A13">
        <w:t xml:space="preserve"> </w:t>
      </w:r>
    </w:p>
    <w:p w14:paraId="0776558B" w14:textId="77777777" w:rsidR="00A50BCC" w:rsidRPr="00FE3A13" w:rsidRDefault="00A50BCC" w:rsidP="00A50BCC">
      <w:pPr>
        <w:pStyle w:val="Titre3"/>
      </w:pPr>
      <w:bookmarkStart w:id="162" w:name="_Toc195715384"/>
      <w:r w:rsidRPr="00FE3A13">
        <w:t>Informations générales</w:t>
      </w:r>
      <w:bookmarkEnd w:id="162"/>
    </w:p>
    <w:p w14:paraId="61BC7C9A" w14:textId="40505E2B" w:rsidR="00A50BCC" w:rsidRPr="00FE3A13" w:rsidRDefault="00A50BCC" w:rsidP="00A50BCC">
      <w:pPr>
        <w:pStyle w:val="Corpsdetexte"/>
      </w:pPr>
      <w:r w:rsidRPr="00FE3A13">
        <w:t xml:space="preserve">Deux mesures du PAFE induisent des effets dans le LICD : </w:t>
      </w:r>
      <w:r w:rsidRPr="00FE3A13">
        <w:rPr>
          <w:i/>
          <w:iCs/>
        </w:rPr>
        <w:t>la Réduction de la déduction des frais de déplacement dans la taxation cantonale</w:t>
      </w:r>
      <w:r w:rsidRPr="00FE3A13">
        <w:t xml:space="preserve"> et la </w:t>
      </w:r>
      <w:r w:rsidRPr="00FE3A13">
        <w:rPr>
          <w:i/>
          <w:iCs/>
        </w:rPr>
        <w:t>Non-adaptation à la progression à froid</w:t>
      </w:r>
      <w:r w:rsidRPr="00FE3A13">
        <w:t>. Les commentaires des articles</w:t>
      </w:r>
      <w:r w:rsidR="00B92569" w:rsidRPr="00FE3A13">
        <w:t>, au point suivant,</w:t>
      </w:r>
      <w:r w:rsidRPr="00FE3A13">
        <w:t xml:space="preserve"> apportent des éléments détaillés favorisant la compréhension de ces mesures. </w:t>
      </w:r>
    </w:p>
    <w:p w14:paraId="17050840" w14:textId="77777777" w:rsidR="00A50BCC" w:rsidRPr="00FE3A13" w:rsidRDefault="00A50BCC" w:rsidP="00A50BCC">
      <w:pPr>
        <w:pStyle w:val="Titre3"/>
      </w:pPr>
      <w:bookmarkStart w:id="163" w:name="_Toc195715385"/>
      <w:r w:rsidRPr="00FE3A13">
        <w:t>Commentaires des articles de la modification légale</w:t>
      </w:r>
      <w:bookmarkEnd w:id="163"/>
    </w:p>
    <w:p w14:paraId="371A2CBB" w14:textId="77777777" w:rsidR="00A50BCC" w:rsidRPr="00FE3A13" w:rsidRDefault="00A50BCC" w:rsidP="00A50BCC">
      <w:pPr>
        <w:pStyle w:val="TitreArticleloi"/>
      </w:pPr>
      <w:r w:rsidRPr="00FE3A13">
        <w:t>Art. 27 al. 1 let. a</w:t>
      </w:r>
    </w:p>
    <w:p w14:paraId="0232E598" w14:textId="77777777" w:rsidR="00A50BCC" w:rsidRPr="00FE3A13" w:rsidRDefault="00A50BCC" w:rsidP="00A50BCC">
      <w:r w:rsidRPr="00FE3A13">
        <w:t>Introduit au 1</w:t>
      </w:r>
      <w:r w:rsidRPr="00FE3A13">
        <w:rPr>
          <w:vertAlign w:val="superscript"/>
        </w:rPr>
        <w:t>er</w:t>
      </w:r>
      <w:r w:rsidRPr="00FE3A13">
        <w:t xml:space="preserve"> janvier 2023 dans le cadre de la révision de la loi sur la mobilité, le plafonnement de la déduction pour les frais de déplacement nécessaires entre le domicile et le lieu de travail s’inscrivait dans la perspective d’assurer une répartition équilibrée et efficace des coûts entre l’Etat et les communes. Le montant de la déduction plafonnée avait alors été fixé à 12'000.- correspondant à un trajet d’environ 45 kilomètres aller-retour par jour.</w:t>
      </w:r>
    </w:p>
    <w:p w14:paraId="759E9BA8" w14:textId="77777777" w:rsidR="00A50BCC" w:rsidRPr="00FE3A13" w:rsidRDefault="00A50BCC" w:rsidP="00A50BCC">
      <w:r w:rsidRPr="00FE3A13">
        <w:t>Dans la mesure où la déduction pour frais de transport entre le domicile et le lieu de travail diminue l’assiette imposable, une réduction du plafonnement se traduit par des recettes fiscales supplémentaires pour l’Etat et les communes. Avec une déduction plafonnée fixée à frs. 8'000.- (équivalant à un trajet journalier d’environ 30 kilomètres aller-retour), les recettes fiscales supplémentaires sont estimées à frs. 5.2 millions pour l’Etat et à frs. 4.3 millions pour les communes.</w:t>
      </w:r>
    </w:p>
    <w:p w14:paraId="60C67903" w14:textId="77777777" w:rsidR="00A50BCC" w:rsidRPr="00FE3A13" w:rsidRDefault="00A50BCC" w:rsidP="00A50BCC">
      <w:pPr>
        <w:pStyle w:val="TitreArticleloi"/>
      </w:pPr>
      <w:r w:rsidRPr="00FE3A13">
        <w:t>Art. 27 al. 2</w:t>
      </w:r>
    </w:p>
    <w:p w14:paraId="391D581C" w14:textId="77777777" w:rsidR="00A50BCC" w:rsidRPr="00FE3A13" w:rsidRDefault="00A50BCC" w:rsidP="00A50BCC">
      <w:r w:rsidRPr="00FE3A13">
        <w:t xml:space="preserve">Les contribuables exerçant une activité lucrative dépendante peuvent déduire au titre de frais professionnels les frais de déplacement nécessaires entre le domicile et le lieu de travail (art. 27 al. 1 let. a LICD), les frais supplémentaires résultant des repas pris hors du domicile et du travail par équipes (art. 27 al. 1 let. b LICD) ainsi que les autres frais indispensables à l'exercice de la profession (art. 27 al. 1 let. c LICD). Ces derniers sont en principe accordés de manière forfaitaire. </w:t>
      </w:r>
    </w:p>
    <w:p w14:paraId="35C9F2DA" w14:textId="77777777" w:rsidR="00A50BCC" w:rsidRPr="00FE3A13" w:rsidRDefault="00A50BCC" w:rsidP="00A50BCC">
      <w:r w:rsidRPr="00FE3A13">
        <w:t xml:space="preserve">Toutefois, lorsque le contribuable peut justifier des frais plus élevés que la déduction forfaitaire, il peut revendiquer le montant effectif prouvé au titre d’autres frais indispensables à l’exercice de sa profession. Depuis l’introduction d’une déduction plafonnée, le contribuable ne peut en revanche plus faire valoir des frais de déplacement effectifs supérieurs au montant plafonné. Il en va également ainsi au niveau fédéral. </w:t>
      </w:r>
    </w:p>
    <w:p w14:paraId="1F767661" w14:textId="77777777" w:rsidR="00A50BCC" w:rsidRPr="00FE3A13" w:rsidRDefault="00A50BCC" w:rsidP="00A50BCC">
      <w:r w:rsidRPr="00FE3A13">
        <w:t>Dès lors, l’article 27 al. 2 LICD doit être corrigé afin d’apporter la clarté nécessaire aux contribuables quant à la possibilité de revendiquer uniquement une déduction forfaitaire (en l’espèce une indemnité kilométrique) ne pouvant pas excéder le plafond fixé pour les frais de déplacement. Il est donc nécessaire de supprimer la référence à la lettre a dans la disposition. A noter que cette modification aurait dû être effectuée en 2003 déjà.</w:t>
      </w:r>
    </w:p>
    <w:p w14:paraId="1EA83145" w14:textId="77777777" w:rsidR="00A50BCC" w:rsidRPr="00FE3A13" w:rsidRDefault="00A50BCC" w:rsidP="00A50BCC">
      <w:pPr>
        <w:pStyle w:val="TitreArticleloi"/>
      </w:pPr>
      <w:r w:rsidRPr="00FE3A13">
        <w:t>Art. 248f al.1</w:t>
      </w:r>
    </w:p>
    <w:p w14:paraId="3576E93A" w14:textId="77777777" w:rsidR="00A50BCC" w:rsidRPr="00FE3A13" w:rsidRDefault="00A50BCC" w:rsidP="00A50BCC">
      <w:r w:rsidRPr="00FE3A13">
        <w:t>Le Conseil d’Etat décide de renoncer à procéder à la compensation des effets de la progression à froid qui aurait dû intervenir en 2026 au terme des trois ans au sens des articles 40 al. 1 et 62a al. 1 LICD. Le renoncement à la compensation des effets de la progression à froid permet d’éviter une baisse des recettes fiscales cantonales de l’ordre de 28 millions de francs. Dès lors que le plan financier intègre les effets de cette indexation pour un montant de 20 millions de francs pour le canton, la mesure améliore la situation financière d’un même montant et permet d’éviter une dégradation supplémentaire des recettes de l’ordre de 8 millions de francs. Cette mesure permet d’éviter une baisse des recettes fiscales communales de l’ordre de 23 millions de francs</w:t>
      </w:r>
    </w:p>
    <w:p w14:paraId="2DDE22A6" w14:textId="77777777" w:rsidR="00A50BCC" w:rsidRPr="00FE3A13" w:rsidRDefault="00A50BCC" w:rsidP="00A50BCC">
      <w:pPr>
        <w:pStyle w:val="TitreArticleloi"/>
      </w:pPr>
      <w:r w:rsidRPr="00FE3A13">
        <w:lastRenderedPageBreak/>
        <w:t>Art. 248f al.2</w:t>
      </w:r>
    </w:p>
    <w:p w14:paraId="3DE40635" w14:textId="77777777" w:rsidR="00A50BCC" w:rsidRPr="00FE3A13" w:rsidRDefault="00A50BCC" w:rsidP="00A50BCC">
      <w:r w:rsidRPr="00FE3A13">
        <w:t>Pour que cette opération génère une amélioration pérenne des finances publiques, l’indice des prix déterminant pour la prochaine compensation des effets de la progression à froid est l’indice des prix à la consommation de décembre 2024 (décembre 2005=100), soit 109,3 points.</w:t>
      </w:r>
    </w:p>
    <w:p w14:paraId="6FCEF92A" w14:textId="77777777" w:rsidR="00A50BCC" w:rsidRPr="00FE3A13" w:rsidRDefault="00A50BCC" w:rsidP="00A50BCC">
      <w:pPr>
        <w:pStyle w:val="Titre2"/>
      </w:pPr>
      <w:bookmarkStart w:id="164" w:name="_Toc195715386"/>
      <w:r w:rsidRPr="00FE3A13">
        <w:t>La modification de la loi sur l’imposition des véhicules automobiles et des remorques (LIVAR)</w:t>
      </w:r>
      <w:bookmarkEnd w:id="164"/>
    </w:p>
    <w:p w14:paraId="7239BF42" w14:textId="77777777" w:rsidR="00A50BCC" w:rsidRPr="00FE3A13" w:rsidRDefault="00A50BCC" w:rsidP="00A50BCC">
      <w:pPr>
        <w:pStyle w:val="Titre3"/>
      </w:pPr>
      <w:bookmarkStart w:id="165" w:name="_Toc195715387"/>
      <w:r w:rsidRPr="00FE3A13">
        <w:t>Informations générales</w:t>
      </w:r>
      <w:bookmarkEnd w:id="165"/>
    </w:p>
    <w:p w14:paraId="2C6B42AF" w14:textId="77777777" w:rsidR="00A50BCC" w:rsidRPr="00FE3A13" w:rsidRDefault="00A50BCC" w:rsidP="00A50BCC">
      <w:pPr>
        <w:pStyle w:val="Listealphabtique"/>
        <w:numPr>
          <w:ilvl w:val="0"/>
          <w:numId w:val="0"/>
        </w:numPr>
      </w:pPr>
      <w:r w:rsidRPr="00FE3A13">
        <w:t xml:space="preserve">&gt; </w:t>
      </w:r>
      <w:r w:rsidRPr="00FE3A13">
        <w:tab/>
      </w:r>
      <w:r w:rsidRPr="00FE3A13">
        <w:rPr>
          <w:b/>
          <w:bCs/>
        </w:rPr>
        <w:t>Réduire la part des communes à l’impôt sur les véhicules à moteur</w:t>
      </w:r>
    </w:p>
    <w:p w14:paraId="29EA0938" w14:textId="1AB9FB5B" w:rsidR="00A50BCC" w:rsidRPr="00FE3A13" w:rsidRDefault="00A50BCC" w:rsidP="00A50BCC">
      <w:pPr>
        <w:pStyle w:val="Corpsdetexte"/>
      </w:pPr>
      <w:r w:rsidRPr="00FE3A13">
        <w:t>Les communes touchent une part de l’impôt sur les véhicules à moteur. L’article 2 al. 2 LIVAR prévoit que l’Etat rétrocède aux communes 20% net des impôts, après déduction des frais de perception. L’Office de la circulation et de la navigation (OCN) est chargé de percevoir cet impôt. Une commission de 2.5% est actuellement prélevée par l’OCN pour le travail effectué. La LIVAR prévoit une rétrocession nette, cela signifie que les communes participent proportionnellement aux frais de perception.</w:t>
      </w:r>
    </w:p>
    <w:p w14:paraId="1270746D" w14:textId="77777777" w:rsidR="00A50BCC" w:rsidRPr="00FE3A13" w:rsidRDefault="00A50BCC" w:rsidP="00A50BCC">
      <w:r w:rsidRPr="00FE3A13">
        <w:t xml:space="preserve">Il est proposé de la réduire la part des communes à 10% afin d’augmenter les recettes de l’Etat. Cette mesure opère comme variable d’ajustement afin d’arriver à une situation équitable entre l’Etat et les communes. Les transferts de charges des communes vers l’Etat des dernières années ont été partiellement pris en compte. </w:t>
      </w:r>
    </w:p>
    <w:p w14:paraId="7F2F2D38" w14:textId="77777777" w:rsidR="00A50BCC" w:rsidRPr="00FE3A13" w:rsidRDefault="00A50BCC" w:rsidP="00A50BCC">
      <w:pPr>
        <w:pStyle w:val="Titre3"/>
      </w:pPr>
      <w:bookmarkStart w:id="166" w:name="_Toc195715388"/>
      <w:r w:rsidRPr="00FE3A13">
        <w:t>Commentaires des articles de la modification légale</w:t>
      </w:r>
      <w:bookmarkEnd w:id="166"/>
    </w:p>
    <w:p w14:paraId="4FE6C351" w14:textId="77777777" w:rsidR="00A50BCC" w:rsidRPr="00FE3A13" w:rsidRDefault="00A50BCC" w:rsidP="00A50BCC">
      <w:pPr>
        <w:pStyle w:val="TitreArticleloi"/>
      </w:pPr>
      <w:r w:rsidRPr="00FE3A13">
        <w:t>Art. 2 al. 2</w:t>
      </w:r>
    </w:p>
    <w:p w14:paraId="62DFCB92" w14:textId="77777777" w:rsidR="00A50BCC" w:rsidRPr="00FE3A13" w:rsidRDefault="00A50BCC" w:rsidP="00A50BCC">
      <w:pPr>
        <w:pStyle w:val="Corpsdetexte"/>
      </w:pPr>
      <w:r w:rsidRPr="00FE3A13">
        <w:t>L’article 2 al. 2 LIVAR prévoit que l’Etat rétrocède aux communes 20% net des impôts, après déduction des frais de perception. Dans le cadre du programme de mesures structurelles et d’économies 2013-2016 (pages 68 et 69), le taux de rétrocession aux communes a été réduit une première fois de 30% à 20% dès 2014. Cette mesure a servi de variable d’ajustement afin de garantir l’équilibre financier entre l’Etat et les communes.</w:t>
      </w:r>
    </w:p>
    <w:tbl>
      <w:tblPr>
        <w:tblStyle w:val="TableauEtatFR"/>
        <w:tblW w:w="5000" w:type="pct"/>
        <w:tblLook w:val="04E0" w:firstRow="1" w:lastRow="1" w:firstColumn="1" w:lastColumn="0" w:noHBand="0" w:noVBand="1"/>
      </w:tblPr>
      <w:tblGrid>
        <w:gridCol w:w="4678"/>
        <w:gridCol w:w="1748"/>
        <w:gridCol w:w="1748"/>
        <w:gridCol w:w="1746"/>
      </w:tblGrid>
      <w:tr w:rsidR="00A50BCC" w:rsidRPr="00FE3A13" w14:paraId="47D92968" w14:textId="77777777" w:rsidTr="00696E9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58" w:type="pct"/>
            <w:vMerge w:val="restart"/>
          </w:tcPr>
          <w:p w14:paraId="3E919561" w14:textId="77777777" w:rsidR="00A50BCC" w:rsidRPr="00FE3A13" w:rsidRDefault="00A50BCC" w:rsidP="00696E92">
            <w:pPr>
              <w:pStyle w:val="NIVtableau"/>
            </w:pPr>
            <w:r w:rsidRPr="00FE3A13">
              <w:t>Variante</w:t>
            </w:r>
          </w:p>
        </w:tc>
        <w:tc>
          <w:tcPr>
            <w:tcW w:w="2642" w:type="pct"/>
            <w:gridSpan w:val="3"/>
          </w:tcPr>
          <w:p w14:paraId="721C6EF2" w14:textId="77777777" w:rsidR="00A50BCC" w:rsidRPr="00FE3A13" w:rsidRDefault="00A50BCC" w:rsidP="00696E92">
            <w:pPr>
              <w:pStyle w:val="NIVtableau"/>
              <w:cnfStyle w:val="100000000000" w:firstRow="1" w:lastRow="0" w:firstColumn="0" w:lastColumn="0" w:oddVBand="0" w:evenVBand="0" w:oddHBand="0" w:evenHBand="0" w:firstRowFirstColumn="0" w:firstRowLastColumn="0" w:lastRowFirstColumn="0" w:lastRowLastColumn="0"/>
            </w:pPr>
            <w:r w:rsidRPr="00FE3A13">
              <w:t>Part nette en % sur les impôts bruts encaissés</w:t>
            </w:r>
          </w:p>
        </w:tc>
      </w:tr>
      <w:tr w:rsidR="00A50BCC" w:rsidRPr="00FE3A13" w14:paraId="52016D6D" w14:textId="77777777" w:rsidTr="00696E92">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2358" w:type="pct"/>
            <w:vMerge/>
          </w:tcPr>
          <w:p w14:paraId="71165F68" w14:textId="77777777" w:rsidR="00A50BCC" w:rsidRPr="00FE3A13" w:rsidRDefault="00A50BCC" w:rsidP="00696E92">
            <w:pPr>
              <w:pStyle w:val="NIVtableau"/>
            </w:pPr>
          </w:p>
        </w:tc>
        <w:tc>
          <w:tcPr>
            <w:tcW w:w="881" w:type="pct"/>
          </w:tcPr>
          <w:p w14:paraId="025716D1" w14:textId="77777777" w:rsidR="00A50BCC" w:rsidRPr="00FE3A13" w:rsidRDefault="00A50BCC" w:rsidP="00696E92">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Etat</w:t>
            </w:r>
          </w:p>
        </w:tc>
        <w:tc>
          <w:tcPr>
            <w:tcW w:w="881" w:type="pct"/>
          </w:tcPr>
          <w:p w14:paraId="6212F11E" w14:textId="77777777" w:rsidR="00A50BCC" w:rsidRPr="00FE3A13" w:rsidRDefault="00A50BCC" w:rsidP="00696E92">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Communes</w:t>
            </w:r>
          </w:p>
        </w:tc>
        <w:tc>
          <w:tcPr>
            <w:tcW w:w="880" w:type="pct"/>
          </w:tcPr>
          <w:p w14:paraId="0BB8F7A7" w14:textId="77777777" w:rsidR="00A50BCC" w:rsidRPr="00FE3A13" w:rsidRDefault="00A50BCC" w:rsidP="00696E92">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OCN</w:t>
            </w:r>
          </w:p>
        </w:tc>
      </w:tr>
      <w:tr w:rsidR="00A50BCC" w:rsidRPr="00FE3A13" w14:paraId="3DBDA8E5" w14:textId="77777777" w:rsidTr="00696E92">
        <w:tblPrEx>
          <w:tblCellMar>
            <w:bottom w:w="28" w:type="dxa"/>
          </w:tblCellMar>
        </w:tblPrEx>
        <w:trPr>
          <w:trHeight w:val="343"/>
        </w:trPr>
        <w:tc>
          <w:tcPr>
            <w:cnfStyle w:val="001000000000" w:firstRow="0" w:lastRow="0" w:firstColumn="1" w:lastColumn="0" w:oddVBand="0" w:evenVBand="0" w:oddHBand="0" w:evenHBand="0" w:firstRowFirstColumn="0" w:firstRowLastColumn="0" w:lastRowFirstColumn="0" w:lastRowLastColumn="0"/>
            <w:tcW w:w="2358" w:type="pct"/>
          </w:tcPr>
          <w:p w14:paraId="1BCFCB70" w14:textId="77777777" w:rsidR="00A50BCC" w:rsidRPr="00FE3A13" w:rsidRDefault="00A50BCC" w:rsidP="00696E92">
            <w:pPr>
              <w:pStyle w:val="NIVtableau"/>
            </w:pPr>
            <w:r w:rsidRPr="00FE3A13">
              <w:t>Rétrocessions 20%, situation actuelle</w:t>
            </w:r>
          </w:p>
        </w:tc>
        <w:tc>
          <w:tcPr>
            <w:tcW w:w="881" w:type="pct"/>
          </w:tcPr>
          <w:p w14:paraId="0DBC3D31" w14:textId="77777777" w:rsidR="00A50BCC" w:rsidRPr="00FE3A13" w:rsidRDefault="00A50BCC" w:rsidP="00696E92">
            <w:pPr>
              <w:pStyle w:val="NIVtableauchiffres"/>
              <w:cnfStyle w:val="000000000000" w:firstRow="0" w:lastRow="0" w:firstColumn="0" w:lastColumn="0" w:oddVBand="0" w:evenVBand="0" w:oddHBand="0" w:evenHBand="0" w:firstRowFirstColumn="0" w:firstRowLastColumn="0" w:lastRowFirstColumn="0" w:lastRowLastColumn="0"/>
            </w:pPr>
            <w:r w:rsidRPr="00FE3A13">
              <w:t>78%</w:t>
            </w:r>
          </w:p>
        </w:tc>
        <w:tc>
          <w:tcPr>
            <w:tcW w:w="881" w:type="pct"/>
          </w:tcPr>
          <w:p w14:paraId="09842871" w14:textId="77777777" w:rsidR="00A50BCC" w:rsidRPr="00FE3A13" w:rsidRDefault="00A50BCC" w:rsidP="00696E92">
            <w:pPr>
              <w:pStyle w:val="NIVtableauchiffres"/>
              <w:cnfStyle w:val="000000000000" w:firstRow="0" w:lastRow="0" w:firstColumn="0" w:lastColumn="0" w:oddVBand="0" w:evenVBand="0" w:oddHBand="0" w:evenHBand="0" w:firstRowFirstColumn="0" w:firstRowLastColumn="0" w:lastRowFirstColumn="0" w:lastRowLastColumn="0"/>
            </w:pPr>
            <w:r w:rsidRPr="00FE3A13">
              <w:t>19.5%</w:t>
            </w:r>
          </w:p>
        </w:tc>
        <w:tc>
          <w:tcPr>
            <w:tcW w:w="880" w:type="pct"/>
          </w:tcPr>
          <w:p w14:paraId="2E102DE6" w14:textId="77777777" w:rsidR="00A50BCC" w:rsidRPr="00FE3A13" w:rsidRDefault="00A50BCC" w:rsidP="00696E92">
            <w:pPr>
              <w:pStyle w:val="NIVtableauchiffres"/>
              <w:cnfStyle w:val="000000000000" w:firstRow="0" w:lastRow="0" w:firstColumn="0" w:lastColumn="0" w:oddVBand="0" w:evenVBand="0" w:oddHBand="0" w:evenHBand="0" w:firstRowFirstColumn="0" w:firstRowLastColumn="0" w:lastRowFirstColumn="0" w:lastRowLastColumn="0"/>
            </w:pPr>
            <w:r w:rsidRPr="00FE3A13">
              <w:t>2.5%</w:t>
            </w:r>
          </w:p>
        </w:tc>
      </w:tr>
      <w:tr w:rsidR="00A50BCC" w:rsidRPr="00FE3A13" w14:paraId="1CBDA662" w14:textId="77777777" w:rsidTr="00696E92">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58" w:type="pct"/>
          </w:tcPr>
          <w:p w14:paraId="300538F3" w14:textId="77777777" w:rsidR="00A50BCC" w:rsidRPr="00FE3A13" w:rsidRDefault="00A50BCC" w:rsidP="00696E92">
            <w:pPr>
              <w:pStyle w:val="NIVtableau"/>
              <w:rPr>
                <w:b w:val="0"/>
                <w:bCs w:val="0"/>
              </w:rPr>
            </w:pPr>
            <w:r w:rsidRPr="00FE3A13">
              <w:rPr>
                <w:b w:val="0"/>
                <w:bCs w:val="0"/>
              </w:rPr>
              <w:t>Rétrocessions 10%, mesure PAFE</w:t>
            </w:r>
          </w:p>
        </w:tc>
        <w:tc>
          <w:tcPr>
            <w:tcW w:w="881" w:type="pct"/>
          </w:tcPr>
          <w:p w14:paraId="5366A15C" w14:textId="77777777" w:rsidR="00A50BCC" w:rsidRPr="00FE3A13" w:rsidRDefault="00A50BCC" w:rsidP="00696E92">
            <w:pPr>
              <w:pStyle w:val="NIVtableauchiffres"/>
              <w:cnfStyle w:val="010000000000" w:firstRow="0" w:lastRow="1" w:firstColumn="0" w:lastColumn="0" w:oddVBand="0" w:evenVBand="0" w:oddHBand="0" w:evenHBand="0" w:firstRowFirstColumn="0" w:firstRowLastColumn="0" w:lastRowFirstColumn="0" w:lastRowLastColumn="0"/>
              <w:rPr>
                <w:b w:val="0"/>
                <w:bCs w:val="0"/>
              </w:rPr>
            </w:pPr>
            <w:r w:rsidRPr="00FE3A13">
              <w:rPr>
                <w:b w:val="0"/>
                <w:bCs w:val="0"/>
              </w:rPr>
              <w:t>87.75%</w:t>
            </w:r>
          </w:p>
        </w:tc>
        <w:tc>
          <w:tcPr>
            <w:tcW w:w="881" w:type="pct"/>
          </w:tcPr>
          <w:p w14:paraId="23493385" w14:textId="77777777" w:rsidR="00A50BCC" w:rsidRPr="00FE3A13" w:rsidRDefault="00A50BCC" w:rsidP="00696E92">
            <w:pPr>
              <w:pStyle w:val="NIVtableauchiffres"/>
              <w:cnfStyle w:val="010000000000" w:firstRow="0" w:lastRow="1" w:firstColumn="0" w:lastColumn="0" w:oddVBand="0" w:evenVBand="0" w:oddHBand="0" w:evenHBand="0" w:firstRowFirstColumn="0" w:firstRowLastColumn="0" w:lastRowFirstColumn="0" w:lastRowLastColumn="0"/>
              <w:rPr>
                <w:b w:val="0"/>
                <w:bCs w:val="0"/>
              </w:rPr>
            </w:pPr>
            <w:r w:rsidRPr="00FE3A13">
              <w:rPr>
                <w:b w:val="0"/>
                <w:bCs w:val="0"/>
              </w:rPr>
              <w:t>9.75%</w:t>
            </w:r>
          </w:p>
        </w:tc>
        <w:tc>
          <w:tcPr>
            <w:tcW w:w="880" w:type="pct"/>
          </w:tcPr>
          <w:p w14:paraId="4A4A3AC6" w14:textId="77777777" w:rsidR="00A50BCC" w:rsidRPr="00FE3A13" w:rsidRDefault="00A50BCC" w:rsidP="00696E92">
            <w:pPr>
              <w:pStyle w:val="NIVtableauchiffres"/>
              <w:cnfStyle w:val="010000000000" w:firstRow="0" w:lastRow="1" w:firstColumn="0" w:lastColumn="0" w:oddVBand="0" w:evenVBand="0" w:oddHBand="0" w:evenHBand="0" w:firstRowFirstColumn="0" w:firstRowLastColumn="0" w:lastRowFirstColumn="0" w:lastRowLastColumn="0"/>
              <w:rPr>
                <w:b w:val="0"/>
                <w:bCs w:val="0"/>
              </w:rPr>
            </w:pPr>
            <w:r w:rsidRPr="00FE3A13">
              <w:rPr>
                <w:b w:val="0"/>
                <w:bCs w:val="0"/>
              </w:rPr>
              <w:t>2.5%</w:t>
            </w:r>
          </w:p>
        </w:tc>
      </w:tr>
    </w:tbl>
    <w:p w14:paraId="3C22A763" w14:textId="77777777" w:rsidR="00D10723" w:rsidRPr="00FE3A13" w:rsidRDefault="00D10723" w:rsidP="00D10723">
      <w:pPr>
        <w:pStyle w:val="Titre2"/>
      </w:pPr>
      <w:bookmarkStart w:id="167" w:name="_Toc195715389"/>
      <w:r w:rsidRPr="00FE3A13">
        <w:t>La modification de la loi sur la mobilité (LMob)</w:t>
      </w:r>
      <w:bookmarkEnd w:id="167"/>
    </w:p>
    <w:p w14:paraId="187C5184" w14:textId="77777777" w:rsidR="00D10723" w:rsidRPr="00FE3A13" w:rsidRDefault="00D10723" w:rsidP="00D10723">
      <w:pPr>
        <w:pStyle w:val="Titre3"/>
      </w:pPr>
      <w:bookmarkStart w:id="168" w:name="_Toc195715390"/>
      <w:r w:rsidRPr="00FE3A13">
        <w:t>Informations générales</w:t>
      </w:r>
      <w:bookmarkEnd w:id="168"/>
    </w:p>
    <w:p w14:paraId="744FF28B" w14:textId="77777777" w:rsidR="00D10723" w:rsidRPr="00FE3A13" w:rsidRDefault="00D10723" w:rsidP="00D10723">
      <w:pPr>
        <w:rPr>
          <w:b/>
          <w:bCs/>
        </w:rPr>
      </w:pPr>
      <w:r w:rsidRPr="00FE3A13">
        <w:t xml:space="preserve">&gt; </w:t>
      </w:r>
      <w:r w:rsidRPr="00FE3A13">
        <w:tab/>
      </w:r>
      <w:r w:rsidRPr="00FE3A13">
        <w:rPr>
          <w:b/>
          <w:bCs/>
        </w:rPr>
        <w:t>Adaptation de la part des communes pour le financement du trafic local de voyageur</w:t>
      </w:r>
    </w:p>
    <w:p w14:paraId="398BC248" w14:textId="6AFE9951" w:rsidR="00CA7EDD" w:rsidRPr="00FE3A13" w:rsidRDefault="00CA7EDD" w:rsidP="00CA7EDD">
      <w:r w:rsidRPr="00FE3A13">
        <w:t>Conformément aux articles 153 et 154 de la loi sur la mobilité (LMob), l’État et les communes peuvent mandater des offres de transport public local de voyageurs. Actuellement, lorsque l’État participe à la commande, il prend en charge 57,5 % des coûts, le solde de 42,5 % étant supporté par les communes et/ou les communautés régionales concernées. En 2024, le coût total des offres de transport public local s’élevait à 37'833'812 francs, répartis entre une contribution de l’État de 21'754'441 francs et une participation des communes, respectivement des associations de communes, de 16'079'371 francs.</w:t>
      </w:r>
    </w:p>
    <w:p w14:paraId="3A18A42D" w14:textId="41A91E12" w:rsidR="00D10723" w:rsidRPr="00FE3A13" w:rsidRDefault="00CA7EDD" w:rsidP="00CA7EDD">
      <w:r w:rsidRPr="00FE3A13">
        <w:t>Dans un objectif d’équité, il est proposé de modifier cette répartition en instaurant une participation paritaire, soit 50 % à la charge de l’État et 50 % à celle des communes et/ou des communautés régionales.</w:t>
      </w:r>
    </w:p>
    <w:p w14:paraId="5E5F188E" w14:textId="77777777" w:rsidR="00D10723" w:rsidRPr="00FE3A13" w:rsidRDefault="00D10723" w:rsidP="00D10723">
      <w:pPr>
        <w:rPr>
          <w:b/>
          <w:bCs/>
        </w:rPr>
      </w:pPr>
      <w:r w:rsidRPr="00FE3A13">
        <w:t xml:space="preserve">&gt; </w:t>
      </w:r>
      <w:r w:rsidRPr="00FE3A13">
        <w:tab/>
      </w:r>
      <w:r w:rsidRPr="00FE3A13">
        <w:rPr>
          <w:b/>
          <w:bCs/>
        </w:rPr>
        <w:t>Adaptation de la part des communes pour le financement du trafic régional de voyageur</w:t>
      </w:r>
    </w:p>
    <w:p w14:paraId="6C839FE9" w14:textId="0ED893E3" w:rsidR="00F819CE" w:rsidRPr="00FE3A13" w:rsidRDefault="00F819CE" w:rsidP="00F819CE">
      <w:r w:rsidRPr="00FE3A13">
        <w:t>Selon l’article 183 LMob, les communes participent pour 45% aux indemnités d’exploitation octroyées par l’Etat au titre du trafic régional et du trafic de voyageurs d’intérêt cantonal. En 2024, le canton de Fribourg a octroyé un total de 52'298'780 francs en indemnités d’exploitation pour le trafic régional des voyageurs, dont 28'764'329 francs portés par l’Etat. Les communes fribourgeoises en assumaient une part de 23'534'451 francs.</w:t>
      </w:r>
    </w:p>
    <w:p w14:paraId="013DE0FF" w14:textId="109A937A" w:rsidR="00D10723" w:rsidRPr="00FE3A13" w:rsidRDefault="00F819CE" w:rsidP="00F819CE">
      <w:r w:rsidRPr="00FE3A13">
        <w:lastRenderedPageBreak/>
        <w:t>Dans un objectif d’équité, il proposé d’aligner le pourcentage de participation des communes à celui de l’Etat, soit 50% à charge des communes</w:t>
      </w:r>
    </w:p>
    <w:p w14:paraId="3DED4F35" w14:textId="77777777" w:rsidR="00D10723" w:rsidRPr="00FE3A13" w:rsidRDefault="00D10723" w:rsidP="00D10723">
      <w:pPr>
        <w:rPr>
          <w:b/>
        </w:rPr>
      </w:pPr>
      <w:r w:rsidRPr="00FE3A13">
        <w:t xml:space="preserve">&gt; </w:t>
      </w:r>
      <w:r w:rsidRPr="00FE3A13">
        <w:tab/>
      </w:r>
      <w:r w:rsidRPr="00FE3A13">
        <w:rPr>
          <w:b/>
        </w:rPr>
        <w:t>Transfert des coûts d'entretien du RCC empruntant les routes communales aux communes</w:t>
      </w:r>
    </w:p>
    <w:p w14:paraId="565FB2D7" w14:textId="77777777" w:rsidR="00B22CC2" w:rsidRPr="00FE3A13" w:rsidRDefault="00B22CC2" w:rsidP="00B22CC2">
      <w:r w:rsidRPr="00FE3A13">
        <w:t>La nouvelle loi sur la mobilité (LMob) a introduit un réseau de voies cyclables propre, indépendant du réseau routier (art. 26, al. 2 et 3 LMob). Ces voies peuvent toutefois être aménagées sur des routes.</w:t>
      </w:r>
    </w:p>
    <w:p w14:paraId="305CD678" w14:textId="77777777" w:rsidR="00B22CC2" w:rsidRPr="00FE3A13" w:rsidRDefault="00B22CC2" w:rsidP="00B22CC2">
      <w:r w:rsidRPr="00FE3A13">
        <w:t>La réalisation des voies cyclables cantonales relève de la compétence de l’État (art. 42 LMob). Leur entretien est également assuré par l’État (art. 73, al. 1 LMob), à l’exception des cas, hors localité, où la voie cyclable est liée à un chemin pour piétons (pistes cyclables cantonales mixtes piétons-vélos ; art. 74, al. 2 LMob).</w:t>
      </w:r>
    </w:p>
    <w:p w14:paraId="749C96CD" w14:textId="77777777" w:rsidR="00B22CC2" w:rsidRPr="00FE3A13" w:rsidRDefault="00B22CC2" w:rsidP="00B22CC2">
      <w:r w:rsidRPr="00FE3A13">
        <w:t>Dans un souci de synergie, les communes effectuent déjà, dans les faits, l’entretien de ces tronçons lorsqu’ils se situent sur ou le long de routes communales, dont elles assurent l’entretien en vertu de l’article 70 LMob. Toutefois, la charge financière de ces interventions incombe actuellement à l’État.</w:t>
      </w:r>
    </w:p>
    <w:p w14:paraId="3652352D" w14:textId="77777777" w:rsidR="00B22CC2" w:rsidRPr="00FE3A13" w:rsidRDefault="00B22CC2" w:rsidP="00B22CC2">
      <w:r w:rsidRPr="00FE3A13">
        <w:t>Dans un objectif de désenchevêtrement, il est proposé que l’entretien des voies cyclables cantonales situées sur ou le long de routes communales soit désormais pris en charge par les communes concernées.</w:t>
      </w:r>
    </w:p>
    <w:p w14:paraId="0ACEDF2F" w14:textId="77777777" w:rsidR="00B22CC2" w:rsidRPr="00FE3A13" w:rsidRDefault="00B22CC2" w:rsidP="00B22CC2">
      <w:r w:rsidRPr="00FE3A13">
        <w:t>Le réseau des voies cyclables cantonales est en cours de planification à travers l’élaboration du plan du réseau cantonal des voies cyclables (art. 42 LMob), dont la mise en consultation est prévue dans les prochains mois.</w:t>
      </w:r>
    </w:p>
    <w:p w14:paraId="5404836A" w14:textId="3D54CDC4" w:rsidR="00D10723" w:rsidRPr="00FE3A13" w:rsidRDefault="00B22CC2" w:rsidP="00B22CC2">
      <w:r w:rsidRPr="00FE3A13">
        <w:t>À ce stade, la longueur totale du réseau est estimée à 670 km, dont environ 25 % (soit 170 km) se situeraient sur des routes communales. Sur ces 170 km, 120 km se trouvent hors localité, ce qui représente actuellement une charge entièrement assumée par le canton. Le transfert de cette compétence aux communes entraînerait un allègement des charges cantonales estimé à 1 050 000 francs par an.</w:t>
      </w:r>
    </w:p>
    <w:p w14:paraId="4C3252AC" w14:textId="77777777" w:rsidR="00D10723" w:rsidRPr="00FE3A13" w:rsidRDefault="00D10723" w:rsidP="00D10723">
      <w:pPr>
        <w:pStyle w:val="Titre3"/>
      </w:pPr>
      <w:bookmarkStart w:id="169" w:name="_Toc195715391"/>
      <w:r w:rsidRPr="00FE3A13">
        <w:t>Commentaires des articles de la modification légale</w:t>
      </w:r>
      <w:bookmarkEnd w:id="169"/>
    </w:p>
    <w:p w14:paraId="28821EFB" w14:textId="76176A4B" w:rsidR="00B22CC2" w:rsidRPr="00FE3A13" w:rsidRDefault="00B22CC2" w:rsidP="00B22CC2">
      <w:pPr>
        <w:pStyle w:val="TitreArticleloi"/>
      </w:pPr>
      <w:r w:rsidRPr="00FE3A13">
        <w:t>Art. 73</w:t>
      </w:r>
    </w:p>
    <w:p w14:paraId="2D5982C0" w14:textId="73647040" w:rsidR="00B22CC2" w:rsidRPr="00FE3A13" w:rsidRDefault="00B22CC2" w:rsidP="00B22CC2">
      <w:pPr>
        <w:pStyle w:val="Corpsdetexte"/>
      </w:pPr>
      <w:r w:rsidRPr="00FE3A13">
        <w:t>L’entretien des voies cyclables cantonales situées sur ou le long de routes communales soit désormais pris en charge par les communes concernées.</w:t>
      </w:r>
    </w:p>
    <w:p w14:paraId="7F6AD49C" w14:textId="0442A5B7" w:rsidR="00132863" w:rsidRPr="00FE3A13" w:rsidRDefault="00132863" w:rsidP="00132863">
      <w:pPr>
        <w:pStyle w:val="TitreArticleloi"/>
      </w:pPr>
      <w:r w:rsidRPr="00FE3A13">
        <w:t>Art. 18</w:t>
      </w:r>
      <w:r w:rsidR="00957246" w:rsidRPr="00FE3A13">
        <w:t>3</w:t>
      </w:r>
    </w:p>
    <w:p w14:paraId="768FA2F0" w14:textId="1C52ADB5" w:rsidR="00132863" w:rsidRPr="00FE3A13" w:rsidRDefault="00132863" w:rsidP="00132863">
      <w:r w:rsidRPr="00FE3A13">
        <w:t>Le taux de contribution de l’Etat pour le trafic régional de voyageur est adapté à 50%.</w:t>
      </w:r>
    </w:p>
    <w:p w14:paraId="419A702B" w14:textId="27FE1FDC" w:rsidR="00D10723" w:rsidRPr="00FE3A13" w:rsidRDefault="00D10723" w:rsidP="00D10723">
      <w:pPr>
        <w:pStyle w:val="TitreArticleloi"/>
      </w:pPr>
      <w:r w:rsidRPr="00FE3A13">
        <w:t>Art</w:t>
      </w:r>
      <w:r w:rsidR="00CA7EDD" w:rsidRPr="00FE3A13">
        <w:t>. 184</w:t>
      </w:r>
    </w:p>
    <w:p w14:paraId="5BE1FDF2" w14:textId="722587AD" w:rsidR="00A50BCC" w:rsidRPr="00FE3A13" w:rsidRDefault="00CA7EDD" w:rsidP="00A85995">
      <w:r w:rsidRPr="00FE3A13">
        <w:t>Le taux de contribution de l’Etat pour le trafic local de voyageur est adapté à 50%.</w:t>
      </w:r>
    </w:p>
    <w:p w14:paraId="73A8D0EE" w14:textId="77777777" w:rsidR="00D10723" w:rsidRPr="00FE3A13" w:rsidRDefault="00D10723" w:rsidP="00D10723">
      <w:pPr>
        <w:pStyle w:val="Titre2"/>
      </w:pPr>
      <w:bookmarkStart w:id="170" w:name="_Toc195715392"/>
      <w:r w:rsidRPr="00FE3A13">
        <w:t>La modification de la loi sur les prestations médico-sociales (LPMS)</w:t>
      </w:r>
      <w:bookmarkEnd w:id="170"/>
    </w:p>
    <w:p w14:paraId="2E6441B5" w14:textId="77777777" w:rsidR="00D10723" w:rsidRPr="00FE3A13" w:rsidRDefault="00D10723" w:rsidP="00D10723">
      <w:pPr>
        <w:pStyle w:val="Titre3"/>
      </w:pPr>
      <w:bookmarkStart w:id="171" w:name="_Toc195715393"/>
      <w:r w:rsidRPr="00FE3A13">
        <w:t>Informations générales</w:t>
      </w:r>
      <w:bookmarkEnd w:id="171"/>
    </w:p>
    <w:p w14:paraId="57399159" w14:textId="77777777" w:rsidR="00D10723" w:rsidRPr="00FE3A13" w:rsidRDefault="00D10723" w:rsidP="00D10723">
      <w:pPr>
        <w:pStyle w:val="Listealphabtique"/>
        <w:numPr>
          <w:ilvl w:val="0"/>
          <w:numId w:val="0"/>
        </w:numPr>
        <w:rPr>
          <w:b/>
          <w:bCs/>
        </w:rPr>
      </w:pPr>
      <w:r w:rsidRPr="00FE3A13">
        <w:rPr>
          <w:b/>
          <w:bCs/>
        </w:rPr>
        <w:t xml:space="preserve">&gt; </w:t>
      </w:r>
      <w:r w:rsidRPr="00FE3A13">
        <w:rPr>
          <w:b/>
          <w:bCs/>
        </w:rPr>
        <w:tab/>
        <w:t>Mieux considérer la fortune pour la participation aux frais des résidents d'EMS</w:t>
      </w:r>
    </w:p>
    <w:p w14:paraId="5689DFF1" w14:textId="77777777" w:rsidR="00D10723" w:rsidRPr="00FE3A13" w:rsidRDefault="00D10723" w:rsidP="00D10723">
      <w:pPr>
        <w:pStyle w:val="Corpsdetexte"/>
      </w:pPr>
      <w:r w:rsidRPr="00FE3A13">
        <w:t xml:space="preserve">Cette mesure vise à mieux prendre en considération la fortune des personnes qui font appel aux subventions aux frais d’accompagnement pour financer leur séjour en EMS. </w:t>
      </w:r>
    </w:p>
    <w:p w14:paraId="02610DE0" w14:textId="77777777" w:rsidR="00D10723" w:rsidRPr="00FE3A13" w:rsidRDefault="00D10723" w:rsidP="00D10723">
      <w:pPr>
        <w:pStyle w:val="Corpsdetexte"/>
      </w:pPr>
      <w:r w:rsidRPr="00FE3A13">
        <w:t xml:space="preserve">Cette mesure induit une économie nette pour l’Etat de 1'125'000 francs par an. Les communes participant également à la subvention aux frais d’accompagnement (à raison de 55% de la facture totale), elles bénéficient également d’une diminution de leur coût. </w:t>
      </w:r>
    </w:p>
    <w:p w14:paraId="605DFE60" w14:textId="77777777" w:rsidR="00D10723" w:rsidRPr="00FE3A13" w:rsidRDefault="00D10723" w:rsidP="00D10723">
      <w:pPr>
        <w:pStyle w:val="Corpsdetexte"/>
      </w:pPr>
      <w:r w:rsidRPr="00FE3A13">
        <w:t xml:space="preserve">Cette mesure implique une augmentation des coûts à charge des personnes en EMS. </w:t>
      </w:r>
    </w:p>
    <w:p w14:paraId="10F484F8" w14:textId="620E0BD0" w:rsidR="00D10723" w:rsidRPr="00FE3A13" w:rsidRDefault="00D10723" w:rsidP="00D10723">
      <w:pPr>
        <w:pStyle w:val="Corpsdetexte"/>
      </w:pPr>
      <w:r w:rsidRPr="00FE3A13">
        <w:t xml:space="preserve">S’agissant de la question des immeubles servant d’habitation au conjoint d’un résidant d’EMS, cette mesure </w:t>
      </w:r>
      <w:r w:rsidR="001D2D3F">
        <w:t xml:space="preserve">n’aurait d’incidence que dans certains cas très particuliers. En effet, </w:t>
      </w:r>
      <w:r w:rsidRPr="00FE3A13">
        <w:t xml:space="preserve">une franchise de 300’000 francs est </w:t>
      </w:r>
      <w:r w:rsidR="001D2D3F">
        <w:t>déduite de la valeur de répartition du logement pris en compte pour le calcul.</w:t>
      </w:r>
    </w:p>
    <w:p w14:paraId="0F9DCB47" w14:textId="77777777" w:rsidR="00D10723" w:rsidRPr="00FE3A13" w:rsidRDefault="00D10723" w:rsidP="00D10723">
      <w:pPr>
        <w:pStyle w:val="Listealphabtique"/>
        <w:numPr>
          <w:ilvl w:val="0"/>
          <w:numId w:val="0"/>
        </w:numPr>
        <w:rPr>
          <w:b/>
          <w:bCs/>
        </w:rPr>
      </w:pPr>
      <w:r w:rsidRPr="00FE3A13">
        <w:rPr>
          <w:b/>
          <w:bCs/>
        </w:rPr>
        <w:t xml:space="preserve">&gt; </w:t>
      </w:r>
      <w:r w:rsidRPr="00FE3A13">
        <w:rPr>
          <w:b/>
          <w:bCs/>
        </w:rPr>
        <w:tab/>
        <w:t>Refacturation aux communes des mandats cantonaux des EMS</w:t>
      </w:r>
    </w:p>
    <w:p w14:paraId="338C2A93" w14:textId="77777777" w:rsidR="00D10723" w:rsidRPr="00FE3A13" w:rsidRDefault="00D10723" w:rsidP="00D10723">
      <w:pPr>
        <w:pStyle w:val="Corpsdetexte"/>
      </w:pPr>
      <w:r w:rsidRPr="00FE3A13">
        <w:lastRenderedPageBreak/>
        <w:t xml:space="preserve">La modification de la LPMS présentée dans la réponse au mandat 2023-GC-134 </w:t>
      </w:r>
      <w:r w:rsidRPr="00FE3A13">
        <w:rPr>
          <w:strike/>
        </w:rPr>
        <w:t>(Parlinfo: Affaires</w:t>
      </w:r>
      <w:r w:rsidRPr="00FE3A13">
        <w:t xml:space="preserve">) est proposée. Les commentaires par article apportent les explications complémentaires nécessaire à la bonne compréhension des modifications. </w:t>
      </w:r>
    </w:p>
    <w:p w14:paraId="234A23B1" w14:textId="77777777" w:rsidR="00D10723" w:rsidRPr="00FE3A13" w:rsidRDefault="00D10723" w:rsidP="00D10723">
      <w:pPr>
        <w:pStyle w:val="Titre3"/>
      </w:pPr>
      <w:bookmarkStart w:id="172" w:name="_Toc195715394"/>
      <w:r w:rsidRPr="00FE3A13">
        <w:t>Commentaires des articles de la modification légale</w:t>
      </w:r>
      <w:bookmarkEnd w:id="172"/>
    </w:p>
    <w:p w14:paraId="6E48126B" w14:textId="77777777" w:rsidR="00D10723" w:rsidRPr="00FE3A13" w:rsidRDefault="00D10723" w:rsidP="00D10723">
      <w:pPr>
        <w:pStyle w:val="TitreArticleloi"/>
      </w:pPr>
      <w:r w:rsidRPr="00FE3A13">
        <w:t>Art. 8 al. 4</w:t>
      </w:r>
    </w:p>
    <w:p w14:paraId="5DF779E5" w14:textId="77777777" w:rsidR="00D10723" w:rsidRPr="00FE3A13" w:rsidRDefault="00D10723" w:rsidP="00D10723">
      <w:pPr>
        <w:pStyle w:val="Corpsdetexte"/>
      </w:pPr>
      <w:r w:rsidRPr="00FE3A13">
        <w:t xml:space="preserve">Il s’agit de permettre, dans les situations où la mise à disposition effective de lits en EMS par les associations de communes ne suit ni la planification cantonale des soins de longue durée, ni les volumes autorisés par l’Etat, d’offrir des places en attente d’un placement définitif par l’intermédiaire d’un mandat cantonal. </w:t>
      </w:r>
    </w:p>
    <w:p w14:paraId="7A0C3D19" w14:textId="77777777" w:rsidR="00D10723" w:rsidRPr="00FE3A13" w:rsidRDefault="00D10723" w:rsidP="00D10723">
      <w:pPr>
        <w:pStyle w:val="TitreArticleloi"/>
      </w:pPr>
      <w:r w:rsidRPr="00FE3A13">
        <w:t>Art. 14 al. 2</w:t>
      </w:r>
    </w:p>
    <w:p w14:paraId="4290F266" w14:textId="4FE82764" w:rsidR="00D10723" w:rsidRPr="00FE3A13" w:rsidRDefault="00D10723" w:rsidP="00D10723">
      <w:pPr>
        <w:pStyle w:val="Corpsdetexte"/>
      </w:pPr>
      <w:r w:rsidRPr="00FE3A13">
        <w:t>Ce ou ces mandats cantonaux seront financés selon les modalités identiques à un court-séjour en EMS. Toutefois afin de compenser certaines spécificités liées à ces séjours temporaires (taux de rotation plus élevé, besoin de réactivité entraînant des frais de coordination plus importants, nécessité de garder des lits disponibles à très brève échéance, …), un montant supplémentaire, fixé forfaitairement, s'ajouter</w:t>
      </w:r>
      <w:r w:rsidR="001D2D3F">
        <w:t>a</w:t>
      </w:r>
      <w:r w:rsidRPr="00FE3A13">
        <w:t xml:space="preserve"> à ce coût usuel</w:t>
      </w:r>
    </w:p>
    <w:p w14:paraId="4DB018E2" w14:textId="77777777" w:rsidR="00D10723" w:rsidRPr="00FE3A13" w:rsidRDefault="00D10723" w:rsidP="00D10723">
      <w:pPr>
        <w:pStyle w:val="TitreArticleloi"/>
      </w:pPr>
      <w:r w:rsidRPr="00FE3A13">
        <w:t>Art. 15 al. 4</w:t>
      </w:r>
    </w:p>
    <w:p w14:paraId="77B76A2B" w14:textId="77777777" w:rsidR="00D10723" w:rsidRPr="00FE3A13" w:rsidRDefault="00D10723" w:rsidP="00D10723">
      <w:r w:rsidRPr="00FE3A13">
        <w:t>La franchise actuelle de 200'000 francs passera à 100'000 francs pour une personne seule. Les autres conditions d’accès à cette subvention aux frais d’accompagnement ne sont pas touchées par cette mesure.</w:t>
      </w:r>
    </w:p>
    <w:p w14:paraId="5270EC2E" w14:textId="77777777" w:rsidR="00D10723" w:rsidRPr="00FE3A13" w:rsidRDefault="00D10723" w:rsidP="00D10723">
      <w:pPr>
        <w:pStyle w:val="TitreArticleloi"/>
      </w:pPr>
      <w:r w:rsidRPr="00FE3A13">
        <w:t>Art. 18 al.2</w:t>
      </w:r>
    </w:p>
    <w:p w14:paraId="51218497" w14:textId="77777777" w:rsidR="00D10723" w:rsidRPr="00FE3A13" w:rsidRDefault="00D10723" w:rsidP="00D10723">
      <w:pPr>
        <w:pStyle w:val="Corpsdetexte"/>
      </w:pPr>
      <w:r w:rsidRPr="00FE3A13">
        <w:t xml:space="preserve">L’article 18 alinéa 2 précise également le mode de facturation des frais financiers liés à l’ensemble des mandats cantonaux. Cet article change la pratique actuelle et permet aux EMS disposant d’un mandat cantonal de facturer les frais financiers réels auprès de l’association de communes à laquelle appartient la commune de domicile du bénéficiaire. </w:t>
      </w:r>
    </w:p>
    <w:p w14:paraId="0DE87391" w14:textId="77777777" w:rsidR="00D10723" w:rsidRPr="00FE3A13" w:rsidRDefault="00D10723" w:rsidP="00D10723">
      <w:pPr>
        <w:pStyle w:val="TitreArticleloi"/>
        <w:rPr>
          <w:color w:val="auto"/>
        </w:rPr>
      </w:pPr>
      <w:r w:rsidRPr="00FE3A13">
        <w:rPr>
          <w:color w:val="auto"/>
        </w:rPr>
        <w:t>Art. 20a</w:t>
      </w:r>
    </w:p>
    <w:p w14:paraId="29A64BEE" w14:textId="77777777" w:rsidR="00D10723" w:rsidRPr="00FE3A13" w:rsidRDefault="00D10723" w:rsidP="00D10723">
      <w:pPr>
        <w:pStyle w:val="Corpsdetexte"/>
      </w:pPr>
      <w:r w:rsidRPr="00FE3A13">
        <w:t xml:space="preserve">L'article 20a détermine la base du financement des montants supplémentaires (surcoût) liés à des mandats de prestations cantonales conclus en raison du manque de couverture. Ainsi, c’est la ou les associations de communes responsables de couvrir le besoin qui se verront facturer le surcoût. Cela se concrétisera par un calcul rétroactif mettant en relation le nombre de journées produites par les EMS mandatés par l’association de communes avec le nombre de journées réellement utilisées par les personnes provenant des communes liées à cette association. </w:t>
      </w:r>
    </w:p>
    <w:p w14:paraId="47ED3F79" w14:textId="13ED1ABD" w:rsidR="00D10723" w:rsidRPr="00FE3A13" w:rsidRDefault="00D10723" w:rsidP="005904EB">
      <w:pPr>
        <w:pStyle w:val="Corpsdetexte"/>
      </w:pPr>
      <w:r w:rsidRPr="00FE3A13">
        <w:t>Aujourd’hui, l’EMS facture les frais financiers d’un mandat cantonal jusqu'à concurrence de la moyenne cantonale. L’éventuelle différence est prise en compte dans le mandat cantonal. Son financement est donc partagé entre le canton (45%) et l’ensemble des communes (55%) selon la population légale</w:t>
      </w:r>
    </w:p>
    <w:p w14:paraId="3ACB6E94" w14:textId="77777777" w:rsidR="00E26DBC" w:rsidRPr="00FE3A13" w:rsidRDefault="00E26DBC" w:rsidP="00E26DBC">
      <w:pPr>
        <w:pStyle w:val="Titre2"/>
      </w:pPr>
      <w:bookmarkStart w:id="173" w:name="_Toc195715395"/>
      <w:r w:rsidRPr="00FE3A13">
        <w:t>La modification de la loi d’application de la loi fédérale sur le nouveau régime de financement des soins</w:t>
      </w:r>
      <w:bookmarkEnd w:id="173"/>
    </w:p>
    <w:p w14:paraId="295DED6C" w14:textId="77777777" w:rsidR="00E26DBC" w:rsidRPr="00FE3A13" w:rsidRDefault="00E26DBC" w:rsidP="00E26DBC">
      <w:pPr>
        <w:pStyle w:val="Titre3"/>
      </w:pPr>
      <w:bookmarkStart w:id="174" w:name="_Toc195715396"/>
      <w:r w:rsidRPr="00FE3A13">
        <w:t>Informations générales</w:t>
      </w:r>
      <w:bookmarkEnd w:id="174"/>
    </w:p>
    <w:p w14:paraId="136A10EB" w14:textId="77777777" w:rsidR="00E26DBC" w:rsidRPr="00FE3A13" w:rsidRDefault="00E26DBC" w:rsidP="00E26DBC">
      <w:pPr>
        <w:pStyle w:val="Listealphabtique"/>
        <w:numPr>
          <w:ilvl w:val="0"/>
          <w:numId w:val="0"/>
        </w:numPr>
        <w:rPr>
          <w:b/>
          <w:bCs/>
        </w:rPr>
      </w:pPr>
      <w:r w:rsidRPr="00FE3A13">
        <w:rPr>
          <w:b/>
          <w:bCs/>
        </w:rPr>
        <w:t xml:space="preserve">&gt; </w:t>
      </w:r>
      <w:r w:rsidRPr="00FE3A13">
        <w:rPr>
          <w:b/>
          <w:bCs/>
        </w:rPr>
        <w:tab/>
        <w:t>Facturation du coût des soins à charge des personnes augmenté à 23.-/jour</w:t>
      </w:r>
    </w:p>
    <w:p w14:paraId="6717C230" w14:textId="77777777" w:rsidR="00E26DBC" w:rsidRPr="00FE3A13" w:rsidRDefault="00E26DBC" w:rsidP="00E26DBC">
      <w:pPr>
        <w:pStyle w:val="Corpsdetexte"/>
        <w:rPr>
          <w:lang w:val="fr-FR"/>
        </w:rPr>
      </w:pPr>
      <w:r w:rsidRPr="00FE3A13">
        <w:rPr>
          <w:lang w:val="fr-FR"/>
        </w:rPr>
        <w:t>Cette mesure touche uniquement les personnes ayant suffisamment de ressources propres. Pour celles-ci, la facture journalière sera augmentée d’en moyenne 10 francs. Pour les personnes au bénéfice de prestations complémentaires et de subventions aux frais d'accompagnement cette mesure n'a pas d'impact.</w:t>
      </w:r>
    </w:p>
    <w:p w14:paraId="15819BD5" w14:textId="77777777" w:rsidR="00E26DBC" w:rsidRPr="00FE3A13" w:rsidRDefault="00E26DBC" w:rsidP="00E26DBC">
      <w:pPr>
        <w:pStyle w:val="Corpsdetexte"/>
        <w:rPr>
          <w:lang w:val="fr-FR"/>
        </w:rPr>
      </w:pPr>
      <w:r w:rsidRPr="00FE3A13">
        <w:rPr>
          <w:lang w:val="fr-FR"/>
        </w:rPr>
        <w:t>En mettant en œuvre cette mesure le canton de Fribourg s'approche des pratiques des cantons limitrophes qui dans la plupart des cas, facturent déjà cette contribution maximale.</w:t>
      </w:r>
    </w:p>
    <w:p w14:paraId="2843FF8A" w14:textId="77777777" w:rsidR="00E26DBC" w:rsidRPr="00FE3A13" w:rsidRDefault="00E26DBC" w:rsidP="00E26DBC">
      <w:pPr>
        <w:pStyle w:val="Corpsdetexte"/>
        <w:rPr>
          <w:lang w:val="fr-FR"/>
        </w:rPr>
      </w:pPr>
      <w:r w:rsidRPr="00FE3A13">
        <w:rPr>
          <w:lang w:val="fr-FR"/>
        </w:rPr>
        <w:t xml:space="preserve">Cette mesure a un impact à la baisse sur le coût résiduel des soins et légèrement à la hausse sur la subvention à l’accompagnement pour les personnes ayant des ressources propres insuffisantes. L’effet net positif pour le canton s’élève à 1 145 000 francs. Elle impacte également positivement les communes qui financent le coût résiduel des soins et la subvention à l’accompagnement à raison de 55% de la facture totale. </w:t>
      </w:r>
    </w:p>
    <w:p w14:paraId="53AF1DB5" w14:textId="77777777" w:rsidR="00E26DBC" w:rsidRPr="00FE3A13" w:rsidRDefault="00E26DBC" w:rsidP="00E26DBC">
      <w:pPr>
        <w:pStyle w:val="Corpsdetexte"/>
        <w:rPr>
          <w:lang w:val="fr-FR"/>
        </w:rPr>
      </w:pPr>
      <w:r w:rsidRPr="00FE3A13">
        <w:rPr>
          <w:lang w:val="fr-FR"/>
        </w:rPr>
        <w:t>Les personnes ayant des ressources propres suffisantes verront leur facture d’EMS augmenter</w:t>
      </w:r>
    </w:p>
    <w:p w14:paraId="00139B06" w14:textId="77777777" w:rsidR="00E26DBC" w:rsidRPr="00FE3A13" w:rsidRDefault="00E26DBC" w:rsidP="00E26DBC">
      <w:pPr>
        <w:pStyle w:val="Titre3"/>
      </w:pPr>
      <w:bookmarkStart w:id="175" w:name="_Toc195715397"/>
      <w:r w:rsidRPr="00FE3A13">
        <w:lastRenderedPageBreak/>
        <w:t>Commentaires des articles de la modification légale</w:t>
      </w:r>
      <w:bookmarkEnd w:id="175"/>
    </w:p>
    <w:p w14:paraId="0B2EE8BC" w14:textId="77777777" w:rsidR="00E26DBC" w:rsidRPr="00FE3A13" w:rsidRDefault="00E26DBC" w:rsidP="00E26DBC">
      <w:pPr>
        <w:pStyle w:val="TitreArticleloi"/>
      </w:pPr>
      <w:r w:rsidRPr="00FE3A13">
        <w:t>Art. 2 al.1</w:t>
      </w:r>
    </w:p>
    <w:p w14:paraId="3660CDFF" w14:textId="183C18B3" w:rsidR="00E26DBC" w:rsidRPr="00FE3A13" w:rsidRDefault="00E26DBC" w:rsidP="00E26DBC">
      <w:pPr>
        <w:pStyle w:val="Corpsdetexte"/>
        <w:rPr>
          <w:lang w:val="fr-FR"/>
        </w:rPr>
      </w:pPr>
      <w:r w:rsidRPr="00FE3A13">
        <w:rPr>
          <w:lang w:val="fr-FR"/>
        </w:rPr>
        <w:t xml:space="preserve">La modification législative permet au canton de Fribourg, conformément aux règles de la LAMal, de facturer jusqu’à 20% de la contribution maximale des assureurs-maladie aux personnes bénéficiant d’une prestation en EMS. Ce montant maximal se base sur les tarifs présentés à l’article 7a, alinéa 3 de de l’Ordonnance du 29 septembre 21995 du DFI sur les prestations dans l’assurance obligatoire des soins en cas de maladie (OPAS). </w:t>
      </w:r>
    </w:p>
    <w:p w14:paraId="1BDE6B45" w14:textId="6BEC9125" w:rsidR="00DB489E" w:rsidRPr="00FE3A13" w:rsidRDefault="00DB489E" w:rsidP="00DB489E">
      <w:pPr>
        <w:pStyle w:val="Titre2"/>
      </w:pPr>
      <w:bookmarkStart w:id="176" w:name="_Toc195715398"/>
      <w:r w:rsidRPr="00FE3A13">
        <w:t>La modification de la loi sur l’aide sociale (LASoc)</w:t>
      </w:r>
      <w:bookmarkEnd w:id="176"/>
      <w:r w:rsidRPr="00FE3A13">
        <w:t xml:space="preserve"> </w:t>
      </w:r>
    </w:p>
    <w:p w14:paraId="4C354D4B" w14:textId="1BC25F03" w:rsidR="00DB489E" w:rsidRPr="00FE3A13" w:rsidRDefault="00DB489E" w:rsidP="003626F6">
      <w:pPr>
        <w:pStyle w:val="Titre3"/>
      </w:pPr>
      <w:bookmarkStart w:id="177" w:name="_Toc195715399"/>
      <w:r w:rsidRPr="00FE3A13">
        <w:t>Informations générales</w:t>
      </w:r>
      <w:bookmarkEnd w:id="177"/>
    </w:p>
    <w:p w14:paraId="72F7069C" w14:textId="511D800F" w:rsidR="004205DF" w:rsidRPr="00FE3A13" w:rsidRDefault="004205DF" w:rsidP="00DB489E">
      <w:r w:rsidRPr="00FE3A13">
        <w:t xml:space="preserve">Cette modification est liée à celles de la LALAVI et de la LARACE. Les explications nécessaires à ce sujet sont données dans le cadre de la section 6.5.1. </w:t>
      </w:r>
    </w:p>
    <w:p w14:paraId="7AE13C6A" w14:textId="73C6A067" w:rsidR="00DB489E" w:rsidRPr="00FE3A13" w:rsidRDefault="00DB489E" w:rsidP="00DB489E">
      <w:pPr>
        <w:pStyle w:val="Titre3"/>
      </w:pPr>
      <w:bookmarkStart w:id="178" w:name="_Toc195715400"/>
      <w:r w:rsidRPr="00FE3A13">
        <w:t>Estimations financières détaillée</w:t>
      </w:r>
      <w:r w:rsidR="003626F6" w:rsidRPr="00FE3A13">
        <w:t>s</w:t>
      </w:r>
      <w:bookmarkEnd w:id="178"/>
    </w:p>
    <w:p w14:paraId="40555AD4" w14:textId="38EE28D5" w:rsidR="003626F6" w:rsidRPr="00FE3A13" w:rsidRDefault="003626F6" w:rsidP="00DB489E">
      <w:pPr>
        <w:pStyle w:val="Corpsdetexte"/>
      </w:pPr>
      <w:r w:rsidRPr="00FE3A13">
        <w:t>Cette modification est liée à celles de la LALAVI et de la LARACE. Une estimation détaillée des incidences financières de la mesure est présentée dans le cadre de la section 6.5.2.</w:t>
      </w:r>
    </w:p>
    <w:p w14:paraId="6D647CB3" w14:textId="77777777" w:rsidR="00DB489E" w:rsidRPr="00FE3A13" w:rsidRDefault="00DB489E" w:rsidP="00DB489E">
      <w:pPr>
        <w:pStyle w:val="Titre3"/>
      </w:pPr>
      <w:bookmarkStart w:id="179" w:name="_Toc195715401"/>
      <w:r w:rsidRPr="00FE3A13">
        <w:t>Commentaires des articles de la modification légale</w:t>
      </w:r>
      <w:bookmarkEnd w:id="179"/>
    </w:p>
    <w:p w14:paraId="4310D770" w14:textId="77777777" w:rsidR="00DB489E" w:rsidRPr="00FE3A13" w:rsidRDefault="00DB489E" w:rsidP="00DB489E">
      <w:pPr>
        <w:pStyle w:val="TitreArticleloi"/>
      </w:pPr>
      <w:r w:rsidRPr="00FE3A13">
        <w:t>Art. 78 al. 1</w:t>
      </w:r>
    </w:p>
    <w:p w14:paraId="0E9C43B7" w14:textId="24BFAF07" w:rsidR="00DB489E" w:rsidRPr="00FE3A13" w:rsidRDefault="00DB489E" w:rsidP="00AD0EA2">
      <w:r w:rsidRPr="00FE3A13">
        <w:t>Les pourcentages sont adaptés selon la proposition.</w:t>
      </w:r>
    </w:p>
    <w:p w14:paraId="6931D7C3" w14:textId="56417081" w:rsidR="001F5C2A" w:rsidRPr="00FE3A13" w:rsidRDefault="001F5C2A" w:rsidP="001F5C2A">
      <w:pPr>
        <w:pStyle w:val="Titre2"/>
      </w:pPr>
      <w:bookmarkStart w:id="180" w:name="_Toc195715402"/>
      <w:r w:rsidRPr="00FE3A13">
        <w:t>La modification de la loi sur les institutions spécialisées et les familles d’accueil professionnelles (LIFAP)</w:t>
      </w:r>
      <w:bookmarkEnd w:id="180"/>
    </w:p>
    <w:p w14:paraId="382F49DA" w14:textId="77777777" w:rsidR="001F5C2A" w:rsidRPr="00FE3A13" w:rsidRDefault="001F5C2A" w:rsidP="001F5C2A">
      <w:pPr>
        <w:pStyle w:val="Titre3"/>
      </w:pPr>
      <w:bookmarkStart w:id="181" w:name="_Toc195715403"/>
      <w:r w:rsidRPr="00FE3A13">
        <w:t>Informations générales</w:t>
      </w:r>
      <w:bookmarkEnd w:id="181"/>
    </w:p>
    <w:p w14:paraId="70B8E805" w14:textId="0AE87039" w:rsidR="00E9134B" w:rsidRPr="00FE3A13" w:rsidRDefault="00E9134B" w:rsidP="00E9134B">
      <w:pPr>
        <w:pStyle w:val="Corpsdetexte"/>
      </w:pPr>
      <w:r w:rsidRPr="00FE3A13">
        <w:rPr>
          <w:b/>
          <w:bCs/>
        </w:rPr>
        <w:t xml:space="preserve">&gt; </w:t>
      </w:r>
      <w:r w:rsidRPr="00FE3A13">
        <w:rPr>
          <w:b/>
          <w:bCs/>
        </w:rPr>
        <w:tab/>
        <w:t>Participation des communes à la rémunération des familles d'accueil non-professionnelles</w:t>
      </w:r>
    </w:p>
    <w:p w14:paraId="3976D711" w14:textId="6CE9ADB2" w:rsidR="00A30828" w:rsidRPr="00FE3A13" w:rsidRDefault="00A30828" w:rsidP="00A30828">
      <w:pPr>
        <w:pStyle w:val="Corpsdetexte"/>
      </w:pPr>
      <w:r w:rsidRPr="00FE3A13">
        <w:t>Le Conseil d’Etat propose de modifier la LIFAP afin que les modalités de contributions des collectivités publiques dans le financement des familles d’accueil non-professionnelles soient harmonisées dès 2027 avec celles actuellement en vigueur dans les institutions socio-éducatives pour mineur-e-s et jeunes adultes et les familles d’accueil professionnelles. Ainsi, les mêmes règles sur la répartition du financement Etat-communes seraient appliquées à toutes les formes de placement garantissant une cohérence du dispositif d’accueil.</w:t>
      </w:r>
    </w:p>
    <w:p w14:paraId="1F257614" w14:textId="77777777" w:rsidR="00A30828" w:rsidRPr="00FE3A13" w:rsidRDefault="00A30828" w:rsidP="00A30828">
      <w:pPr>
        <w:pStyle w:val="Corpsdetexte"/>
      </w:pPr>
      <w:r w:rsidRPr="00FE3A13">
        <w:t xml:space="preserve">La motion 2023-GC-291 « Pour un meilleur soutien des familles d’accueil » signée par 29 députés demande, entre autres, de définir le rôle, la responsabilité et la participation de l’Etat dans le financement des prestations d’accueil et particulièrement des familles d’accueil non-professionnelles. Elle demande aussi un renforcement du soutien administratif et éducatif pour ces familles d’accueil non-professionnelles. Cette motion est traitée dans le cadre du processus parlementaire en parallèle des propositions du Conseil d’Etat d’introduire une participation des communes aux rémunération des familles d’accueil non-professionnelles. </w:t>
      </w:r>
    </w:p>
    <w:p w14:paraId="7B2F9B01" w14:textId="77777777" w:rsidR="00A30828" w:rsidRPr="00FE3A13" w:rsidRDefault="00A30828" w:rsidP="00A30828">
      <w:pPr>
        <w:pStyle w:val="Corpsdetexte"/>
      </w:pPr>
      <w:r w:rsidRPr="00FE3A13">
        <w:t>Il existe différents types de placement d’enfants en vue de leur protection ; les principaux étant les suivants :</w:t>
      </w:r>
    </w:p>
    <w:p w14:paraId="6C5A68FA" w14:textId="77777777" w:rsidR="00A30828" w:rsidRPr="00FE3A13" w:rsidRDefault="00A30828" w:rsidP="00C117FD">
      <w:pPr>
        <w:pStyle w:val="Corpsdetexte"/>
      </w:pPr>
      <w:r w:rsidRPr="00FE3A13">
        <w:t>&gt;</w:t>
      </w:r>
      <w:r w:rsidRPr="00FE3A13">
        <w:tab/>
        <w:t xml:space="preserve">Les institutions socio-éducatives pour mineur-e-s et jeunes adultes autorisées et reconnues : anciennement appelés foyers d’accueil ; </w:t>
      </w:r>
    </w:p>
    <w:p w14:paraId="637A2326" w14:textId="77777777" w:rsidR="00A30828" w:rsidRPr="00FE3A13" w:rsidRDefault="00A30828" w:rsidP="00C117FD">
      <w:pPr>
        <w:pStyle w:val="Corpsdetexte"/>
      </w:pPr>
      <w:r w:rsidRPr="00FE3A13">
        <w:t>&gt;</w:t>
      </w:r>
      <w:r w:rsidRPr="00FE3A13">
        <w:tab/>
        <w:t>Les familles d’accueil professionnelles : toute personne qui accueille jusqu’à 5 mineur-e-s ou jeunes adultes en besoin de protection chez elle, sans être son père ou sa mère, disposant d'une formation dans le domaine de l'éducation spécialisée ou d'une formation professionnelle jugée équivalente ;</w:t>
      </w:r>
    </w:p>
    <w:p w14:paraId="16827722" w14:textId="0E1ACD92" w:rsidR="00A30828" w:rsidRPr="00FE3A13" w:rsidRDefault="00A30828" w:rsidP="00A30828">
      <w:pPr>
        <w:pStyle w:val="Corpsdetexte"/>
      </w:pPr>
      <w:r w:rsidRPr="00FE3A13">
        <w:t>&gt;</w:t>
      </w:r>
      <w:r w:rsidRPr="00FE3A13">
        <w:tab/>
        <w:t>Les familles d’accueil non-professionnelles (ci-après : FAC) : toute personne qui accueille un-e ou plusieurs mineur e s en besoin de protection chez elle, sans être son père ou sa mère, sans formation spécifique requise ;</w:t>
      </w:r>
    </w:p>
    <w:p w14:paraId="2621052E" w14:textId="77777777" w:rsidR="00A30828" w:rsidRPr="00FE3A13" w:rsidRDefault="00A30828" w:rsidP="00A30828">
      <w:pPr>
        <w:pStyle w:val="Corpsdetexte"/>
      </w:pPr>
      <w:r w:rsidRPr="00FE3A13">
        <w:t xml:space="preserve">Il sied également de relever que le coût pour les autorités publiques d’un placement au sein d’une institution spécialisée s’avère nettement plus élevé qu’au sein d’une FAC. Les places en institutions nécessitent en effet des infrastructures conséquentes et un encadrement professionnel adapté. Le coût pour les collectivités publiques d’une place en institution est quatre à cinq fois plus élevé qu’un placement en FAC. </w:t>
      </w:r>
    </w:p>
    <w:p w14:paraId="5BD08788" w14:textId="77777777" w:rsidR="00A30828" w:rsidRPr="00FE3A13" w:rsidRDefault="00A30828" w:rsidP="00A30828">
      <w:pPr>
        <w:pStyle w:val="Corpsdetexte"/>
      </w:pPr>
      <w:r w:rsidRPr="00FE3A13">
        <w:lastRenderedPageBreak/>
        <w:t xml:space="preserve">Les placements en FAC répondent par conséquent tant au principe de l’intérêt supérieur de l’enfant qu’à celui d’économicité et représentent un maillon essentiel du dispositif cantonal de protection de l’enfance.  </w:t>
      </w:r>
    </w:p>
    <w:p w14:paraId="69EC53BB" w14:textId="77777777" w:rsidR="00A30828" w:rsidRPr="00FE3A13" w:rsidRDefault="00A30828" w:rsidP="00A30828">
      <w:pPr>
        <w:pStyle w:val="Corpsdetexte"/>
      </w:pPr>
      <w:r w:rsidRPr="00FE3A13">
        <w:t>Sur le volet financier, l’Etat ne participe actuellement pas au financement des placements dans les FAC. Il subventionne en revanche les placements dans les institutions socio-éducatives pour mineur-e-s et jeunes adultes, auprès des familles d’accueil professionnelles par la prise en charge du déficit d’exploitation.</w:t>
      </w:r>
    </w:p>
    <w:p w14:paraId="2A551948" w14:textId="77777777" w:rsidR="00A30828" w:rsidRPr="00FE3A13" w:rsidRDefault="00A30828" w:rsidP="00A30828">
      <w:pPr>
        <w:pStyle w:val="Corpsdetexte"/>
      </w:pPr>
      <w:r w:rsidRPr="00FE3A13">
        <w:t xml:space="preserve">Les parents sont en revanche tenus de participer au financement quel que soit le type de placement, mais selon différentes modalités. Cette participation parentale est moins onéreuse lorsque l’enfant est placé en institution socio-éducative pour mineur-e-s et jeunes adultes ou auprès d’une famille d’accueil professionnelle. </w:t>
      </w:r>
    </w:p>
    <w:p w14:paraId="1DB7ABA9" w14:textId="77777777" w:rsidR="00A30828" w:rsidRPr="00FE3A13" w:rsidRDefault="00A30828" w:rsidP="00A30828">
      <w:pPr>
        <w:pStyle w:val="Corpsdetexte"/>
      </w:pPr>
      <w:r w:rsidRPr="00FE3A13">
        <w:t xml:space="preserve">En cas de placement auprès d’une FAC, la participation financière représente donc un coût plus élevé pour les parents. Relevons que ces derniers versent ce défraiement directement aux FAC. Celles-ci portent donc l’ensemble du risque financier. En cas de manquement au versement par les parents, les FAC sont obligées d’entreprendre elles-mêmes les démarches afin de récupérer l’argent dû. En l’absence d’une règlementation contraignante, d’une participation financière ou de garanties de l’Etat, cela peut décourager certaines familles intéressées à rejoindre le dispositif cantonal de protection de l’enfant en qualité de FAC. </w:t>
      </w:r>
    </w:p>
    <w:p w14:paraId="2A413755" w14:textId="77777777" w:rsidR="00A30828" w:rsidRPr="00FE3A13" w:rsidRDefault="00A30828" w:rsidP="00A30828">
      <w:pPr>
        <w:pStyle w:val="Corpsdetexte"/>
      </w:pPr>
      <w:r w:rsidRPr="00FE3A13">
        <w:t xml:space="preserve">Le Conseil d’Etat considère en ce sens pertinent d’introduire un financement public des placements en FAC, à l’instar de celui des placements en institution, en partant du principe que la participation financière devrait être équivalente pour les familles, quel que soit le type de placement. En outre, le Conseil d’Etat estime nécessaire que l’Etat assure la gestion des flux financiers entre les parents et la FAC, assumant ainsi également les procédures légales pour la récupération des montants dus par les parents. Cette centralisation favoriserait le bon déroulement des placements et protègerait les FAC contre les risques évoqués ci-dessus. </w:t>
      </w:r>
    </w:p>
    <w:p w14:paraId="09310D43" w14:textId="006CE789" w:rsidR="001F5C2A" w:rsidRPr="00FE3A13" w:rsidRDefault="00A30828" w:rsidP="00A30828">
      <w:pPr>
        <w:pStyle w:val="Corpsdetexte"/>
      </w:pPr>
      <w:r w:rsidRPr="00FE3A13">
        <w:t>En ce qui concerne le financement des placements auprès des FAC, afin de garantir un traitement égalitaire de tout type de placements, le Conseil d’Etat propose que les collectivités publiques, à l’instar de ce qu’introduit la Loi sur les institutions spécialisées et les familles d'accueil professionnelles (RSF 834.1.2 - LIFAP), financent aussi les placements auprès des FAC. Cela implique également l’application des dispositions qui règlent les placements dans les institutions socio-éducatives pour mineur-e-s et auprès des familles d’accueil professionnelles, soit une participation des pouvoirs publics et une part parentale. La rémunération des FAC est fixée de manière forfaitaire, le forfait comprenant la participation au financement de la prestation socio-éducative et aux frais de placement de l’enfant. Le forfait et les modalités relatives à son octroi sont fixées par le Conseil d’Etat. Après analyse approfondie et comparaison intercantonale, le forfait est évalué à</w:t>
      </w:r>
      <w:r w:rsidR="00B964CE" w:rsidRPr="00FE3A13">
        <w:t xml:space="preserve"> </w:t>
      </w:r>
      <w:r w:rsidRPr="00FE3A13">
        <w:t>1900</w:t>
      </w:r>
      <w:r w:rsidR="00C117FD" w:rsidRPr="00FE3A13">
        <w:t xml:space="preserve"> francs </w:t>
      </w:r>
      <w:r w:rsidRPr="00FE3A13">
        <w:t>par mois pour les enfants en placement permanent. Pour les enfants en placement ressources, soit majoritairement les deux jours de week-end, le forfait est évalué à CHF 50</w:t>
      </w:r>
      <w:r w:rsidR="00C117FD" w:rsidRPr="00FE3A13">
        <w:t xml:space="preserve"> francs</w:t>
      </w:r>
      <w:r w:rsidRPr="00FE3A13">
        <w:t xml:space="preserve"> </w:t>
      </w:r>
      <w:r w:rsidR="00C117FD" w:rsidRPr="00FE3A13">
        <w:t xml:space="preserve">par </w:t>
      </w:r>
      <w:r w:rsidRPr="00FE3A13">
        <w:t>jour. Au 31.12.2024, il y a 68 enfants en famille d’accueil non-professionnelle. A ceci est ajouté le soutien administratif et éducatif nécessaire pour le bon fonctionnement des FAC, estimé 86'000</w:t>
      </w:r>
      <w:r w:rsidR="00A12522" w:rsidRPr="00FE3A13">
        <w:t xml:space="preserve"> francs.</w:t>
      </w:r>
    </w:p>
    <w:p w14:paraId="1335EE7F" w14:textId="61485177" w:rsidR="001F5C2A" w:rsidRPr="00FE3A13" w:rsidRDefault="001F5C2A" w:rsidP="001F5C2A">
      <w:pPr>
        <w:pStyle w:val="Titre3"/>
      </w:pPr>
      <w:bookmarkStart w:id="182" w:name="_Toc195715404"/>
      <w:r w:rsidRPr="00FE3A13">
        <w:t>Commentaires des articles de la modification légale</w:t>
      </w:r>
      <w:bookmarkEnd w:id="182"/>
    </w:p>
    <w:p w14:paraId="170B4BFD" w14:textId="04395017" w:rsidR="001F5C2A" w:rsidRPr="00FE3A13" w:rsidRDefault="00B964CE" w:rsidP="00A12522">
      <w:r w:rsidRPr="00FE3A13">
        <w:t xml:space="preserve">Les modifications proposées n’appellent pas de commentaires particuliers par article. </w:t>
      </w:r>
      <w:r w:rsidR="00A12522" w:rsidRPr="00FE3A13">
        <w:t>Le terme</w:t>
      </w:r>
      <w:r w:rsidR="00A12522" w:rsidRPr="00FE3A13">
        <w:rPr>
          <w:rFonts w:eastAsia="Aptos"/>
        </w:rPr>
        <w:t xml:space="preserve"> "professionnelles" est supprimé afin d’inclure les familles d’accueil non professionnelle.</w:t>
      </w:r>
    </w:p>
    <w:p w14:paraId="1F88961E" w14:textId="5169F8C2" w:rsidR="00AD0EA2" w:rsidRPr="00FE3A13" w:rsidRDefault="00AD0EA2" w:rsidP="00AD0EA2">
      <w:pPr>
        <w:pStyle w:val="Titre2"/>
      </w:pPr>
      <w:bookmarkStart w:id="183" w:name="_Toc195715405"/>
      <w:r w:rsidRPr="00FE3A13">
        <w:t xml:space="preserve">La modification de la loi sur les </w:t>
      </w:r>
      <w:r w:rsidR="00D8010F" w:rsidRPr="00FE3A13">
        <w:t>s</w:t>
      </w:r>
      <w:r w:rsidRPr="00FE3A13">
        <w:t>tructures d’accueil extrafamilial de jour (LStE)</w:t>
      </w:r>
      <w:bookmarkEnd w:id="183"/>
    </w:p>
    <w:p w14:paraId="55F3BF6F" w14:textId="77777777" w:rsidR="00AD0EA2" w:rsidRPr="00FE3A13" w:rsidRDefault="00AD0EA2" w:rsidP="00AD0EA2">
      <w:pPr>
        <w:pStyle w:val="Titre3"/>
      </w:pPr>
      <w:bookmarkStart w:id="184" w:name="_Toc195715406"/>
      <w:r w:rsidRPr="00FE3A13">
        <w:t>Informations générales</w:t>
      </w:r>
      <w:bookmarkEnd w:id="184"/>
    </w:p>
    <w:p w14:paraId="0303EA8E" w14:textId="77777777" w:rsidR="00AD0EA2" w:rsidRPr="00FE3A13" w:rsidRDefault="00AD0EA2" w:rsidP="00AD0EA2">
      <w:pPr>
        <w:pStyle w:val="Corpsdetexte"/>
      </w:pPr>
      <w:r w:rsidRPr="00FE3A13">
        <w:rPr>
          <w:b/>
          <w:bCs/>
        </w:rPr>
        <w:t xml:space="preserve">&gt; </w:t>
      </w:r>
      <w:r w:rsidRPr="00FE3A13">
        <w:rPr>
          <w:b/>
          <w:bCs/>
        </w:rPr>
        <w:tab/>
        <w:t>Limitation du soutien financier pour les places d'accueil extrafamilial</w:t>
      </w:r>
    </w:p>
    <w:p w14:paraId="746CBFED" w14:textId="77777777" w:rsidR="00A30828" w:rsidRPr="00FE3A13" w:rsidRDefault="00A30828" w:rsidP="00A30828">
      <w:pPr>
        <w:pStyle w:val="Corpsdetexte"/>
      </w:pPr>
      <w:r w:rsidRPr="00FE3A13">
        <w:t xml:space="preserve">Les subventions de l’Etat, les contributions des employeurs/personnes exerçant une activité lucrative indépendante et, depuis 2020, les recettes perçues par la taxe sociale découlant de la réforme fiscale, s’ajoutent aux subventions communales et permettent une baisse forfaitaire du coût de l’heure de garde prestée pour les parents. En application de l’art. 9 LStE, l’Etat prend actuellement en charge 10% d’un coût moyen des structures établi sur la base de données de 2009. Concernant le soutien des employeurs et des personnes exerçant une activité lucrative indépendante, l’Etat procède à une répartition entre les structures d’accueil selon la même clé que le soutien de l’Etat mais ne peut pas distribuer plus que ce qu’il perçoit par la contribution des employeurs. A court termes, le forfait issu </w:t>
      </w:r>
      <w:r w:rsidRPr="00FE3A13">
        <w:lastRenderedPageBreak/>
        <w:t xml:space="preserve">de la contribution des employeurs devra légalement être diminué en regard de l’augmentation du nombre de places d’accueil subventionnées. </w:t>
      </w:r>
    </w:p>
    <w:p w14:paraId="484A0C46" w14:textId="03780049" w:rsidR="00AD0EA2" w:rsidRPr="00FE3A13" w:rsidRDefault="00A30828" w:rsidP="00A30828">
      <w:pPr>
        <w:pStyle w:val="Corpsdetexte"/>
        <w:rPr>
          <w:strike/>
        </w:rPr>
      </w:pPr>
      <w:r w:rsidRPr="00FE3A13">
        <w:t>Selon le règlement sur les structures d’accueil extrafamilial de jour (RStE, art.1 let. a), le Conseil d’Etat devrait fixer, au début de chaque année, ce coût moyen. Le plan financier est conforme à la base légale actuelle et comprend les montants nécessaires à l’adaptation du coût moyen des structures d’accueil. Compte tenu des impératifs liés à la situation financière de l’Etat et du programme d’assainissement qui en découle, un potentiel d’économie est réalisé en supprimant la référence au coût moyen des structures subventionnées et en conférant au Conseil d’Etat la compétence de fixer librement le forfait de manière annuelle par décret. Dans le cadre du plan d’assainissement, la contribution de l’Etat est ainsi calculée de sorte à éviter une réduction du soutien financier aux parents en maintenant la hauteur du forfait global actuel Etat-employeurs.</w:t>
      </w:r>
    </w:p>
    <w:p w14:paraId="5BC5A63B" w14:textId="79909370" w:rsidR="00AD0EA2" w:rsidRPr="00FE3A13" w:rsidRDefault="00AD0EA2" w:rsidP="00AD0EA2">
      <w:pPr>
        <w:pStyle w:val="Titre3"/>
      </w:pPr>
      <w:bookmarkStart w:id="185" w:name="_Toc195715407"/>
      <w:r w:rsidRPr="00FE3A13">
        <w:t>Commentaires des articles de la modification légale</w:t>
      </w:r>
      <w:bookmarkEnd w:id="185"/>
    </w:p>
    <w:p w14:paraId="48871D3E" w14:textId="77777777" w:rsidR="00AD0EA2" w:rsidRPr="00FE3A13" w:rsidRDefault="00AD0EA2" w:rsidP="00AD0EA2">
      <w:pPr>
        <w:pStyle w:val="TitreArticleloi"/>
      </w:pPr>
      <w:r w:rsidRPr="00FE3A13">
        <w:t>Art.9 al. 5</w:t>
      </w:r>
    </w:p>
    <w:p w14:paraId="5C435E61" w14:textId="5331498A" w:rsidR="00AD0EA2" w:rsidRPr="00FE3A13" w:rsidRDefault="00A30828" w:rsidP="001F5C2A">
      <w:r w:rsidRPr="00FE3A13">
        <w:t>La référence au coût moyen des structures subventionnées est supprimée. Le Conseil d’Etat est compétent et peut fixer librement le forfait de manière annuelle par décret</w:t>
      </w:r>
    </w:p>
    <w:p w14:paraId="299AB9AD" w14:textId="77777777" w:rsidR="005904EB" w:rsidRPr="00FE3A13" w:rsidRDefault="005904EB" w:rsidP="005904EB">
      <w:pPr>
        <w:pStyle w:val="Titre2"/>
      </w:pPr>
      <w:bookmarkStart w:id="186" w:name="_Toc195715408"/>
      <w:r w:rsidRPr="00FE3A13">
        <w:t>La modification de la loi sur les prestations complémentaires pour les familles (LPCFam)</w:t>
      </w:r>
      <w:bookmarkEnd w:id="186"/>
    </w:p>
    <w:p w14:paraId="2FD1DEB1" w14:textId="77777777" w:rsidR="005904EB" w:rsidRPr="00FE3A13" w:rsidRDefault="005904EB" w:rsidP="005904EB">
      <w:pPr>
        <w:pStyle w:val="Titre3"/>
      </w:pPr>
      <w:bookmarkStart w:id="187" w:name="_Toc195715409"/>
      <w:r w:rsidRPr="00FE3A13">
        <w:t>Informations générales</w:t>
      </w:r>
      <w:bookmarkEnd w:id="187"/>
    </w:p>
    <w:p w14:paraId="2158F2A9" w14:textId="77777777" w:rsidR="005904EB" w:rsidRPr="00FE3A13" w:rsidRDefault="005904EB" w:rsidP="005904EB">
      <w:r w:rsidRPr="00FE3A13">
        <w:t xml:space="preserve">&gt; </w:t>
      </w:r>
      <w:r w:rsidRPr="00FE3A13">
        <w:tab/>
      </w:r>
      <w:r w:rsidRPr="00FE3A13">
        <w:rPr>
          <w:b/>
          <w:bCs/>
        </w:rPr>
        <w:t>Introduire une part communale aux prestations complémentaires pour familles</w:t>
      </w:r>
    </w:p>
    <w:p w14:paraId="6C62065F" w14:textId="77777777" w:rsidR="005904EB" w:rsidRPr="00FE3A13" w:rsidRDefault="005904EB" w:rsidP="005904EB">
      <w:pPr>
        <w:pStyle w:val="Corpsdetexte"/>
      </w:pPr>
      <w:r w:rsidRPr="00FE3A13">
        <w:t>L’article 15 de la Loi sur les prestations complémentaires couvre les aspects de répartition du financement entre l’Etat et les communes. Il y est indiqué que l’Etat prend en charge 75% de la contribution qui n’est pas couverte par les subventions fédérales allouées au canton et que les communes se répartissent le solde au prorata de leur population légale.</w:t>
      </w:r>
    </w:p>
    <w:p w14:paraId="079B6792" w14:textId="77777777" w:rsidR="005904EB" w:rsidRPr="00FE3A13" w:rsidRDefault="005904EB" w:rsidP="005904EB">
      <w:pPr>
        <w:pStyle w:val="Corpsdetexte"/>
      </w:pPr>
      <w:r w:rsidRPr="00FE3A13">
        <w:t xml:space="preserve">Il est proposé d’appliquer les mêmes règles de répartition aux PC Familles que celles définies pour les PC. La Commission chargée de l’examen préalable de la Loi sur les prestations complémentaires pour familles (LPCFam) avait d’ailleurs proposé cette même clé de répartition, reconnaissant qu’il s’agissait bien d’une tâche commune, mais dont la responsabilité financière incombait en majorité au canton. </w:t>
      </w:r>
    </w:p>
    <w:p w14:paraId="6FE105A8" w14:textId="77777777" w:rsidR="005904EB" w:rsidRPr="00FE3A13" w:rsidRDefault="005904EB" w:rsidP="005904EB">
      <w:pPr>
        <w:pStyle w:val="Corpsdetexte"/>
      </w:pPr>
      <w:r w:rsidRPr="00FE3A13">
        <w:t>En partant des montants retenus au plan financier 2026-2028, l’application de la même répartition que celle prévue dans le domaine des prestations complémentaires (art. 15 de la loi sur les prestations complémentaires), soit 75% à charge de l’Etat et le solde réparti sur l’ensemble des communes au prorata de leur population, engendre une économique de CHF 12'289'750 pour l’Etat. S’agissant d’un transfert de charge, l’effet inverse s’applique aux communes</w:t>
      </w:r>
    </w:p>
    <w:p w14:paraId="26A2F206" w14:textId="77777777" w:rsidR="005904EB" w:rsidRPr="00FE3A13" w:rsidRDefault="005904EB" w:rsidP="005904EB">
      <w:pPr>
        <w:pStyle w:val="Titre3"/>
      </w:pPr>
      <w:bookmarkStart w:id="188" w:name="_Toc195715410"/>
      <w:r w:rsidRPr="00FE3A13">
        <w:t>Commentaires des articles de la modification légale</w:t>
      </w:r>
      <w:bookmarkEnd w:id="188"/>
    </w:p>
    <w:p w14:paraId="542B8A8C" w14:textId="548C37AF" w:rsidR="005904EB" w:rsidRPr="00FE3A13" w:rsidRDefault="005904EB" w:rsidP="005904EB">
      <w:pPr>
        <w:pStyle w:val="TitreArticleloi"/>
      </w:pPr>
      <w:r w:rsidRPr="00FE3A13">
        <w:t xml:space="preserve">Art. 34 </w:t>
      </w:r>
      <w:r w:rsidR="00FA5571">
        <w:t>et 35</w:t>
      </w:r>
    </w:p>
    <w:p w14:paraId="558D524A" w14:textId="2FD801B9" w:rsidR="005904EB" w:rsidRPr="00FE3A13" w:rsidRDefault="005904EB" w:rsidP="005904EB">
      <w:pPr>
        <w:pStyle w:val="Corpsdetexte"/>
      </w:pPr>
      <w:r w:rsidRPr="00FE3A13">
        <w:t>Il est proposé d’appliquer les mêmes règles de répartition aux PC Familles que celles définies pour les PC.</w:t>
      </w:r>
    </w:p>
    <w:p w14:paraId="0B969672" w14:textId="24E50151" w:rsidR="007B1C9E" w:rsidRPr="00FE3A13" w:rsidRDefault="007B1C9E" w:rsidP="007B1C9E">
      <w:pPr>
        <w:pStyle w:val="Titre2"/>
      </w:pPr>
      <w:bookmarkStart w:id="189" w:name="_Toc195715411"/>
      <w:r w:rsidRPr="00FE3A13">
        <w:t>La modification de la loi sur les prestations complémentaires à l’assurances vieillesses, survivants et invalidé</w:t>
      </w:r>
      <w:bookmarkEnd w:id="189"/>
    </w:p>
    <w:p w14:paraId="2B164E3C" w14:textId="77777777" w:rsidR="007B1C9E" w:rsidRPr="00FE3A13" w:rsidRDefault="007B1C9E" w:rsidP="007B1C9E">
      <w:pPr>
        <w:pStyle w:val="Titre3"/>
      </w:pPr>
      <w:bookmarkStart w:id="190" w:name="_Toc195715412"/>
      <w:r w:rsidRPr="00FE3A13">
        <w:t>Informations générales</w:t>
      </w:r>
      <w:bookmarkEnd w:id="190"/>
    </w:p>
    <w:p w14:paraId="0666CEDC" w14:textId="364E391C" w:rsidR="00883994" w:rsidRPr="00FE3A13" w:rsidRDefault="00883994" w:rsidP="00883994">
      <w:pPr>
        <w:pStyle w:val="Listealphabtique"/>
        <w:numPr>
          <w:ilvl w:val="0"/>
          <w:numId w:val="0"/>
        </w:numPr>
        <w:rPr>
          <w:b/>
          <w:bCs/>
        </w:rPr>
      </w:pPr>
      <w:r w:rsidRPr="00FE3A13">
        <w:rPr>
          <w:b/>
          <w:bCs/>
        </w:rPr>
        <w:t xml:space="preserve">&gt; </w:t>
      </w:r>
      <w:r w:rsidRPr="00FE3A13">
        <w:rPr>
          <w:b/>
          <w:bCs/>
        </w:rPr>
        <w:tab/>
      </w:r>
      <w:r w:rsidR="00FF2462" w:rsidRPr="006C533E">
        <w:rPr>
          <w:b/>
          <w:bCs/>
        </w:rPr>
        <w:t>Suppression du régime transitoire de la prise en charge par le canton de la</w:t>
      </w:r>
      <w:r w:rsidR="00FF2462">
        <w:t xml:space="preserve"> </w:t>
      </w:r>
      <w:r w:rsidRPr="00FE3A13">
        <w:rPr>
          <w:b/>
          <w:bCs/>
        </w:rPr>
        <w:t>part communale aux prestations complémentaires AVS/AI</w:t>
      </w:r>
    </w:p>
    <w:p w14:paraId="56318E2A" w14:textId="77777777" w:rsidR="00883994" w:rsidRPr="00FE3A13" w:rsidRDefault="00883994" w:rsidP="00883994">
      <w:pPr>
        <w:pStyle w:val="Corpsdetexte"/>
      </w:pPr>
      <w:r w:rsidRPr="00FE3A13">
        <w:t xml:space="preserve">Lors de la mise en œuvre au niveau cantonal de la RPT (Réforme de la péréquation financière et de la répartition des tâches entre le Confédération et les cantons), une première modification de la répartition du financement des PC AVS/ AI entre l’Etat et les communes a été décidée par le Grand Conseil en 2007 pour entrer en vigueur en 2008. Afin que la réforme soit financièrement neutre pour les communes, un mécanisme de compensation a été mis en place qui adaptait certaines dispositions de la législation cantonale à la RPT (ROF 2007_066). Une des mesures </w:t>
      </w:r>
      <w:r w:rsidRPr="00FE3A13">
        <w:lastRenderedPageBreak/>
        <w:t xml:space="preserve">compensatoires consistait en une reprise pour trois ans par l’Etat du financement des PC et des frais de gestion y relatifs. </w:t>
      </w:r>
    </w:p>
    <w:p w14:paraId="4627B40E" w14:textId="77777777" w:rsidR="00883994" w:rsidRPr="00FE3A13" w:rsidRDefault="00883994" w:rsidP="00883994">
      <w:pPr>
        <w:pStyle w:val="Corpsdetexte"/>
      </w:pPr>
      <w:r w:rsidRPr="00FE3A13">
        <w:t xml:space="preserve">En 2010, le Grand Conseil a accepté de prolonger ce régime transitoire jusqu’à fin 2015, en raison des incertitudes liées aux nouvelles législations sur les personnes en situation de handicap et sur les personnes âgées (Senior+). Ces nouvelles législations n’ont finalement pas apporté de motifs de modifier les modalités de financement des PC AVS/AI. </w:t>
      </w:r>
    </w:p>
    <w:p w14:paraId="7C334BE8" w14:textId="77777777" w:rsidR="00883994" w:rsidRPr="00FE3A13" w:rsidRDefault="00883994" w:rsidP="00883994">
      <w:pPr>
        <w:pStyle w:val="Corpsdetexte"/>
      </w:pPr>
      <w:r w:rsidRPr="00FE3A13">
        <w:t>Le lancement du projet «Désenchevêtrement des tâches entre l’Etat et les communes» (DETTEC) a conduit le Grand Conseil, sur proposition du Conseil d’Etat, à prolonger le régime provisoire jusqu’au 31 décembre 2021 (ROF 2015_113 et 2018_123). Le 12 novembre 2023, le peuple fribourgeois s’est opposé au projet DETTEC et le Conseil d’Etat a validé l’abandon du DETTEC comme projet global en décembre 2023.</w:t>
      </w:r>
    </w:p>
    <w:p w14:paraId="624E960D" w14:textId="2B4BE149" w:rsidR="00883994" w:rsidRPr="00FE3A13" w:rsidRDefault="00883994" w:rsidP="00883994">
      <w:r w:rsidRPr="00FE3A13">
        <w:rPr>
          <w:bCs/>
        </w:rPr>
        <w:t>La répartition Etat / communes des prestations complémentaires définie à l’article 15 de la loi prévoit une prise en charge par l’Etat de 75% de la contribution après déduction de la participation de la Confédération et une répartition du solde entre les communes au prorata de leur population légale. En partant des montants des prestations complémentaires retenus pour le plan financier 2026-2028 l’économie pour l’Etat se monte</w:t>
      </w:r>
      <w:r w:rsidR="00867FB8" w:rsidRPr="00FE3A13">
        <w:rPr>
          <w:bCs/>
        </w:rPr>
        <w:t>rait</w:t>
      </w:r>
      <w:r w:rsidRPr="00FE3A13">
        <w:rPr>
          <w:bCs/>
        </w:rPr>
        <w:t xml:space="preserve"> au total à</w:t>
      </w:r>
      <w:r w:rsidRPr="00FE3A13">
        <w:t xml:space="preserve"> 88'</w:t>
      </w:r>
      <w:r w:rsidR="00CC062A">
        <w:t>5</w:t>
      </w:r>
      <w:r w:rsidRPr="00FE3A13">
        <w:t>84'000</w:t>
      </w:r>
      <w:r w:rsidR="00867FB8" w:rsidRPr="00FE3A13">
        <w:t xml:space="preserve"> francs si le régime transitoire était abandonné</w:t>
      </w:r>
      <w:r w:rsidRPr="00FE3A13">
        <w:t>. S’agissant d’un transfert de charge, l’effet inverse s’applique</w:t>
      </w:r>
      <w:r w:rsidR="00867FB8" w:rsidRPr="00FE3A13">
        <w:t>rait</w:t>
      </w:r>
      <w:r w:rsidRPr="00FE3A13">
        <w:t xml:space="preserve"> aux communes.</w:t>
      </w:r>
    </w:p>
    <w:p w14:paraId="762171EC" w14:textId="3E76DB53" w:rsidR="007B1C9E" w:rsidRPr="00FE3A13" w:rsidRDefault="007B1C9E" w:rsidP="007B1C9E">
      <w:pPr>
        <w:pStyle w:val="Titre3"/>
      </w:pPr>
      <w:bookmarkStart w:id="191" w:name="_Toc195715413"/>
      <w:r w:rsidRPr="00FE3A13">
        <w:t>Commentaires des articles de la modification légale</w:t>
      </w:r>
      <w:bookmarkEnd w:id="191"/>
    </w:p>
    <w:p w14:paraId="7C1C5CFF" w14:textId="6AF6B678" w:rsidR="007B1C9E" w:rsidRPr="00FE3A13" w:rsidRDefault="00883994" w:rsidP="007B1C9E">
      <w:pPr>
        <w:pStyle w:val="TitreArticleloi"/>
      </w:pPr>
      <w:r w:rsidRPr="00FE3A13">
        <w:t>Art. 22</w:t>
      </w:r>
    </w:p>
    <w:p w14:paraId="6728A2FD" w14:textId="57CC451C" w:rsidR="007B1C9E" w:rsidRPr="00FE3A13" w:rsidRDefault="00883994" w:rsidP="005904EB">
      <w:pPr>
        <w:pStyle w:val="Corpsdetexte"/>
      </w:pPr>
      <w:r w:rsidRPr="00FE3A13">
        <w:t>Les conditions d’application de l’article 22 ne sont dès lors plus remplies et il est proposé de l’abroger afin de rétablir la répartition financière entre le canton et les communes qui prévalait auparavant</w:t>
      </w:r>
    </w:p>
    <w:p w14:paraId="4989441F" w14:textId="7DA6051E" w:rsidR="00BB35B0" w:rsidRPr="00FE3A13" w:rsidRDefault="00BB35B0" w:rsidP="00BB35B0">
      <w:pPr>
        <w:pStyle w:val="Titre2"/>
      </w:pPr>
      <w:bookmarkStart w:id="192" w:name="_Toc195715414"/>
      <w:r w:rsidRPr="00FE3A13">
        <w:t>Modification de l’application de la motion 2022-GC-182</w:t>
      </w:r>
      <w:bookmarkEnd w:id="192"/>
      <w:r w:rsidRPr="00FE3A13">
        <w:t xml:space="preserve"> </w:t>
      </w:r>
    </w:p>
    <w:p w14:paraId="3207448F" w14:textId="77777777" w:rsidR="00BB35B0" w:rsidRPr="00FE3A13" w:rsidRDefault="00BB35B0" w:rsidP="00BB35B0">
      <w:pPr>
        <w:pStyle w:val="Titre3"/>
      </w:pPr>
      <w:bookmarkStart w:id="193" w:name="_Toc195715415"/>
      <w:r w:rsidRPr="00FE3A13">
        <w:t>Informations générales</w:t>
      </w:r>
      <w:bookmarkEnd w:id="193"/>
    </w:p>
    <w:p w14:paraId="5BDDFFFC" w14:textId="656A5D87" w:rsidR="00BB35B0" w:rsidRPr="00FE3A13" w:rsidRDefault="00BB35B0" w:rsidP="00BB35B0">
      <w:pPr>
        <w:pStyle w:val="Corpsdetexte"/>
        <w:rPr>
          <w:b/>
          <w:bCs/>
        </w:rPr>
      </w:pPr>
      <w:r w:rsidRPr="00FE3A13">
        <w:rPr>
          <w:b/>
          <w:bCs/>
        </w:rPr>
        <w:t xml:space="preserve">&gt; </w:t>
      </w:r>
      <w:r w:rsidRPr="00FE3A13">
        <w:rPr>
          <w:b/>
          <w:bCs/>
        </w:rPr>
        <w:tab/>
      </w:r>
      <w:bookmarkStart w:id="194" w:name="_Hlk194572262"/>
      <w:r w:rsidRPr="00FE3A13">
        <w:rPr>
          <w:b/>
          <w:bCs/>
        </w:rPr>
        <w:t>Réduction des subventions sylvicoles</w:t>
      </w:r>
      <w:bookmarkEnd w:id="194"/>
    </w:p>
    <w:p w14:paraId="6EB23ECF" w14:textId="77777777" w:rsidR="00BB35B0" w:rsidRPr="00FE3A13" w:rsidRDefault="00BB35B0" w:rsidP="00BB35B0">
      <w:pPr>
        <w:pStyle w:val="Corpsdetexte"/>
        <w:rPr>
          <w:lang w:val="fr-FR"/>
        </w:rPr>
      </w:pPr>
      <w:r w:rsidRPr="00FE3A13">
        <w:rPr>
          <w:lang w:val="fr-FR"/>
        </w:rPr>
        <w:t>Selon l’article 64 al. 1 let. a de la loi sur les forêts et la protection contre les catastrophes naturelles (LFCN ; RSF 921.1), l’Etat peut octroyer des subventions pour la régénération et les soins aux jeunes forêts, s’il n’y a pas de subventions par la Confédération. Contre l’avis du Conseil d’Etat, le Grand Conseil a donné suite, le 27 juin 2023, à la motion 2022-GC-182 qui demandait, en premier lieu, d’élargir le programme de subventionnement cantonal relatif à la régénération et aux soins aux jeunes forêts afin que les propriétaires forestiers (commune ou privé) perçoivent un montant jusqu’à 20 francs par mètre cube en supplément de la couverture du déficit et, en second lieu, d’ajouter au budget des subventions cantonales existantes une enveloppe annuelle de 850 000 francs.</w:t>
      </w:r>
    </w:p>
    <w:p w14:paraId="47208A5A" w14:textId="77777777" w:rsidR="00BB35B0" w:rsidRPr="00FE3A13" w:rsidRDefault="00BB35B0" w:rsidP="00BB35B0">
      <w:pPr>
        <w:pStyle w:val="Corpsdetexte"/>
        <w:rPr>
          <w:lang w:val="fr-FR"/>
        </w:rPr>
      </w:pPr>
      <w:r w:rsidRPr="00FE3A13">
        <w:rPr>
          <w:lang w:val="fr-FR"/>
        </w:rPr>
        <w:t>Afin de donner suite à dite motion, le Conseil d’Etat a adapté, le 18 novembre 2024, l’ordonnance concernant les subventions cantonales aux forêts et à la protection contre les catastrophes naturelles (RSF 921.16). Le montant forfaitaire cantonal pour la coupe de bois déficitaire pour la régénération des forêts a ainsi été porté d’un montant entre 5 et 80 francs à un montant compris entre 15 et 100 francs par mètre cube de bois, dont 10 à 20 francs par mètre cube à titre de frais de gestion par le propriétaire (en fonction des moyens financiers à disposition) (annexe 1 art. A1-5).</w:t>
      </w:r>
    </w:p>
    <w:p w14:paraId="466881FA" w14:textId="77777777" w:rsidR="00BB35B0" w:rsidRPr="00FE3A13" w:rsidRDefault="00BB35B0" w:rsidP="00BB35B0">
      <w:pPr>
        <w:pStyle w:val="Corpsdetexte"/>
        <w:rPr>
          <w:lang w:val="fr-FR"/>
        </w:rPr>
      </w:pPr>
      <w:r w:rsidRPr="00FE3A13">
        <w:rPr>
          <w:lang w:val="fr-FR"/>
        </w:rPr>
        <w:t>Au vu de l’ordonnance, les montants des subventions doivent être prévus au budget. Il est donc possible de diminuer les montants au niveau de l’adoption du budget pour l’année 2026, sans devoir effectuer d’adaptation légale.</w:t>
      </w:r>
    </w:p>
    <w:p w14:paraId="324F2126" w14:textId="77777777" w:rsidR="00BB35B0" w:rsidRPr="00FE3A13" w:rsidRDefault="00BB35B0" w:rsidP="00BB35B0">
      <w:pPr>
        <w:pStyle w:val="Corpsdetexte"/>
        <w:rPr>
          <w:lang w:val="fr-FR"/>
        </w:rPr>
      </w:pPr>
      <w:r w:rsidRPr="00FE3A13">
        <w:rPr>
          <w:lang w:val="fr-FR"/>
        </w:rPr>
        <w:t>Dans le budget 2025, le Conseil d’Etat a alloué le montant de CHF 425'000. Il est donc proposé, pour l’année 2026, de maintenir ce même montant et de renoncer à l’augmentation prévue par le plan financier pour être conforme à la motion. Ainsi, le montant inscrit au budget, pour l’année 2026, devrait demeurer à CHF 425'000.- au lieu d’être augmenté à CHF 850'000.-.</w:t>
      </w:r>
    </w:p>
    <w:p w14:paraId="20B773AB" w14:textId="77777777" w:rsidR="00BB35B0" w:rsidRPr="00FE3A13" w:rsidRDefault="00BB35B0" w:rsidP="00BB35B0">
      <w:pPr>
        <w:pStyle w:val="Corpsdetexte"/>
        <w:rPr>
          <w:lang w:val="fr-FR"/>
        </w:rPr>
      </w:pPr>
      <w:r w:rsidRPr="00FE3A13">
        <w:rPr>
          <w:lang w:val="fr-FR"/>
        </w:rPr>
        <w:t>Bien qu’aucune modification législative ne soit nécessaire, il s’agit d’une adaptation touchant à la mise en oeuvre d’une motion. Cette mesure doit donc être mise en consultations dans la catégorie « Compétence du Grand Conseil ».</w:t>
      </w:r>
    </w:p>
    <w:p w14:paraId="0AA8BF76" w14:textId="77777777" w:rsidR="005904EB" w:rsidRPr="00FE3A13" w:rsidRDefault="005904EB" w:rsidP="005904EB">
      <w:pPr>
        <w:pStyle w:val="Titre2"/>
      </w:pPr>
      <w:bookmarkStart w:id="195" w:name="_Toc195715416"/>
      <w:r w:rsidRPr="00FE3A13">
        <w:lastRenderedPageBreak/>
        <w:t>Arrêté d'exécution de la loi du 16 novembre 1965 sur les prestations complémentaires à l'assurance-vieillesse, survivants et invalidité, modifiée par celle du 11 novembre 1970 (841.3.11)</w:t>
      </w:r>
      <w:bookmarkEnd w:id="195"/>
    </w:p>
    <w:p w14:paraId="6D1F27E7" w14:textId="77777777" w:rsidR="005904EB" w:rsidRPr="00FE3A13" w:rsidRDefault="005904EB" w:rsidP="005904EB">
      <w:r w:rsidRPr="00FE3A13">
        <w:rPr>
          <w:b/>
          <w:bCs/>
        </w:rPr>
        <w:t xml:space="preserve">&gt; </w:t>
      </w:r>
      <w:r w:rsidRPr="00FE3A13">
        <w:rPr>
          <w:b/>
          <w:bCs/>
        </w:rPr>
        <w:tab/>
        <w:t>Suspendre l'adaptation au renchérissement dans les EMS</w:t>
      </w:r>
    </w:p>
    <w:p w14:paraId="5F4ACBE4" w14:textId="616CAE6F" w:rsidR="005904EB" w:rsidRPr="00FE3A13" w:rsidRDefault="005904EB" w:rsidP="005904EB">
      <w:pPr>
        <w:rPr>
          <w:lang w:val="fr-FR"/>
        </w:rPr>
      </w:pPr>
      <w:r w:rsidRPr="00FE3A13">
        <w:t xml:space="preserve">La motion </w:t>
      </w:r>
      <w:r w:rsidRPr="00FE3A13">
        <w:rPr>
          <w:lang w:val="fr-FR"/>
        </w:rPr>
        <w:t>2023- GC- 284 demandant que le prix de pension dans le EMS, fixé par le Conseil d’Etat, soit indexé au coût de la vie a été acceptés par le Grand Conseil le 8 octobre 202</w:t>
      </w:r>
      <w:r w:rsidR="0080618A">
        <w:rPr>
          <w:lang w:val="fr-FR"/>
        </w:rPr>
        <w:t>4</w:t>
      </w:r>
      <w:r w:rsidRPr="00FE3A13">
        <w:rPr>
          <w:lang w:val="fr-FR"/>
        </w:rPr>
        <w:t>.</w:t>
      </w:r>
    </w:p>
    <w:p w14:paraId="537CD726" w14:textId="0158C3E0" w:rsidR="005904EB" w:rsidRPr="00FE3A13" w:rsidRDefault="005904EB" w:rsidP="005904EB">
      <w:r w:rsidRPr="00FE3A13">
        <w:rPr>
          <w:lang w:val="fr-FR"/>
        </w:rPr>
        <w:t>Cette mesure</w:t>
      </w:r>
      <w:r w:rsidR="00DF52DA" w:rsidRPr="00FE3A13">
        <w:rPr>
          <w:lang w:val="fr-FR"/>
        </w:rPr>
        <w:t xml:space="preserve">, qui a déjà été évoquée dans le cadre de la section 5.1, </w:t>
      </w:r>
      <w:r w:rsidRPr="00FE3A13">
        <w:rPr>
          <w:lang w:val="fr-FR"/>
        </w:rPr>
        <w:t>vise à s</w:t>
      </w:r>
      <w:r w:rsidRPr="00FE3A13">
        <w:t xml:space="preserve">urseoir, à l'adaptation de ce renchérissement pour le prix de pension dans les EMS. </w:t>
      </w:r>
    </w:p>
    <w:p w14:paraId="1C5FA224" w14:textId="5257F8B5" w:rsidR="00BB35B0" w:rsidRPr="00FE3A13" w:rsidRDefault="005904EB" w:rsidP="00B93314">
      <w:r w:rsidRPr="00FE3A13">
        <w:t>Cette mesure induit des incidences financières nettes positives sur la participation des pouvoirs publics aux frais d’accompagnement. Les effets pour l’Etat sont de 400 000 francs en 2026, 795 000 francs en 2027, 1 190 000 francs en 2028. Les communes qui financent à raison de 55 % ces frais en bénéficient ainsi également.</w:t>
      </w:r>
    </w:p>
    <w:p w14:paraId="7C19CA72" w14:textId="767DFB86" w:rsidR="0001598C" w:rsidRPr="00FE3A13" w:rsidRDefault="00183978" w:rsidP="00183978">
      <w:pPr>
        <w:pStyle w:val="Titre1"/>
      </w:pPr>
      <w:bookmarkStart w:id="196" w:name="_Toc195715417"/>
      <w:r w:rsidRPr="00FE3A13">
        <w:t>Conséquences des propositions</w:t>
      </w:r>
      <w:bookmarkEnd w:id="196"/>
    </w:p>
    <w:p w14:paraId="357BEBFD" w14:textId="77777777" w:rsidR="00183978" w:rsidRPr="00FE3A13" w:rsidRDefault="00183978" w:rsidP="00183978">
      <w:pPr>
        <w:pStyle w:val="Tiret"/>
      </w:pP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t>—</w:t>
      </w:r>
    </w:p>
    <w:p w14:paraId="2FC3782C" w14:textId="77777777" w:rsidR="005F68A9" w:rsidRPr="00FE3A13" w:rsidRDefault="00183978" w:rsidP="00183978">
      <w:pPr>
        <w:pStyle w:val="Titre2"/>
      </w:pPr>
      <w:bookmarkStart w:id="197" w:name="_Toc195715418"/>
      <w:r w:rsidRPr="00FE3A13">
        <w:t>Conséquences financières</w:t>
      </w:r>
      <w:bookmarkEnd w:id="197"/>
    </w:p>
    <w:p w14:paraId="2D1092D0" w14:textId="216CC5F2" w:rsidR="003E5B99" w:rsidRPr="00FE3A13" w:rsidRDefault="000100B8" w:rsidP="003E5B99">
      <w:pPr>
        <w:pStyle w:val="Corpsdetexte"/>
        <w:rPr>
          <w:i/>
          <w:iCs/>
        </w:rPr>
      </w:pPr>
      <w:r w:rsidRPr="00FE3A13">
        <w:t>Les incidences financières du PAFE pour l’Etat et les communes sont résumées dans le tableau suivant</w:t>
      </w:r>
      <w:r w:rsidR="008C5626">
        <w:t>. Compte tenu de son caractère particulier, consistant à mettre fin à un régime transitoire, les incidences de la mesure proposée en matière de PC AVS/AI, qui relève en principe de la catégorie « projets et réformes », sont présentées séparément.</w:t>
      </w:r>
      <w:r w:rsidR="009545E8">
        <w:t xml:space="preserve"> Des commentaires supplémentaires sont apportés à ce sujet dans l</w:t>
      </w:r>
      <w:r w:rsidR="00CC062A">
        <w:t>es</w:t>
      </w:r>
      <w:r w:rsidR="009545E8">
        <w:t xml:space="preserve"> section</w:t>
      </w:r>
      <w:r w:rsidR="00CC062A">
        <w:t>s 6.18 et</w:t>
      </w:r>
      <w:r w:rsidR="009545E8">
        <w:t xml:space="preserve"> 7.3.</w:t>
      </w:r>
    </w:p>
    <w:tbl>
      <w:tblPr>
        <w:tblStyle w:val="TableauEtatFR"/>
        <w:tblW w:w="5000" w:type="pct"/>
        <w:tblLayout w:type="fixed"/>
        <w:tblLook w:val="04E0" w:firstRow="1" w:lastRow="1" w:firstColumn="1" w:lastColumn="0" w:noHBand="0" w:noVBand="1"/>
      </w:tblPr>
      <w:tblGrid>
        <w:gridCol w:w="998"/>
        <w:gridCol w:w="1115"/>
        <w:gridCol w:w="1115"/>
        <w:gridCol w:w="1117"/>
        <w:gridCol w:w="1115"/>
        <w:gridCol w:w="1115"/>
        <w:gridCol w:w="1117"/>
        <w:gridCol w:w="1115"/>
        <w:gridCol w:w="1113"/>
      </w:tblGrid>
      <w:tr w:rsidR="000100B8" w:rsidRPr="00FE3A13" w14:paraId="4A459778" w14:textId="77777777" w:rsidTr="008C7FD5">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3" w:type="pct"/>
          </w:tcPr>
          <w:p w14:paraId="6AA8127B" w14:textId="77777777" w:rsidR="000100B8" w:rsidRPr="00FE3A13" w:rsidRDefault="000100B8" w:rsidP="008C7FD5">
            <w:pPr>
              <w:pStyle w:val="NIVtableau"/>
            </w:pPr>
          </w:p>
        </w:tc>
        <w:tc>
          <w:tcPr>
            <w:tcW w:w="2249" w:type="pct"/>
            <w:gridSpan w:val="4"/>
          </w:tcPr>
          <w:p w14:paraId="4CD9E781" w14:textId="05776FD6" w:rsidR="000100B8" w:rsidRPr="00FE3A13" w:rsidRDefault="000100B8" w:rsidP="008C7FD5">
            <w:pPr>
              <w:pStyle w:val="NIVtableauchiffres"/>
              <w:spacing w:before="100"/>
              <w:cnfStyle w:val="100000000000" w:firstRow="1" w:lastRow="0" w:firstColumn="0" w:lastColumn="0" w:oddVBand="0" w:evenVBand="0" w:oddHBand="0" w:evenHBand="0" w:firstRowFirstColumn="0" w:firstRowLastColumn="0" w:lastRowFirstColumn="0" w:lastRowLastColumn="0"/>
            </w:pPr>
            <w:r w:rsidRPr="00FE3A13">
              <w:t>Incidences financières pour l’Etat</w:t>
            </w:r>
          </w:p>
        </w:tc>
        <w:tc>
          <w:tcPr>
            <w:tcW w:w="2248" w:type="pct"/>
            <w:gridSpan w:val="4"/>
          </w:tcPr>
          <w:p w14:paraId="5E930C24" w14:textId="7543494B" w:rsidR="000100B8" w:rsidRPr="00FE3A13" w:rsidRDefault="000100B8" w:rsidP="008C7FD5">
            <w:pPr>
              <w:pStyle w:val="NIVtableauchiffres"/>
              <w:cnfStyle w:val="100000000000" w:firstRow="1" w:lastRow="0" w:firstColumn="0" w:lastColumn="0" w:oddVBand="0" w:evenVBand="0" w:oddHBand="0" w:evenHBand="0" w:firstRowFirstColumn="0" w:firstRowLastColumn="0" w:lastRowFirstColumn="0" w:lastRowLastColumn="0"/>
            </w:pPr>
            <w:r w:rsidRPr="00FE3A13">
              <w:t>Incidences financières pour les communes</w:t>
            </w:r>
          </w:p>
        </w:tc>
      </w:tr>
      <w:tr w:rsidR="000100B8" w:rsidRPr="00FE3A13" w14:paraId="243B6C3C"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6AD0C0FD" w14:textId="77777777" w:rsidR="000100B8" w:rsidRPr="00FE3A13" w:rsidRDefault="000100B8" w:rsidP="008C7FD5">
            <w:pPr>
              <w:pStyle w:val="NIVtableau"/>
              <w:rPr>
                <w:b/>
                <w:bCs w:val="0"/>
              </w:rPr>
            </w:pPr>
            <w:r w:rsidRPr="00FE3A13">
              <w:rPr>
                <w:b/>
                <w:bCs w:val="0"/>
              </w:rPr>
              <w:t>Domaine</w:t>
            </w:r>
          </w:p>
        </w:tc>
        <w:tc>
          <w:tcPr>
            <w:tcW w:w="562" w:type="pct"/>
          </w:tcPr>
          <w:p w14:paraId="6588A76A"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2026</w:t>
            </w:r>
          </w:p>
        </w:tc>
        <w:tc>
          <w:tcPr>
            <w:tcW w:w="562" w:type="pct"/>
          </w:tcPr>
          <w:p w14:paraId="468B70F0"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2027</w:t>
            </w:r>
          </w:p>
        </w:tc>
        <w:tc>
          <w:tcPr>
            <w:tcW w:w="563" w:type="pct"/>
          </w:tcPr>
          <w:p w14:paraId="6E788273"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2028</w:t>
            </w:r>
          </w:p>
        </w:tc>
        <w:tc>
          <w:tcPr>
            <w:tcW w:w="562" w:type="pct"/>
          </w:tcPr>
          <w:p w14:paraId="203158C3" w14:textId="77777777" w:rsidR="000100B8" w:rsidRPr="00FE3A13" w:rsidRDefault="000100B8" w:rsidP="008C7FD5">
            <w:pPr>
              <w:pStyle w:val="NIVtableauchiffres"/>
              <w:spacing w:before="100"/>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2026-2028</w:t>
            </w:r>
          </w:p>
        </w:tc>
        <w:tc>
          <w:tcPr>
            <w:tcW w:w="562" w:type="pct"/>
          </w:tcPr>
          <w:p w14:paraId="2026E25F"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2026</w:t>
            </w:r>
          </w:p>
        </w:tc>
        <w:tc>
          <w:tcPr>
            <w:tcW w:w="563" w:type="pct"/>
          </w:tcPr>
          <w:p w14:paraId="0EC70C77"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2027</w:t>
            </w:r>
          </w:p>
        </w:tc>
        <w:tc>
          <w:tcPr>
            <w:tcW w:w="562" w:type="pct"/>
          </w:tcPr>
          <w:p w14:paraId="0535DC51"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2028</w:t>
            </w:r>
          </w:p>
        </w:tc>
        <w:tc>
          <w:tcPr>
            <w:tcW w:w="561" w:type="pct"/>
          </w:tcPr>
          <w:p w14:paraId="7E51D3E8"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sidRPr="00FE3A13">
              <w:rPr>
                <w:b/>
                <w:bCs w:val="0"/>
              </w:rPr>
              <w:t>2026-2028</w:t>
            </w:r>
          </w:p>
        </w:tc>
      </w:tr>
      <w:tr w:rsidR="000100B8" w:rsidRPr="00FE3A13" w14:paraId="58EB8173"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16B40481" w14:textId="77777777" w:rsidR="000100B8" w:rsidRPr="00FE3A13" w:rsidRDefault="000100B8" w:rsidP="008C7FD5">
            <w:pPr>
              <w:pStyle w:val="NIVtableau"/>
            </w:pPr>
            <w:r w:rsidRPr="00FE3A13">
              <w:t>Revenus</w:t>
            </w:r>
          </w:p>
        </w:tc>
        <w:tc>
          <w:tcPr>
            <w:tcW w:w="562" w:type="pct"/>
          </w:tcPr>
          <w:p w14:paraId="131D8003"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54 060 935</w:t>
            </w:r>
          </w:p>
        </w:tc>
        <w:tc>
          <w:tcPr>
            <w:tcW w:w="562" w:type="pct"/>
          </w:tcPr>
          <w:p w14:paraId="6DC4C0F0"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56 687 935</w:t>
            </w:r>
          </w:p>
        </w:tc>
        <w:tc>
          <w:tcPr>
            <w:tcW w:w="563" w:type="pct"/>
          </w:tcPr>
          <w:p w14:paraId="302AACD4"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56 355 935</w:t>
            </w:r>
          </w:p>
        </w:tc>
        <w:tc>
          <w:tcPr>
            <w:tcW w:w="562" w:type="pct"/>
          </w:tcPr>
          <w:p w14:paraId="7034FB62" w14:textId="77777777" w:rsidR="000100B8" w:rsidRPr="00FE3A13" w:rsidRDefault="000100B8" w:rsidP="008C7FD5">
            <w:pPr>
              <w:pStyle w:val="NIVtableauchiffres"/>
              <w:spacing w:before="100"/>
              <w:cnfStyle w:val="000000000000" w:firstRow="0" w:lastRow="0" w:firstColumn="0" w:lastColumn="0" w:oddVBand="0" w:evenVBand="0" w:oddHBand="0" w:evenHBand="0" w:firstRowFirstColumn="0" w:firstRowLastColumn="0" w:lastRowFirstColumn="0" w:lastRowLastColumn="0"/>
            </w:pPr>
            <w:r w:rsidRPr="00FE3A13">
              <w:t>167 104 805</w:t>
            </w:r>
          </w:p>
        </w:tc>
        <w:tc>
          <w:tcPr>
            <w:tcW w:w="562" w:type="pct"/>
          </w:tcPr>
          <w:p w14:paraId="3B9CCB8C"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15 640 000</w:t>
            </w:r>
          </w:p>
        </w:tc>
        <w:tc>
          <w:tcPr>
            <w:tcW w:w="563" w:type="pct"/>
          </w:tcPr>
          <w:p w14:paraId="093997E6"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15 513 000</w:t>
            </w:r>
          </w:p>
        </w:tc>
        <w:tc>
          <w:tcPr>
            <w:tcW w:w="562" w:type="pct"/>
          </w:tcPr>
          <w:p w14:paraId="01850476"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15 385 000</w:t>
            </w:r>
          </w:p>
        </w:tc>
        <w:tc>
          <w:tcPr>
            <w:tcW w:w="561" w:type="pct"/>
          </w:tcPr>
          <w:p w14:paraId="6708D54B"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46 538 000</w:t>
            </w:r>
          </w:p>
        </w:tc>
      </w:tr>
      <w:tr w:rsidR="000100B8" w:rsidRPr="00FE3A13" w14:paraId="4E40EC25"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5DD210F6" w14:textId="77777777" w:rsidR="000100B8" w:rsidRPr="00FE3A13" w:rsidRDefault="000100B8" w:rsidP="008C7FD5">
            <w:pPr>
              <w:pStyle w:val="NIVtableau"/>
            </w:pPr>
            <w:r w:rsidRPr="00FE3A13">
              <w:t>Personnel</w:t>
            </w:r>
          </w:p>
        </w:tc>
        <w:tc>
          <w:tcPr>
            <w:tcW w:w="562" w:type="pct"/>
          </w:tcPr>
          <w:p w14:paraId="5EE194B1"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26 173 750</w:t>
            </w:r>
          </w:p>
        </w:tc>
        <w:tc>
          <w:tcPr>
            <w:tcW w:w="562" w:type="pct"/>
          </w:tcPr>
          <w:p w14:paraId="0F1236A7"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53 753 750</w:t>
            </w:r>
          </w:p>
        </w:tc>
        <w:tc>
          <w:tcPr>
            <w:tcW w:w="563" w:type="pct"/>
          </w:tcPr>
          <w:p w14:paraId="48C74ACE"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42 708 750</w:t>
            </w:r>
          </w:p>
        </w:tc>
        <w:tc>
          <w:tcPr>
            <w:tcW w:w="562" w:type="pct"/>
          </w:tcPr>
          <w:p w14:paraId="208DAC23" w14:textId="77777777" w:rsidR="000100B8" w:rsidRPr="00FE3A13" w:rsidRDefault="000100B8" w:rsidP="008C7FD5">
            <w:pPr>
              <w:pStyle w:val="NIVtableauchiffres"/>
              <w:spacing w:before="100"/>
              <w:cnfStyle w:val="000000000000" w:firstRow="0" w:lastRow="0" w:firstColumn="0" w:lastColumn="0" w:oddVBand="0" w:evenVBand="0" w:oddHBand="0" w:evenHBand="0" w:firstRowFirstColumn="0" w:firstRowLastColumn="0" w:lastRowFirstColumn="0" w:lastRowLastColumn="0"/>
            </w:pPr>
            <w:r w:rsidRPr="00FE3A13">
              <w:t>122 636 250</w:t>
            </w:r>
          </w:p>
        </w:tc>
        <w:tc>
          <w:tcPr>
            <w:tcW w:w="562" w:type="pct"/>
          </w:tcPr>
          <w:p w14:paraId="76117262"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7 400 000</w:t>
            </w:r>
          </w:p>
        </w:tc>
        <w:tc>
          <w:tcPr>
            <w:tcW w:w="563" w:type="pct"/>
          </w:tcPr>
          <w:p w14:paraId="165E183C"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17 300 000</w:t>
            </w:r>
          </w:p>
        </w:tc>
        <w:tc>
          <w:tcPr>
            <w:tcW w:w="562" w:type="pct"/>
          </w:tcPr>
          <w:p w14:paraId="32D46860"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15 400 000</w:t>
            </w:r>
          </w:p>
        </w:tc>
        <w:tc>
          <w:tcPr>
            <w:tcW w:w="561" w:type="pct"/>
          </w:tcPr>
          <w:p w14:paraId="19B4F5A8" w14:textId="77777777" w:rsidR="000100B8" w:rsidRPr="00FE3A13"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FE3A13">
              <w:t>40 100 000</w:t>
            </w:r>
          </w:p>
        </w:tc>
      </w:tr>
      <w:tr w:rsidR="000100B8" w:rsidRPr="00FE3A13" w14:paraId="1CF99988"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2BB03789" w14:textId="77777777" w:rsidR="000100B8" w:rsidRPr="00FE3A13" w:rsidRDefault="000100B8" w:rsidP="008C7FD5">
            <w:pPr>
              <w:pStyle w:val="NIVtableau"/>
            </w:pPr>
            <w:r w:rsidRPr="00FE3A13">
              <w:t>Subvention-nement</w:t>
            </w:r>
          </w:p>
        </w:tc>
        <w:tc>
          <w:tcPr>
            <w:tcW w:w="562" w:type="pct"/>
          </w:tcPr>
          <w:p w14:paraId="224F526C" w14:textId="77777777" w:rsidR="000100B8" w:rsidRPr="006C533E"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BD7F97">
              <w:t>13 660 766</w:t>
            </w:r>
          </w:p>
        </w:tc>
        <w:tc>
          <w:tcPr>
            <w:tcW w:w="562" w:type="pct"/>
          </w:tcPr>
          <w:p w14:paraId="5819AFEE" w14:textId="7D707DF7" w:rsidR="000100B8" w:rsidRPr="006C533E"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BD7F97">
              <w:t xml:space="preserve">15 </w:t>
            </w:r>
            <w:r w:rsidR="00BD7F97" w:rsidRPr="006C533E">
              <w:t>9</w:t>
            </w:r>
            <w:r w:rsidRPr="00BD7F97">
              <w:t>35 025</w:t>
            </w:r>
          </w:p>
        </w:tc>
        <w:tc>
          <w:tcPr>
            <w:tcW w:w="563" w:type="pct"/>
          </w:tcPr>
          <w:p w14:paraId="6C7F2E3A" w14:textId="7FBF8FD0" w:rsidR="000100B8" w:rsidRPr="006C533E"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BD7F97">
              <w:t>1</w:t>
            </w:r>
            <w:r w:rsidR="00BD7F97" w:rsidRPr="006C533E">
              <w:t>5 3</w:t>
            </w:r>
            <w:r w:rsidRPr="00BD7F97">
              <w:t>25 975</w:t>
            </w:r>
          </w:p>
        </w:tc>
        <w:tc>
          <w:tcPr>
            <w:tcW w:w="562" w:type="pct"/>
          </w:tcPr>
          <w:p w14:paraId="661D4F12" w14:textId="75C3E8FC" w:rsidR="000100B8" w:rsidRPr="006C533E" w:rsidRDefault="000100B8" w:rsidP="008C7FD5">
            <w:pPr>
              <w:pStyle w:val="NIVtableauchiffres"/>
              <w:spacing w:before="100"/>
              <w:cnfStyle w:val="000000000000" w:firstRow="0" w:lastRow="0" w:firstColumn="0" w:lastColumn="0" w:oddVBand="0" w:evenVBand="0" w:oddHBand="0" w:evenHBand="0" w:firstRowFirstColumn="0" w:firstRowLastColumn="0" w:lastRowFirstColumn="0" w:lastRowLastColumn="0"/>
              <w:rPr>
                <w:highlight w:val="yellow"/>
              </w:rPr>
            </w:pPr>
            <w:r w:rsidRPr="00BD7F97">
              <w:t xml:space="preserve">44 </w:t>
            </w:r>
            <w:r w:rsidR="00BD7F97" w:rsidRPr="006C533E">
              <w:t>9</w:t>
            </w:r>
            <w:r w:rsidRPr="00BD7F97">
              <w:t>21 766</w:t>
            </w:r>
          </w:p>
        </w:tc>
        <w:tc>
          <w:tcPr>
            <w:tcW w:w="562" w:type="pct"/>
          </w:tcPr>
          <w:p w14:paraId="0D6F43E1" w14:textId="77777777" w:rsidR="000100B8" w:rsidRPr="006C533E"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BD7F97">
              <w:t>-716 475</w:t>
            </w:r>
          </w:p>
        </w:tc>
        <w:tc>
          <w:tcPr>
            <w:tcW w:w="563" w:type="pct"/>
          </w:tcPr>
          <w:p w14:paraId="008BB628" w14:textId="4F7BA315" w:rsidR="000100B8" w:rsidRPr="006C533E"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BD7F97">
              <w:t>-</w:t>
            </w:r>
            <w:r w:rsidR="00BD7F97" w:rsidRPr="006C533E">
              <w:t>5</w:t>
            </w:r>
            <w:r w:rsidRPr="00BD7F97">
              <w:t>01 475</w:t>
            </w:r>
          </w:p>
        </w:tc>
        <w:tc>
          <w:tcPr>
            <w:tcW w:w="562" w:type="pct"/>
          </w:tcPr>
          <w:p w14:paraId="0AD7BE7A" w14:textId="1D5856E3" w:rsidR="000100B8" w:rsidRPr="006C533E" w:rsidRDefault="00BD7F97"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6C533E">
              <w:t>3</w:t>
            </w:r>
            <w:r w:rsidR="000100B8" w:rsidRPr="00BD7F97">
              <w:t>00 525</w:t>
            </w:r>
          </w:p>
        </w:tc>
        <w:tc>
          <w:tcPr>
            <w:tcW w:w="561" w:type="pct"/>
          </w:tcPr>
          <w:p w14:paraId="11B30CAA" w14:textId="022BC564" w:rsidR="000100B8" w:rsidRPr="003F114D"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rPr>
                <w:highlight w:val="yellow"/>
              </w:rPr>
            </w:pPr>
            <w:r w:rsidRPr="00BD7F97">
              <w:t>-</w:t>
            </w:r>
            <w:r w:rsidR="00BD7F97" w:rsidRPr="003F114D">
              <w:t>9</w:t>
            </w:r>
            <w:r w:rsidRPr="00BD7F97">
              <w:t>17 425</w:t>
            </w:r>
          </w:p>
        </w:tc>
      </w:tr>
      <w:tr w:rsidR="000100B8" w:rsidRPr="00FE3A13" w14:paraId="5FC682D4"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2E83C857" w14:textId="77777777" w:rsidR="000100B8" w:rsidRPr="00FE3A13" w:rsidRDefault="000100B8" w:rsidP="008C7FD5">
            <w:pPr>
              <w:pStyle w:val="NIVtableau"/>
            </w:pPr>
            <w:r w:rsidRPr="00FE3A13">
              <w:t>Projets et réformes</w:t>
            </w:r>
          </w:p>
        </w:tc>
        <w:tc>
          <w:tcPr>
            <w:tcW w:w="562" w:type="pct"/>
          </w:tcPr>
          <w:p w14:paraId="10A99035" w14:textId="7153D3FF" w:rsidR="000100B8" w:rsidRPr="00FE3A13" w:rsidRDefault="00D3050A" w:rsidP="008C7FD5">
            <w:pPr>
              <w:pStyle w:val="NIVtableauchiffres"/>
              <w:cnfStyle w:val="000000000000" w:firstRow="0" w:lastRow="0" w:firstColumn="0" w:lastColumn="0" w:oddVBand="0" w:evenVBand="0" w:oddHBand="0" w:evenHBand="0" w:firstRowFirstColumn="0" w:firstRowLastColumn="0" w:lastRowFirstColumn="0" w:lastRowLastColumn="0"/>
            </w:pPr>
            <w:r>
              <w:t>20</w:t>
            </w:r>
            <w:r w:rsidR="009D5C83">
              <w:t xml:space="preserve"> </w:t>
            </w:r>
            <w:r>
              <w:t>0</w:t>
            </w:r>
            <w:r w:rsidR="00F24073">
              <w:t>4</w:t>
            </w:r>
            <w:r w:rsidR="009D5C83">
              <w:t>0 500</w:t>
            </w:r>
          </w:p>
        </w:tc>
        <w:tc>
          <w:tcPr>
            <w:tcW w:w="562" w:type="pct"/>
          </w:tcPr>
          <w:p w14:paraId="540DEDDF" w14:textId="6A58F88B" w:rsidR="000100B8" w:rsidRPr="00FE3A13" w:rsidRDefault="009D5C83" w:rsidP="008C7FD5">
            <w:pPr>
              <w:pStyle w:val="NIVtableauchiffres"/>
              <w:cnfStyle w:val="000000000000" w:firstRow="0" w:lastRow="0" w:firstColumn="0" w:lastColumn="0" w:oddVBand="0" w:evenVBand="0" w:oddHBand="0" w:evenHBand="0" w:firstRowFirstColumn="0" w:firstRowLastColumn="0" w:lastRowFirstColumn="0" w:lastRowLastColumn="0"/>
            </w:pPr>
            <w:r>
              <w:t xml:space="preserve">28 </w:t>
            </w:r>
            <w:r w:rsidR="00D3050A">
              <w:t>5</w:t>
            </w:r>
            <w:r w:rsidR="00F24073">
              <w:t>5</w:t>
            </w:r>
            <w:r>
              <w:t>2 000</w:t>
            </w:r>
          </w:p>
        </w:tc>
        <w:tc>
          <w:tcPr>
            <w:tcW w:w="563" w:type="pct"/>
          </w:tcPr>
          <w:p w14:paraId="356B7771" w14:textId="444CBCE7" w:rsidR="000100B8" w:rsidRPr="00FE3A13" w:rsidRDefault="009D5C83" w:rsidP="008C7FD5">
            <w:pPr>
              <w:pStyle w:val="NIVtableauchiffres"/>
              <w:cnfStyle w:val="000000000000" w:firstRow="0" w:lastRow="0" w:firstColumn="0" w:lastColumn="0" w:oddVBand="0" w:evenVBand="0" w:oddHBand="0" w:evenHBand="0" w:firstRowFirstColumn="0" w:firstRowLastColumn="0" w:lastRowFirstColumn="0" w:lastRowLastColumn="0"/>
            </w:pPr>
            <w:r>
              <w:t>2</w:t>
            </w:r>
            <w:r w:rsidR="00D3050A">
              <w:t>2 1</w:t>
            </w:r>
            <w:r w:rsidR="00F24073">
              <w:t>25</w:t>
            </w:r>
            <w:r>
              <w:t xml:space="preserve"> 750</w:t>
            </w:r>
          </w:p>
        </w:tc>
        <w:tc>
          <w:tcPr>
            <w:tcW w:w="562" w:type="pct"/>
          </w:tcPr>
          <w:p w14:paraId="76D1E9BD" w14:textId="1F794E83" w:rsidR="000100B8" w:rsidRPr="00FE3A13" w:rsidRDefault="009D5C83" w:rsidP="008C7FD5">
            <w:pPr>
              <w:pStyle w:val="NIVtableauchiffres"/>
              <w:spacing w:before="100"/>
              <w:cnfStyle w:val="000000000000" w:firstRow="0" w:lastRow="0" w:firstColumn="0" w:lastColumn="0" w:oddVBand="0" w:evenVBand="0" w:oddHBand="0" w:evenHBand="0" w:firstRowFirstColumn="0" w:firstRowLastColumn="0" w:lastRowFirstColumn="0" w:lastRowLastColumn="0"/>
            </w:pPr>
            <w:r w:rsidRPr="00BD7F97">
              <w:t xml:space="preserve">70 </w:t>
            </w:r>
            <w:r w:rsidR="00D3050A">
              <w:t>7</w:t>
            </w:r>
            <w:r w:rsidR="00BD7F97" w:rsidRPr="003F114D">
              <w:t>1</w:t>
            </w:r>
            <w:r w:rsidRPr="00BD7F97">
              <w:t>8 250</w:t>
            </w:r>
          </w:p>
        </w:tc>
        <w:tc>
          <w:tcPr>
            <w:tcW w:w="562" w:type="pct"/>
          </w:tcPr>
          <w:p w14:paraId="6E00E0A2" w14:textId="0DD4BD31" w:rsidR="000100B8" w:rsidRPr="00BD7F97"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BD7F97">
              <w:t>-</w:t>
            </w:r>
            <w:r w:rsidR="005E2AE2" w:rsidRPr="00BD7F97">
              <w:t>15 254 500</w:t>
            </w:r>
          </w:p>
        </w:tc>
        <w:tc>
          <w:tcPr>
            <w:tcW w:w="563" w:type="pct"/>
          </w:tcPr>
          <w:p w14:paraId="32B69320" w14:textId="356AB720" w:rsidR="000100B8" w:rsidRPr="00BD7F97"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BD7F97">
              <w:t>-</w:t>
            </w:r>
            <w:r w:rsidR="005E2AE2" w:rsidRPr="00BD7F97">
              <w:t>16 276 500</w:t>
            </w:r>
          </w:p>
        </w:tc>
        <w:tc>
          <w:tcPr>
            <w:tcW w:w="562" w:type="pct"/>
          </w:tcPr>
          <w:p w14:paraId="2136F83C" w14:textId="50213B77" w:rsidR="000100B8" w:rsidRPr="00BD7F97" w:rsidRDefault="000100B8" w:rsidP="008C7FD5">
            <w:pPr>
              <w:pStyle w:val="NIVtableauchiffres"/>
              <w:cnfStyle w:val="000000000000" w:firstRow="0" w:lastRow="0" w:firstColumn="0" w:lastColumn="0" w:oddVBand="0" w:evenVBand="0" w:oddHBand="0" w:evenHBand="0" w:firstRowFirstColumn="0" w:firstRowLastColumn="0" w:lastRowFirstColumn="0" w:lastRowLastColumn="0"/>
            </w:pPr>
            <w:r w:rsidRPr="00BD7F97">
              <w:t>-</w:t>
            </w:r>
            <w:r w:rsidR="005E2AE2" w:rsidRPr="00BD7F97">
              <w:t>17 368 750</w:t>
            </w:r>
          </w:p>
        </w:tc>
        <w:tc>
          <w:tcPr>
            <w:tcW w:w="561" w:type="pct"/>
          </w:tcPr>
          <w:p w14:paraId="54DDE5D2" w14:textId="25F320B2" w:rsidR="005E2AE2" w:rsidRPr="00BD7F97" w:rsidRDefault="000100B8" w:rsidP="005E2AE2">
            <w:pPr>
              <w:pStyle w:val="NIVtableauchiffres"/>
              <w:cnfStyle w:val="000000000000" w:firstRow="0" w:lastRow="0" w:firstColumn="0" w:lastColumn="0" w:oddVBand="0" w:evenVBand="0" w:oddHBand="0" w:evenHBand="0" w:firstRowFirstColumn="0" w:firstRowLastColumn="0" w:lastRowFirstColumn="0" w:lastRowLastColumn="0"/>
            </w:pPr>
            <w:r w:rsidRPr="00BD7F97">
              <w:t>-</w:t>
            </w:r>
            <w:r w:rsidR="005E2AE2" w:rsidRPr="00BD7F97">
              <w:t>48 899 750</w:t>
            </w:r>
          </w:p>
        </w:tc>
      </w:tr>
      <w:tr w:rsidR="0080618A" w:rsidRPr="00FE3A13" w14:paraId="6EF7F217"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657149F0" w14:textId="3A92555A" w:rsidR="0080618A" w:rsidRPr="00CF6A23" w:rsidRDefault="0080618A" w:rsidP="008C7FD5">
            <w:pPr>
              <w:pStyle w:val="NIVtableau"/>
              <w:rPr>
                <w:b/>
                <w:bCs w:val="0"/>
              </w:rPr>
            </w:pPr>
            <w:r w:rsidRPr="00CF6A23">
              <w:rPr>
                <w:b/>
                <w:bCs w:val="0"/>
              </w:rPr>
              <w:t>Sous-total</w:t>
            </w:r>
          </w:p>
        </w:tc>
        <w:tc>
          <w:tcPr>
            <w:tcW w:w="562" w:type="pct"/>
          </w:tcPr>
          <w:p w14:paraId="462E780B" w14:textId="5368D20E" w:rsidR="0080618A" w:rsidRPr="00CF6A23" w:rsidRDefault="00376DCF"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Pr>
                <w:b/>
                <w:bCs w:val="0"/>
              </w:rPr>
              <w:t>113</w:t>
            </w:r>
            <w:r w:rsidR="00B067EC">
              <w:rPr>
                <w:b/>
                <w:bCs w:val="0"/>
              </w:rPr>
              <w:t xml:space="preserve"> 935</w:t>
            </w:r>
            <w:r>
              <w:rPr>
                <w:b/>
                <w:bCs w:val="0"/>
              </w:rPr>
              <w:t xml:space="preserve"> 951</w:t>
            </w:r>
          </w:p>
        </w:tc>
        <w:tc>
          <w:tcPr>
            <w:tcW w:w="562" w:type="pct"/>
          </w:tcPr>
          <w:p w14:paraId="7FC0217F" w14:textId="6BFEC0D4" w:rsidR="0080618A" w:rsidRPr="00CF6A23" w:rsidRDefault="00376DCF" w:rsidP="00CF6A23">
            <w:pPr>
              <w:pStyle w:val="NIVtableauchiffres"/>
              <w:jc w:val="center"/>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154 </w:t>
            </w:r>
            <w:r w:rsidR="00B067EC">
              <w:rPr>
                <w:b/>
                <w:bCs w:val="0"/>
              </w:rPr>
              <w:t>92</w:t>
            </w:r>
            <w:r>
              <w:rPr>
                <w:b/>
                <w:bCs w:val="0"/>
              </w:rPr>
              <w:t>8 710</w:t>
            </w:r>
          </w:p>
        </w:tc>
        <w:tc>
          <w:tcPr>
            <w:tcW w:w="563" w:type="pct"/>
          </w:tcPr>
          <w:p w14:paraId="08D20DBC" w14:textId="7FC63D49" w:rsidR="0080618A" w:rsidRPr="00CF6A23" w:rsidRDefault="00376DCF"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Pr>
                <w:b/>
                <w:bCs w:val="0"/>
              </w:rPr>
              <w:t>13</w:t>
            </w:r>
            <w:r w:rsidR="00B067EC">
              <w:rPr>
                <w:b/>
                <w:bCs w:val="0"/>
              </w:rPr>
              <w:t>6 516</w:t>
            </w:r>
            <w:r>
              <w:rPr>
                <w:b/>
                <w:bCs w:val="0"/>
              </w:rPr>
              <w:t xml:space="preserve"> 410</w:t>
            </w:r>
          </w:p>
        </w:tc>
        <w:tc>
          <w:tcPr>
            <w:tcW w:w="562" w:type="pct"/>
          </w:tcPr>
          <w:p w14:paraId="7D659DDD" w14:textId="13A4EC58" w:rsidR="0080618A" w:rsidRPr="00CF6A23" w:rsidRDefault="00376DCF" w:rsidP="008C7FD5">
            <w:pPr>
              <w:pStyle w:val="NIVtableauchiffres"/>
              <w:spacing w:before="100"/>
              <w:cnfStyle w:val="000000000000" w:firstRow="0" w:lastRow="0" w:firstColumn="0" w:lastColumn="0" w:oddVBand="0" w:evenVBand="0" w:oddHBand="0" w:evenHBand="0" w:firstRowFirstColumn="0" w:firstRowLastColumn="0" w:lastRowFirstColumn="0" w:lastRowLastColumn="0"/>
              <w:rPr>
                <w:b/>
                <w:bCs w:val="0"/>
              </w:rPr>
            </w:pPr>
            <w:r>
              <w:rPr>
                <w:b/>
                <w:bCs w:val="0"/>
              </w:rPr>
              <w:t>40</w:t>
            </w:r>
            <w:r w:rsidR="00B067EC">
              <w:rPr>
                <w:b/>
                <w:bCs w:val="0"/>
              </w:rPr>
              <w:t>5</w:t>
            </w:r>
            <w:r>
              <w:rPr>
                <w:b/>
                <w:bCs w:val="0"/>
              </w:rPr>
              <w:t xml:space="preserve"> </w:t>
            </w:r>
            <w:r w:rsidR="00B067EC">
              <w:rPr>
                <w:b/>
                <w:bCs w:val="0"/>
              </w:rPr>
              <w:t>381</w:t>
            </w:r>
            <w:r>
              <w:rPr>
                <w:b/>
                <w:bCs w:val="0"/>
              </w:rPr>
              <w:t xml:space="preserve"> 071</w:t>
            </w:r>
          </w:p>
        </w:tc>
        <w:tc>
          <w:tcPr>
            <w:tcW w:w="562" w:type="pct"/>
          </w:tcPr>
          <w:p w14:paraId="3E662CCF" w14:textId="62E80777" w:rsidR="0080618A" w:rsidRPr="00CF6A23" w:rsidRDefault="00376DCF"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Pr>
                <w:b/>
                <w:bCs w:val="0"/>
              </w:rPr>
              <w:t>7 069 025</w:t>
            </w:r>
          </w:p>
        </w:tc>
        <w:tc>
          <w:tcPr>
            <w:tcW w:w="563" w:type="pct"/>
          </w:tcPr>
          <w:p w14:paraId="70D1CF0C" w14:textId="02176947" w:rsidR="0080618A" w:rsidRPr="00CF6A23" w:rsidRDefault="00376DCF"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Pr>
                <w:b/>
                <w:bCs w:val="0"/>
              </w:rPr>
              <w:t xml:space="preserve">16 </w:t>
            </w:r>
            <w:r w:rsidR="00B067EC">
              <w:rPr>
                <w:b/>
                <w:bCs w:val="0"/>
              </w:rPr>
              <w:t>0</w:t>
            </w:r>
            <w:r>
              <w:rPr>
                <w:b/>
                <w:bCs w:val="0"/>
              </w:rPr>
              <w:t>35 025</w:t>
            </w:r>
          </w:p>
        </w:tc>
        <w:tc>
          <w:tcPr>
            <w:tcW w:w="562" w:type="pct"/>
          </w:tcPr>
          <w:p w14:paraId="3C00F4FF" w14:textId="154C695E" w:rsidR="0080618A" w:rsidRPr="00CF6A23" w:rsidRDefault="008C5626"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Pr>
                <w:b/>
                <w:bCs w:val="0"/>
              </w:rPr>
              <w:t>1</w:t>
            </w:r>
            <w:r w:rsidR="00B067EC">
              <w:rPr>
                <w:b/>
                <w:bCs w:val="0"/>
              </w:rPr>
              <w:t>3</w:t>
            </w:r>
            <w:r>
              <w:rPr>
                <w:b/>
                <w:bCs w:val="0"/>
              </w:rPr>
              <w:t xml:space="preserve"> </w:t>
            </w:r>
            <w:r w:rsidR="00B067EC">
              <w:rPr>
                <w:b/>
                <w:bCs w:val="0"/>
              </w:rPr>
              <w:t>7</w:t>
            </w:r>
            <w:r>
              <w:rPr>
                <w:b/>
                <w:bCs w:val="0"/>
              </w:rPr>
              <w:t>16 775</w:t>
            </w:r>
          </w:p>
        </w:tc>
        <w:tc>
          <w:tcPr>
            <w:tcW w:w="561" w:type="pct"/>
          </w:tcPr>
          <w:p w14:paraId="0BC3BB5F" w14:textId="203A1E06" w:rsidR="0080618A" w:rsidRPr="00CF6A23" w:rsidRDefault="008C5626" w:rsidP="008C7FD5">
            <w:pPr>
              <w:pStyle w:val="NIVtableauchiffres"/>
              <w:cnfStyle w:val="000000000000" w:firstRow="0" w:lastRow="0" w:firstColumn="0" w:lastColumn="0" w:oddVBand="0" w:evenVBand="0" w:oddHBand="0" w:evenHBand="0" w:firstRowFirstColumn="0" w:firstRowLastColumn="0" w:lastRowFirstColumn="0" w:lastRowLastColumn="0"/>
              <w:rPr>
                <w:b/>
                <w:bCs w:val="0"/>
              </w:rPr>
            </w:pPr>
            <w:r>
              <w:rPr>
                <w:b/>
                <w:bCs w:val="0"/>
              </w:rPr>
              <w:t>3</w:t>
            </w:r>
            <w:r w:rsidR="00B067EC">
              <w:rPr>
                <w:b/>
                <w:bCs w:val="0"/>
              </w:rPr>
              <w:t>6</w:t>
            </w:r>
            <w:r>
              <w:rPr>
                <w:b/>
                <w:bCs w:val="0"/>
              </w:rPr>
              <w:t xml:space="preserve"> </w:t>
            </w:r>
            <w:r w:rsidR="00B067EC">
              <w:rPr>
                <w:b/>
                <w:bCs w:val="0"/>
              </w:rPr>
              <w:t>8</w:t>
            </w:r>
            <w:r>
              <w:rPr>
                <w:b/>
                <w:bCs w:val="0"/>
              </w:rPr>
              <w:t>20 825</w:t>
            </w:r>
          </w:p>
        </w:tc>
      </w:tr>
      <w:tr w:rsidR="0080618A" w:rsidRPr="00FE3A13" w14:paraId="71BC41C8" w14:textId="77777777" w:rsidTr="008C7FD5">
        <w:tblPrEx>
          <w:tblCellMar>
            <w:bottom w:w="28" w:type="dxa"/>
          </w:tblCellMar>
        </w:tblPrEx>
        <w:trPr>
          <w:trHeight w:val="414"/>
        </w:trPr>
        <w:tc>
          <w:tcPr>
            <w:cnfStyle w:val="001000000000" w:firstRow="0" w:lastRow="0" w:firstColumn="1" w:lastColumn="0" w:oddVBand="0" w:evenVBand="0" w:oddHBand="0" w:evenHBand="0" w:firstRowFirstColumn="0" w:firstRowLastColumn="0" w:lastRowFirstColumn="0" w:lastRowLastColumn="0"/>
            <w:tcW w:w="503" w:type="pct"/>
          </w:tcPr>
          <w:p w14:paraId="0107B95D" w14:textId="62D398EA" w:rsidR="0080618A" w:rsidRPr="00FE3A13" w:rsidRDefault="0080618A" w:rsidP="008C7FD5">
            <w:pPr>
              <w:pStyle w:val="NIVtableau"/>
            </w:pPr>
            <w:r>
              <w:t>PC AVS/AI</w:t>
            </w:r>
          </w:p>
        </w:tc>
        <w:tc>
          <w:tcPr>
            <w:tcW w:w="562" w:type="pct"/>
          </w:tcPr>
          <w:p w14:paraId="205ECF7F" w14:textId="1E1EB408" w:rsidR="0080618A" w:rsidRPr="00FE3A13" w:rsidRDefault="0080618A" w:rsidP="008C7FD5">
            <w:pPr>
              <w:pStyle w:val="NIVtableauchiffres"/>
              <w:cnfStyle w:val="000000000000" w:firstRow="0" w:lastRow="0" w:firstColumn="0" w:lastColumn="0" w:oddVBand="0" w:evenVBand="0" w:oddHBand="0" w:evenHBand="0" w:firstRowFirstColumn="0" w:firstRowLastColumn="0" w:lastRowFirstColumn="0" w:lastRowLastColumn="0"/>
            </w:pPr>
            <w:r>
              <w:t>28 847 000</w:t>
            </w:r>
          </w:p>
        </w:tc>
        <w:tc>
          <w:tcPr>
            <w:tcW w:w="562" w:type="pct"/>
          </w:tcPr>
          <w:p w14:paraId="704B0324" w14:textId="68B77B2C" w:rsidR="0080618A" w:rsidRPr="00FE3A13" w:rsidRDefault="0080618A" w:rsidP="008C7FD5">
            <w:pPr>
              <w:pStyle w:val="NIVtableauchiffres"/>
              <w:cnfStyle w:val="000000000000" w:firstRow="0" w:lastRow="0" w:firstColumn="0" w:lastColumn="0" w:oddVBand="0" w:evenVBand="0" w:oddHBand="0" w:evenHBand="0" w:firstRowFirstColumn="0" w:firstRowLastColumn="0" w:lastRowFirstColumn="0" w:lastRowLastColumn="0"/>
            </w:pPr>
            <w:r>
              <w:t>29 557 000</w:t>
            </w:r>
          </w:p>
        </w:tc>
        <w:tc>
          <w:tcPr>
            <w:tcW w:w="563" w:type="pct"/>
          </w:tcPr>
          <w:p w14:paraId="08C476C7" w14:textId="3951E339" w:rsidR="0080618A" w:rsidRPr="00FE3A13" w:rsidRDefault="0080618A" w:rsidP="008C7FD5">
            <w:pPr>
              <w:pStyle w:val="NIVtableauchiffres"/>
              <w:cnfStyle w:val="000000000000" w:firstRow="0" w:lastRow="0" w:firstColumn="0" w:lastColumn="0" w:oddVBand="0" w:evenVBand="0" w:oddHBand="0" w:evenHBand="0" w:firstRowFirstColumn="0" w:firstRowLastColumn="0" w:lastRowFirstColumn="0" w:lastRowLastColumn="0"/>
            </w:pPr>
            <w:r>
              <w:t>30 180 000</w:t>
            </w:r>
          </w:p>
        </w:tc>
        <w:tc>
          <w:tcPr>
            <w:tcW w:w="562" w:type="pct"/>
          </w:tcPr>
          <w:p w14:paraId="740D615E" w14:textId="5311BF21" w:rsidR="0080618A" w:rsidRPr="00FE3A13" w:rsidRDefault="0080618A" w:rsidP="008C7FD5">
            <w:pPr>
              <w:pStyle w:val="NIVtableauchiffres"/>
              <w:spacing w:before="100"/>
              <w:cnfStyle w:val="000000000000" w:firstRow="0" w:lastRow="0" w:firstColumn="0" w:lastColumn="0" w:oddVBand="0" w:evenVBand="0" w:oddHBand="0" w:evenHBand="0" w:firstRowFirstColumn="0" w:firstRowLastColumn="0" w:lastRowFirstColumn="0" w:lastRowLastColumn="0"/>
            </w:pPr>
            <w:r>
              <w:t>88 584 000</w:t>
            </w:r>
          </w:p>
        </w:tc>
        <w:tc>
          <w:tcPr>
            <w:tcW w:w="562" w:type="pct"/>
          </w:tcPr>
          <w:p w14:paraId="405D5261" w14:textId="2ACDB63D" w:rsidR="0080618A" w:rsidRPr="00FE3A13" w:rsidRDefault="0080618A" w:rsidP="008C7FD5">
            <w:pPr>
              <w:pStyle w:val="NIVtableauchiffres"/>
              <w:cnfStyle w:val="000000000000" w:firstRow="0" w:lastRow="0" w:firstColumn="0" w:lastColumn="0" w:oddVBand="0" w:evenVBand="0" w:oddHBand="0" w:evenHBand="0" w:firstRowFirstColumn="0" w:firstRowLastColumn="0" w:lastRowFirstColumn="0" w:lastRowLastColumn="0"/>
            </w:pPr>
            <w:r>
              <w:t>-</w:t>
            </w:r>
            <w:r w:rsidR="009D5C83">
              <w:t>28 847 000</w:t>
            </w:r>
          </w:p>
        </w:tc>
        <w:tc>
          <w:tcPr>
            <w:tcW w:w="563" w:type="pct"/>
          </w:tcPr>
          <w:p w14:paraId="572E1732" w14:textId="7A7AB053" w:rsidR="0080618A" w:rsidRPr="00FE3A13" w:rsidRDefault="009D5C83" w:rsidP="008C7FD5">
            <w:pPr>
              <w:pStyle w:val="NIVtableauchiffres"/>
              <w:cnfStyle w:val="000000000000" w:firstRow="0" w:lastRow="0" w:firstColumn="0" w:lastColumn="0" w:oddVBand="0" w:evenVBand="0" w:oddHBand="0" w:evenHBand="0" w:firstRowFirstColumn="0" w:firstRowLastColumn="0" w:lastRowFirstColumn="0" w:lastRowLastColumn="0"/>
            </w:pPr>
            <w:r>
              <w:t>-29 557 000</w:t>
            </w:r>
          </w:p>
        </w:tc>
        <w:tc>
          <w:tcPr>
            <w:tcW w:w="562" w:type="pct"/>
          </w:tcPr>
          <w:p w14:paraId="1E3CCFB4" w14:textId="38CB68BC" w:rsidR="0080618A" w:rsidRPr="00FE3A13" w:rsidRDefault="009D5C83" w:rsidP="008C7FD5">
            <w:pPr>
              <w:pStyle w:val="NIVtableauchiffres"/>
              <w:cnfStyle w:val="000000000000" w:firstRow="0" w:lastRow="0" w:firstColumn="0" w:lastColumn="0" w:oddVBand="0" w:evenVBand="0" w:oddHBand="0" w:evenHBand="0" w:firstRowFirstColumn="0" w:firstRowLastColumn="0" w:lastRowFirstColumn="0" w:lastRowLastColumn="0"/>
            </w:pPr>
            <w:r>
              <w:t>- 30 180 000</w:t>
            </w:r>
          </w:p>
        </w:tc>
        <w:tc>
          <w:tcPr>
            <w:tcW w:w="561" w:type="pct"/>
          </w:tcPr>
          <w:p w14:paraId="1DF8ED81" w14:textId="7A64C3DD" w:rsidR="0080618A" w:rsidRPr="00FE3A13" w:rsidRDefault="009D5C83" w:rsidP="008C7FD5">
            <w:pPr>
              <w:pStyle w:val="NIVtableauchiffres"/>
              <w:cnfStyle w:val="000000000000" w:firstRow="0" w:lastRow="0" w:firstColumn="0" w:lastColumn="0" w:oddVBand="0" w:evenVBand="0" w:oddHBand="0" w:evenHBand="0" w:firstRowFirstColumn="0" w:firstRowLastColumn="0" w:lastRowFirstColumn="0" w:lastRowLastColumn="0"/>
            </w:pPr>
            <w:r>
              <w:t>-88 584 000</w:t>
            </w:r>
          </w:p>
        </w:tc>
      </w:tr>
      <w:tr w:rsidR="000100B8" w:rsidRPr="00FE3A13" w14:paraId="69520258" w14:textId="77777777" w:rsidTr="008C7FD5">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3" w:type="pct"/>
          </w:tcPr>
          <w:p w14:paraId="5D95DB2D" w14:textId="77777777" w:rsidR="000100B8" w:rsidRPr="00FE3A13" w:rsidRDefault="000100B8" w:rsidP="008C7FD5">
            <w:pPr>
              <w:pStyle w:val="NIVtableau"/>
            </w:pPr>
            <w:r w:rsidRPr="00FE3A13">
              <w:t>Total</w:t>
            </w:r>
          </w:p>
        </w:tc>
        <w:tc>
          <w:tcPr>
            <w:tcW w:w="562" w:type="pct"/>
          </w:tcPr>
          <w:p w14:paraId="59063738" w14:textId="6BDD197D"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 xml:space="preserve">142 </w:t>
            </w:r>
            <w:r w:rsidR="00D3050A">
              <w:t>7</w:t>
            </w:r>
            <w:r w:rsidR="008A6198">
              <w:t>8</w:t>
            </w:r>
            <w:r w:rsidRPr="00FE3A13">
              <w:t>2 951</w:t>
            </w:r>
          </w:p>
        </w:tc>
        <w:tc>
          <w:tcPr>
            <w:tcW w:w="562" w:type="pct"/>
          </w:tcPr>
          <w:p w14:paraId="5E81526F" w14:textId="6EA62D71"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 xml:space="preserve">184 </w:t>
            </w:r>
            <w:r w:rsidR="00D3050A">
              <w:t>4</w:t>
            </w:r>
            <w:r w:rsidR="008A6198">
              <w:t>8</w:t>
            </w:r>
            <w:r w:rsidRPr="00FE3A13">
              <w:t>5 710</w:t>
            </w:r>
          </w:p>
        </w:tc>
        <w:tc>
          <w:tcPr>
            <w:tcW w:w="563" w:type="pct"/>
          </w:tcPr>
          <w:p w14:paraId="2244462A" w14:textId="55F8A069"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 xml:space="preserve">166 </w:t>
            </w:r>
            <w:r w:rsidR="00D3050A">
              <w:t>6</w:t>
            </w:r>
            <w:r w:rsidR="008A6198">
              <w:t>9</w:t>
            </w:r>
            <w:r w:rsidRPr="00FE3A13">
              <w:t>6 410</w:t>
            </w:r>
          </w:p>
        </w:tc>
        <w:tc>
          <w:tcPr>
            <w:tcW w:w="562" w:type="pct"/>
          </w:tcPr>
          <w:p w14:paraId="30448AEE" w14:textId="37FED237" w:rsidR="000100B8" w:rsidRPr="00FE3A13" w:rsidRDefault="000100B8" w:rsidP="008C7FD5">
            <w:pPr>
              <w:pStyle w:val="NIVtableauchiffres"/>
              <w:spacing w:before="100"/>
              <w:cnfStyle w:val="010000000000" w:firstRow="0" w:lastRow="1" w:firstColumn="0" w:lastColumn="0" w:oddVBand="0" w:evenVBand="0" w:oddHBand="0" w:evenHBand="0" w:firstRowFirstColumn="0" w:firstRowLastColumn="0" w:lastRowFirstColumn="0" w:lastRowLastColumn="0"/>
            </w:pPr>
            <w:r w:rsidRPr="00FE3A13">
              <w:t>49</w:t>
            </w:r>
            <w:r w:rsidR="00D3050A">
              <w:t>3</w:t>
            </w:r>
            <w:r w:rsidRPr="00FE3A13">
              <w:t xml:space="preserve"> </w:t>
            </w:r>
            <w:r w:rsidR="00D3050A">
              <w:t>96</w:t>
            </w:r>
            <w:r w:rsidRPr="00FE3A13">
              <w:t>5 071</w:t>
            </w:r>
          </w:p>
        </w:tc>
        <w:tc>
          <w:tcPr>
            <w:tcW w:w="562" w:type="pct"/>
          </w:tcPr>
          <w:p w14:paraId="5092A5DA" w14:textId="77777777"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-21 777 975</w:t>
            </w:r>
          </w:p>
        </w:tc>
        <w:tc>
          <w:tcPr>
            <w:tcW w:w="563" w:type="pct"/>
          </w:tcPr>
          <w:p w14:paraId="24F16A6C" w14:textId="71F0DF27"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 xml:space="preserve">-13 </w:t>
            </w:r>
            <w:r w:rsidR="001A03BA">
              <w:t>5</w:t>
            </w:r>
            <w:r w:rsidRPr="00FE3A13">
              <w:t>21 975</w:t>
            </w:r>
          </w:p>
        </w:tc>
        <w:tc>
          <w:tcPr>
            <w:tcW w:w="562" w:type="pct"/>
          </w:tcPr>
          <w:p w14:paraId="5C8C7CFC" w14:textId="25541B0D"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 xml:space="preserve">-16 </w:t>
            </w:r>
            <w:r w:rsidR="001A03BA">
              <w:t>4</w:t>
            </w:r>
            <w:r w:rsidRPr="00FE3A13">
              <w:t>63 225</w:t>
            </w:r>
          </w:p>
        </w:tc>
        <w:tc>
          <w:tcPr>
            <w:tcW w:w="561" w:type="pct"/>
          </w:tcPr>
          <w:p w14:paraId="14A3C1E4" w14:textId="03C3FF5E" w:rsidR="000100B8" w:rsidRPr="00FE3A13" w:rsidRDefault="000100B8" w:rsidP="008C7FD5">
            <w:pPr>
              <w:pStyle w:val="NIVtableauchiffres"/>
              <w:cnfStyle w:val="010000000000" w:firstRow="0" w:lastRow="1" w:firstColumn="0" w:lastColumn="0" w:oddVBand="0" w:evenVBand="0" w:oddHBand="0" w:evenHBand="0" w:firstRowFirstColumn="0" w:firstRowLastColumn="0" w:lastRowFirstColumn="0" w:lastRowLastColumn="0"/>
            </w:pPr>
            <w:r w:rsidRPr="00FE3A13">
              <w:t xml:space="preserve">-51 </w:t>
            </w:r>
            <w:r w:rsidR="00BD7F97">
              <w:t>763</w:t>
            </w:r>
            <w:r w:rsidRPr="00FE3A13">
              <w:t xml:space="preserve"> 175</w:t>
            </w:r>
          </w:p>
        </w:tc>
      </w:tr>
    </w:tbl>
    <w:p w14:paraId="0A30E4DB" w14:textId="17A35191" w:rsidR="000100B8" w:rsidRPr="00FE3A13" w:rsidRDefault="000100B8" w:rsidP="000100B8">
      <w:pPr>
        <w:spacing w:before="0" w:after="240"/>
        <w:rPr>
          <w:sz w:val="16"/>
          <w:szCs w:val="16"/>
        </w:rPr>
      </w:pPr>
      <w:r w:rsidRPr="00FE3A13">
        <w:rPr>
          <w:sz w:val="16"/>
          <w:szCs w:val="16"/>
        </w:rPr>
        <w:t>(+) = gains (augmentation de revenus ou diminution de charges) ; (-) = pertes (diminution de revenus ou charges supplémentaires)</w:t>
      </w:r>
    </w:p>
    <w:p w14:paraId="491724FA" w14:textId="67D07E7B" w:rsidR="000100B8" w:rsidRPr="00FE3A13" w:rsidRDefault="000100B8" w:rsidP="003E5B99">
      <w:pPr>
        <w:pStyle w:val="Corpsdetexte"/>
      </w:pPr>
      <w:r w:rsidRPr="00FE3A13">
        <w:t xml:space="preserve">Au total, par rapport aux résultats du plan financier actualisé dont le Grand Conseil a pris acte lors de sa session de mars 2025, le PAFE engendre pour l’Etat des améliorations nettes de l’ordre de </w:t>
      </w:r>
      <w:r w:rsidRPr="000A6354">
        <w:t>142 millions de francs en 2026, 184 millions de francs en 2027 et 166 millions de francs en 2028.</w:t>
      </w:r>
      <w:r w:rsidRPr="00FE3A13">
        <w:t xml:space="preserve"> Ces améliorations découlent principalement de réductions de charges, mais aussi d’</w:t>
      </w:r>
      <w:r w:rsidR="00193D9C" w:rsidRPr="00FE3A13">
        <w:t xml:space="preserve">importantes </w:t>
      </w:r>
      <w:r w:rsidRPr="00FE3A13">
        <w:t xml:space="preserve">augmentations de revenus. En ce qui concerne les charges, les mesures proposées permettent dans la plupart des cas de réduire le rythme de croissance qui était envisagé dans le plan financier. Elles ne vont pas jusqu’à engendrer une diminution nette par rapport à la situation actuelle.  </w:t>
      </w:r>
    </w:p>
    <w:p w14:paraId="0F6AB3E0" w14:textId="17AFD90D" w:rsidR="00193D9C" w:rsidRPr="00FE3A13" w:rsidRDefault="00193D9C" w:rsidP="003E5B99">
      <w:pPr>
        <w:pStyle w:val="Corpsdetexte"/>
      </w:pPr>
      <w:r w:rsidRPr="00FE3A13">
        <w:t xml:space="preserve">Compte tenu de la forte imbrication des tâches cantonales et communales, le PAFE aura immanquablement des répercussions sur les communes. Le projet mis en consultation engendre au total pour ces dernières des charges </w:t>
      </w:r>
      <w:r w:rsidRPr="00FE3A13">
        <w:lastRenderedPageBreak/>
        <w:t xml:space="preserve">supplémentaires nettes de l’ordre de </w:t>
      </w:r>
      <w:r w:rsidRPr="000A6354">
        <w:t>22 millions de francs en 2026, 13 millions de francs en 2027 et 16 millions de francs en 2028.</w:t>
      </w:r>
      <w:r w:rsidRPr="00FE3A13">
        <w:t xml:space="preserve"> </w:t>
      </w:r>
      <w:r w:rsidR="00126BFF" w:rsidRPr="00FE3A13">
        <w:t xml:space="preserve">Les gains réalisés dans le domaine des revenus et celui du personnel sont plus que compensés par les pertes découlant des mesures ayant trait au subventionnement et à des projets et réformes. </w:t>
      </w:r>
      <w:r w:rsidRPr="00FE3A13">
        <w:t>Les incidences financières par mesure pour les communes ont été systématiquement mises en évidence dans le cadre du chapitre 4.</w:t>
      </w:r>
    </w:p>
    <w:p w14:paraId="2F10AAAD" w14:textId="0BFF7AAB" w:rsidR="00183978" w:rsidRPr="00FE3A13" w:rsidRDefault="005F68A9" w:rsidP="00183978">
      <w:pPr>
        <w:pStyle w:val="Titre2"/>
      </w:pPr>
      <w:bookmarkStart w:id="198" w:name="_Toc195715419"/>
      <w:r w:rsidRPr="00FE3A13">
        <w:t>Conséquences pour le</w:t>
      </w:r>
      <w:r w:rsidR="00183978" w:rsidRPr="00FE3A13">
        <w:t xml:space="preserve"> personnel</w:t>
      </w:r>
      <w:r w:rsidRPr="00FE3A13">
        <w:t xml:space="preserve"> de l’Etat</w:t>
      </w:r>
      <w:bookmarkEnd w:id="198"/>
    </w:p>
    <w:p w14:paraId="1AAF9F5C" w14:textId="5F445E02" w:rsidR="00AB3496" w:rsidRDefault="00AB3496" w:rsidP="00AB3496">
      <w:pPr>
        <w:pStyle w:val="Corpsdetexte"/>
      </w:pPr>
      <w:r w:rsidRPr="00FE3A13">
        <w:t>Les diverses mesures prévues dans le domaine du personnel</w:t>
      </w:r>
      <w:r w:rsidR="003E5B99" w:rsidRPr="00FE3A13">
        <w:t xml:space="preserve">, qui sont présentées de manière détaillée dans le cadre des sections 4.2.2 et 4.3.2, </w:t>
      </w:r>
      <w:r w:rsidRPr="00FE3A13">
        <w:t>engendreraient au total des incidences nettes positives pour l’Etat d’environ 26,2 millions de francs en 2026, 53,8 millions de francs en 2027 et 42,7 millions de francs en 2028. Les effets</w:t>
      </w:r>
      <w:r w:rsidR="003E5B99" w:rsidRPr="00FE3A13">
        <w:t xml:space="preserve"> nets induits pour les communes, positifs eux aussi, seraient d’environ </w:t>
      </w:r>
      <w:r w:rsidR="003E5B99" w:rsidRPr="00FD589A">
        <w:t>7,4 millions de francs en 2026, 17,3 millions de francs en 2027 et 15,4 millions de francs en 2028.</w:t>
      </w:r>
    </w:p>
    <w:p w14:paraId="64C415C1" w14:textId="4F84057A" w:rsidR="001D157A" w:rsidRDefault="001D157A" w:rsidP="00AB3496">
      <w:pPr>
        <w:pStyle w:val="Corpsdetexte"/>
      </w:pPr>
      <w:r>
        <w:t xml:space="preserve">Comme indiqué précédemment, dans la mesure où </w:t>
      </w:r>
      <w:r w:rsidR="007C373D">
        <w:t>la masse</w:t>
      </w:r>
      <w:r>
        <w:t xml:space="preserve"> salariale s’élève à plus de 1,5 milliard de francs et représente près de 35% des charges de l’Etat, il est inéluctable que le personnel soit touché par le PAFE. Conscient de la qualité des prestations fournies, de la charge de travail croissante à laquelle sont confrontés les collaborateurs</w:t>
      </w:r>
      <w:r w:rsidR="007C373D">
        <w:t xml:space="preserve"> et collaboratrices de l’Etat</w:t>
      </w:r>
      <w:r>
        <w:t xml:space="preserve"> et de la concurrence qui existe avec d’autres employeurs potentiels, le Conseil d’Etat a</w:t>
      </w:r>
      <w:r w:rsidR="007C373D">
        <w:t xml:space="preserve"> toutefois</w:t>
      </w:r>
      <w:r>
        <w:t xml:space="preserve"> veill</w:t>
      </w:r>
      <w:r w:rsidR="007C373D">
        <w:t>é</w:t>
      </w:r>
      <w:r>
        <w:t xml:space="preserve"> à limiter autant que possible les atteintes aux conditions de travail. Dans cette optique, les mesures proposées</w:t>
      </w:r>
      <w:r w:rsidR="007C373D">
        <w:t xml:space="preserve"> ont essentiellement pour objectif de contenir la croissance des charges en personnel.</w:t>
      </w:r>
    </w:p>
    <w:p w14:paraId="0CE7D16B" w14:textId="66FCE727" w:rsidR="005F68A9" w:rsidRPr="00FE3A13" w:rsidRDefault="00183978" w:rsidP="005F68A9">
      <w:pPr>
        <w:pStyle w:val="Titre2"/>
      </w:pPr>
      <w:bookmarkStart w:id="199" w:name="_Toc195110021"/>
      <w:bookmarkStart w:id="200" w:name="_Toc195715420"/>
      <w:bookmarkEnd w:id="199"/>
      <w:r w:rsidRPr="00FE3A13">
        <w:t xml:space="preserve">Conséquences </w:t>
      </w:r>
      <w:r w:rsidR="005F68A9" w:rsidRPr="00FE3A13">
        <w:t>pour les communes</w:t>
      </w:r>
      <w:bookmarkEnd w:id="200"/>
    </w:p>
    <w:p w14:paraId="6A2703A4" w14:textId="45FBF1DE" w:rsidR="008B2F2A" w:rsidRDefault="008B2F2A" w:rsidP="00AB3496">
      <w:pPr>
        <w:pStyle w:val="Corpsdetexte"/>
      </w:pPr>
      <w:r w:rsidRPr="00FE3A13">
        <w:t>L</w:t>
      </w:r>
      <w:r w:rsidR="00126BFF" w:rsidRPr="00FE3A13">
        <w:t xml:space="preserve">es conséquences du PAFE pour les communes seront essentiellement d’ordre financier. Elles ont été </w:t>
      </w:r>
      <w:r w:rsidR="0083608E">
        <w:t>chiffrées</w:t>
      </w:r>
      <w:r w:rsidR="00126BFF" w:rsidRPr="00FE3A13">
        <w:t xml:space="preserve"> dans le cadre de la section 7.1</w:t>
      </w:r>
      <w:r w:rsidR="0083608E">
        <w:t xml:space="preserve"> et </w:t>
      </w:r>
      <w:r w:rsidR="003B777D">
        <w:t>font l’objet de quelques commentaires complémentaires</w:t>
      </w:r>
      <w:r w:rsidR="0083608E">
        <w:t xml:space="preserve"> ci-dessous</w:t>
      </w:r>
      <w:r w:rsidR="00126BFF" w:rsidRPr="00FE3A13">
        <w:t>. Les éventuels ajustements qui découleront des adaptations légales concernant les communes ont été évoqué</w:t>
      </w:r>
      <w:r w:rsidR="0083608E">
        <w:t>s</w:t>
      </w:r>
      <w:r w:rsidR="00126BFF" w:rsidRPr="00FE3A13">
        <w:t xml:space="preserve"> dans les commentaires apportés dans le cadre du chapitre 6.</w:t>
      </w:r>
    </w:p>
    <w:p w14:paraId="006A9372" w14:textId="56EC043E" w:rsidR="0083608E" w:rsidRDefault="003B777D" w:rsidP="00AB3496">
      <w:pPr>
        <w:pStyle w:val="Corpsdetexte"/>
      </w:pPr>
      <w:r>
        <w:t xml:space="preserve">Le Conseil d’Etat tient à souligner que le bilan globalement négatif pour les communes s’explique en grande partie par la mesure consistant à supprimer le régime transitoire en matière de PC AVS/AI dans le cadre duquel les communes ont été libérées depuis 2008 de leur part au financement fixé à 25 % selon l’art. 15 al. 2 de la loi cantonale </w:t>
      </w:r>
      <w:r w:rsidR="006E228B">
        <w:t>en vigueur</w:t>
      </w:r>
      <w:r>
        <w:t xml:space="preserve"> (cf. commentaires de la section 6.18)</w:t>
      </w:r>
      <w:r w:rsidR="006E228B">
        <w:t xml:space="preserve">. </w:t>
      </w:r>
      <w:r w:rsidR="006E228B" w:rsidRPr="000A6354">
        <w:t xml:space="preserve">Sans cette mesure, le PAFE aurait une incidence nette positive </w:t>
      </w:r>
      <w:r w:rsidR="0024694D" w:rsidRPr="000A6354">
        <w:t xml:space="preserve">pour les communes </w:t>
      </w:r>
      <w:r w:rsidR="006E228B" w:rsidRPr="000A6354">
        <w:t>de l’ordre de 7 millions de francs en 2026, 16 millions de francs en 2027 et 14 millions de francs en 2028.</w:t>
      </w:r>
    </w:p>
    <w:p w14:paraId="7DE96398" w14:textId="6075197D" w:rsidR="00430FEA" w:rsidRPr="00FE3A13" w:rsidRDefault="00744503" w:rsidP="00AB3496">
      <w:pPr>
        <w:pStyle w:val="Corpsdetexte"/>
      </w:pPr>
      <w:r>
        <w:t>Il convient en outre de rappeler que le programme de mesures structurelles et d’économies 2013-2016 s’</w:t>
      </w:r>
      <w:r w:rsidR="00B67278">
        <w:t>est</w:t>
      </w:r>
      <w:r>
        <w:t xml:space="preserve"> soldé par un bilan positif pour les communes dans leur ensemble. L’évaluation ex-post réalisée en collaboration avec l’Association des communes fribourgeoises (ACF) a en effet démontré que ces dernières </w:t>
      </w:r>
      <w:r w:rsidR="00B67278">
        <w:t>on</w:t>
      </w:r>
      <w:r>
        <w:t>t bénéficié d’incidences nettes positives à hauteur de 0,8 millions de francs en 2014, 7,2 millions de francs en 2015 et 12,3 millions de francs en 2016, soit 20,3 millions de francs au total. Ces résultats, validés par le Comité de l’ACF</w:t>
      </w:r>
      <w:r w:rsidR="00B67278">
        <w:t>,</w:t>
      </w:r>
      <w:r>
        <w:t xml:space="preserve"> </w:t>
      </w:r>
      <w:r w:rsidR="00B67278">
        <w:t>ont</w:t>
      </w:r>
      <w:r>
        <w:t xml:space="preserve"> été rendus publics en févier 2018 </w:t>
      </w:r>
      <w:r w:rsidRPr="00744503">
        <w:t>(</w:t>
      </w:r>
      <w:hyperlink r:id="rId12" w:history="1">
        <w:r w:rsidR="0094486A" w:rsidRPr="0094486A">
          <w:rPr>
            <w:rStyle w:val="Lienhypertexte"/>
            <w:lang w:val="fr-FR"/>
          </w:rPr>
          <w:t>https://www.fr.ch/dfin/actualites/confirmation-des-incidences-positives-du-programme-de-mesures-structurelles-et-deconomies-2013-2016-sur-les-communes</w:t>
        </w:r>
      </w:hyperlink>
      <w:r w:rsidRPr="0094486A">
        <w:t>)</w:t>
      </w:r>
      <w:r>
        <w:t>. Ils</w:t>
      </w:r>
      <w:r w:rsidR="00B67278">
        <w:t xml:space="preserve"> ont</w:t>
      </w:r>
      <w:r>
        <w:t xml:space="preserve"> en outre été rappelé</w:t>
      </w:r>
      <w:r w:rsidR="0094486A">
        <w:t>s</w:t>
      </w:r>
      <w:r>
        <w:t xml:space="preserve"> et présenté</w:t>
      </w:r>
      <w:r w:rsidR="0094486A">
        <w:t>s</w:t>
      </w:r>
      <w:r>
        <w:t xml:space="preserve"> de manière plus détaillée dans le cadre du rapport 2018-DFIN-45 donnent suite directe au postulat</w:t>
      </w:r>
      <w:r w:rsidR="00B67278">
        <w:t xml:space="preserve"> 2018-GC-44 (</w:t>
      </w:r>
      <w:r w:rsidR="00586A19" w:rsidRPr="00586A19">
        <w:t>https://www.parlinfo.fr.ch/dl.php/fr/ax-65a944aad75ab/fr_RGC_2018-DFIN-45.pdf</w:t>
      </w:r>
      <w:r w:rsidR="00B67278">
        <w:t xml:space="preserve"> ).</w:t>
      </w:r>
    </w:p>
    <w:p w14:paraId="2437BDB3" w14:textId="0D8111D2" w:rsidR="005F68A9" w:rsidRPr="00FE3A13" w:rsidRDefault="005F68A9" w:rsidP="005F68A9">
      <w:pPr>
        <w:pStyle w:val="Titre2"/>
      </w:pPr>
      <w:bookmarkStart w:id="201" w:name="_Toc195715421"/>
      <w:r w:rsidRPr="00FE3A13">
        <w:t>Autres conséquences</w:t>
      </w:r>
      <w:bookmarkEnd w:id="201"/>
    </w:p>
    <w:p w14:paraId="4EBA8880" w14:textId="2CC5E477" w:rsidR="00183978" w:rsidRPr="00FE3A13" w:rsidRDefault="005F68A9" w:rsidP="00183978">
      <w:pPr>
        <w:pStyle w:val="Corpsdetexte"/>
      </w:pPr>
      <w:r w:rsidRPr="00FE3A13">
        <w:t>Les mesures proposées sont compatibles avec le d</w:t>
      </w:r>
      <w:r w:rsidR="003F7B01" w:rsidRPr="00FE3A13">
        <w:t>r</w:t>
      </w:r>
      <w:r w:rsidRPr="00FE3A13">
        <w:t>oit fédéral et européen. Leurs incidences en termes de développement durable n’ont pas encore été évaluées. L’acte modificateur unique ne remplit pas les critères d’une soumission au référendum financier facultatif ou obligatoire. Il est par</w:t>
      </w:r>
      <w:r w:rsidR="007C5E7A" w:rsidRPr="00FE3A13">
        <w:t xml:space="preserve"> </w:t>
      </w:r>
      <w:r w:rsidRPr="00FE3A13">
        <w:t>contre soumis au référendum législatif.</w:t>
      </w:r>
    </w:p>
    <w:p w14:paraId="61364BBD" w14:textId="3FCE2010" w:rsidR="005F68A9" w:rsidRPr="00FE3A13" w:rsidRDefault="005F68A9" w:rsidP="005F68A9">
      <w:pPr>
        <w:pStyle w:val="Titre1"/>
      </w:pPr>
      <w:bookmarkStart w:id="202" w:name="_Toc195715422"/>
      <w:r w:rsidRPr="00FE3A13">
        <w:lastRenderedPageBreak/>
        <w:t>Conclusion</w:t>
      </w:r>
      <w:bookmarkEnd w:id="202"/>
    </w:p>
    <w:p w14:paraId="5886C697" w14:textId="1857AA88" w:rsidR="005F68A9" w:rsidRPr="00FE3A13" w:rsidRDefault="005F68A9" w:rsidP="005F68A9">
      <w:pPr>
        <w:pStyle w:val="Tiret"/>
      </w:pP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r>
      <w:r w:rsidRPr="00FE3A13">
        <w:softHyphen/>
        <w:t>—</w:t>
      </w:r>
    </w:p>
    <w:p w14:paraId="711D5C53" w14:textId="45736C76" w:rsidR="005F68A9" w:rsidRPr="00FE3A13" w:rsidRDefault="00062A3D" w:rsidP="005F68A9">
      <w:pPr>
        <w:pStyle w:val="Corpsdetexte"/>
      </w:pPr>
      <w:r w:rsidRPr="00FE3A13">
        <w:t>Malgré les nombreuses restrictions décidées et les priorisations effectuées par le Conseil d’Etat durant son élaboration, la planification financière actualisée laisse apparaître une progression des charges nettement plus importante que celle des revenus à moyen terme. Elle met en évidence des excédents de charges qui se creusent de façon sensible d</w:t>
      </w:r>
      <w:r w:rsidR="002557C3" w:rsidRPr="00FE3A13">
        <w:t>è</w:t>
      </w:r>
      <w:r w:rsidRPr="00FE3A13">
        <w:t>s 2026.</w:t>
      </w:r>
    </w:p>
    <w:p w14:paraId="3B319D79" w14:textId="7814C620" w:rsidR="00062A3D" w:rsidRPr="00FE3A13" w:rsidRDefault="00062A3D" w:rsidP="005F68A9">
      <w:pPr>
        <w:pStyle w:val="Corpsdetexte"/>
      </w:pPr>
      <w:r w:rsidRPr="00FE3A13">
        <w:t xml:space="preserve">Les perspectives sont encore assombries par le programme d’allègement budgétaire 2027 de la Confédération qui, selon toute vraisemblance, ne restera pas sans incidences financières importantes pour les cantons. Au total, </w:t>
      </w:r>
      <w:r w:rsidR="00836320" w:rsidRPr="00FE3A13">
        <w:t xml:space="preserve">les </w:t>
      </w:r>
      <w:r w:rsidRPr="00FE3A13">
        <w:t>résultats prévus pour les années 2026 à 2028 n’apparaissent pas compatibles avec les règles constitutionnelles et budgétaires en matière d’équilibre budgétaire.</w:t>
      </w:r>
    </w:p>
    <w:p w14:paraId="5861FE4A" w14:textId="1BC71EE8" w:rsidR="005F68A9" w:rsidRPr="00FE3A13" w:rsidRDefault="00490A01" w:rsidP="005F68A9">
      <w:pPr>
        <w:pStyle w:val="Corpsdetexte"/>
      </w:pPr>
      <w:r w:rsidRPr="00FE3A13">
        <w:t>Au surplus, la fortune de l’Etat, qui</w:t>
      </w:r>
      <w:r w:rsidR="001A4C7C" w:rsidRPr="00FE3A13">
        <w:t>, comme cela a été expliqué fréquemment, est</w:t>
      </w:r>
      <w:r w:rsidRPr="00FE3A13">
        <w:t xml:space="preserve"> en quasi-totalité déjà affectée au financement de projets particuliers, a fortement baissé durant l’exercice 2024, pour atteindre </w:t>
      </w:r>
      <w:r w:rsidR="007558EA" w:rsidRPr="00FE3A13">
        <w:t>5</w:t>
      </w:r>
      <w:r w:rsidR="00F70408" w:rsidRPr="00FE3A13">
        <w:t xml:space="preserve">91 </w:t>
      </w:r>
      <w:r w:rsidRPr="00FE3A13">
        <w:t>millions de francs</w:t>
      </w:r>
      <w:r w:rsidR="001A4C7C" w:rsidRPr="00FE3A13">
        <w:t xml:space="preserve"> au 31 décembre</w:t>
      </w:r>
      <w:r w:rsidRPr="00FE3A13">
        <w:t>. Elle sera insuffisante pour couvrir les très importants besoin</w:t>
      </w:r>
      <w:r w:rsidR="001A4C7C" w:rsidRPr="00FE3A13">
        <w:t>s</w:t>
      </w:r>
      <w:r w:rsidRPr="00FE3A13">
        <w:t xml:space="preserve"> de financement </w:t>
      </w:r>
      <w:r w:rsidR="001A4C7C" w:rsidRPr="00FE3A13">
        <w:t>au</w:t>
      </w:r>
      <w:r w:rsidR="008602BF" w:rsidRPr="00FE3A13">
        <w:t>x</w:t>
      </w:r>
      <w:r w:rsidR="001A4C7C" w:rsidRPr="00FE3A13">
        <w:t>quel</w:t>
      </w:r>
      <w:r w:rsidR="008602BF" w:rsidRPr="00FE3A13">
        <w:t>s</w:t>
      </w:r>
      <w:r w:rsidR="001A4C7C" w:rsidRPr="00FE3A13">
        <w:t xml:space="preserve"> l’Etat devra faire face durant les </w:t>
      </w:r>
      <w:r w:rsidR="00257120" w:rsidRPr="00FE3A13">
        <w:t>prochaines années</w:t>
      </w:r>
    </w:p>
    <w:p w14:paraId="466CCB54" w14:textId="11C6F52A" w:rsidR="007C5E7A" w:rsidRDefault="00257120" w:rsidP="005F68A9">
      <w:pPr>
        <w:pStyle w:val="Corpsdetexte"/>
      </w:pPr>
      <w:r w:rsidRPr="00FE3A13">
        <w:t>En fonction de ces éléments, il apparaît indispensable de prendre des mesures fortes dans le cadre d’un programme d’assainissement des finances de l’Etat, dans le but de conserver la maîtrise de ces dernières de façon durable tout en étant en mesure de relever les défis majeurs qui se présenteront durant les années à venir.</w:t>
      </w:r>
      <w:r w:rsidR="0024694D">
        <w:t xml:space="preserve"> Ce d’autant plus que l’évolution à moyen terme des revenus externes de l’Etat est sujette à d’importantes incertitudes.</w:t>
      </w:r>
    </w:p>
    <w:p w14:paraId="60AA9F5E" w14:textId="02A30CDD" w:rsidR="00836320" w:rsidRDefault="00DF5F33" w:rsidP="005F68A9">
      <w:pPr>
        <w:pStyle w:val="Corpsdetexte"/>
      </w:pPr>
      <w:r>
        <w:t>L</w:t>
      </w:r>
      <w:r w:rsidR="00C4568D">
        <w:t>a liste des mesures retenue</w:t>
      </w:r>
      <w:r w:rsidR="006C75E7">
        <w:t>s</w:t>
      </w:r>
      <w:r w:rsidR="00C4568D">
        <w:t xml:space="preserve"> a été arrêtée</w:t>
      </w:r>
      <w:r w:rsidRPr="00DF5F33">
        <w:t xml:space="preserve"> sur la base des propositions des groupes de travail mis sur pied dans l’administration cantonale. Par rapport au plan financier actualisé, l’Etat obtiendra au total des améliorations de l’ordre de </w:t>
      </w:r>
      <w:r w:rsidRPr="000A6354">
        <w:t>142 millions de francs en 2026, 184 millions de francs en 2027 et 166 millions de francs en 2028, soit une moyenne annuelle d’environ 164 millions de francs.</w:t>
      </w:r>
    </w:p>
    <w:p w14:paraId="1AC9DC43" w14:textId="4EC8CED0" w:rsidR="00DF5F33" w:rsidRDefault="00DF5F33" w:rsidP="005F68A9">
      <w:pPr>
        <w:pStyle w:val="Corpsdetexte"/>
      </w:pPr>
      <w:r w:rsidRPr="00DF5F33">
        <w:t>Le Conseil d’Etat est conscient que les sacrifices demandés sont conséquents</w:t>
      </w:r>
      <w:r w:rsidR="00C4568D">
        <w:t xml:space="preserve"> et que les domaines impactés sont nombreux</w:t>
      </w:r>
      <w:r w:rsidRPr="00DF5F33">
        <w:t xml:space="preserve">. Il a procédé à de </w:t>
      </w:r>
      <w:r w:rsidR="00C4568D">
        <w:t>difficiles</w:t>
      </w:r>
      <w:r w:rsidRPr="00DF5F33">
        <w:t xml:space="preserve"> arbitrages, autant politiques qu’économiques, afin de veiller au respect des équilibres et afin de répartir les efforts de façon équitable. </w:t>
      </w:r>
      <w:r w:rsidR="006C75E7">
        <w:t xml:space="preserve">Il espère obtenir le soutien nécessaire </w:t>
      </w:r>
      <w:r w:rsidR="00F75310">
        <w:t xml:space="preserve">pour </w:t>
      </w:r>
      <w:r w:rsidR="006C75E7">
        <w:t xml:space="preserve">assainir durablement les finances de l’Etat et être en mesure de faire face avec sérénité aux </w:t>
      </w:r>
      <w:r w:rsidR="003417C2">
        <w:t>sollicitations futures</w:t>
      </w:r>
      <w:r w:rsidR="006C75E7">
        <w:t>.</w:t>
      </w:r>
    </w:p>
    <w:p w14:paraId="7B9CD568" w14:textId="548413D6" w:rsidR="00C4568D" w:rsidRPr="005F68A9" w:rsidRDefault="00C4568D" w:rsidP="005F68A9">
      <w:pPr>
        <w:pStyle w:val="Corpsdetexte"/>
      </w:pPr>
    </w:p>
    <w:sectPr w:rsidR="00C4568D" w:rsidRPr="005F68A9" w:rsidSect="0086240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217C" w14:textId="77777777" w:rsidR="00EA5C64" w:rsidRDefault="00EA5C64">
      <w:pPr>
        <w:spacing w:before="0" w:after="0" w:line="240" w:lineRule="auto"/>
      </w:pPr>
      <w:r>
        <w:separator/>
      </w:r>
    </w:p>
  </w:endnote>
  <w:endnote w:type="continuationSeparator" w:id="0">
    <w:p w14:paraId="39CFB342" w14:textId="77777777" w:rsidR="00EA5C64" w:rsidRDefault="00EA5C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FC32" w14:textId="77777777" w:rsidR="006B5C24" w:rsidRDefault="006B5C2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2511" w14:textId="77777777" w:rsidR="006B5C24" w:rsidRDefault="006B5C2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0382" w14:textId="77777777" w:rsidR="006B5C24" w:rsidRDefault="006B5C2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F22F" w14:textId="77777777" w:rsidR="00EA5C64" w:rsidRDefault="00EA5C64" w:rsidP="00A5783C">
      <w:r>
        <w:separator/>
      </w:r>
    </w:p>
  </w:footnote>
  <w:footnote w:type="continuationSeparator" w:id="0">
    <w:p w14:paraId="10EC85E0" w14:textId="77777777" w:rsidR="00EA5C64" w:rsidRPr="00427DDB" w:rsidRDefault="00EA5C64"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BBB7" w14:textId="77777777" w:rsidR="006B5C24" w:rsidRPr="00C125C0" w:rsidRDefault="006B5C2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BAA" w14:textId="77777777" w:rsidR="006B5C24" w:rsidRPr="00C125C0" w:rsidRDefault="006B5C2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CB205E" w14:paraId="51E3183A" w14:textId="77777777" w:rsidTr="00CB205E">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464E34" w14:textId="77777777" w:rsidR="006B5C24" w:rsidRPr="00FD0818" w:rsidRDefault="006B5C24" w:rsidP="00FD0818">
          <w:pPr>
            <w:keepNext/>
            <w:keepLines/>
            <w:spacing w:line="460" w:lineRule="atLeast"/>
            <w:contextualSpacing/>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noProof/>
              <w:kern w:val="32"/>
              <w:sz w:val="16"/>
              <w:szCs w:val="52"/>
              <w:lang w:eastAsia="fr-CH"/>
            </w:rPr>
            <w:drawing>
              <wp:anchor distT="0" distB="0" distL="114300" distR="114300" simplePos="0" relativeHeight="251658240" behindDoc="0" locked="0" layoutInCell="1" allowOverlap="1" wp14:anchorId="6BBB11E8" wp14:editId="02AAF310">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32D8CA" w14:textId="77777777" w:rsidR="006B5C24" w:rsidRPr="00FD0818" w:rsidRDefault="006B5C2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bCs/>
              <w:color w:val="auto"/>
              <w:kern w:val="32"/>
              <w:sz w:val="16"/>
              <w:szCs w:val="52"/>
            </w:rPr>
            <w:t>Conseil d’Etat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CE</w:t>
          </w:r>
        </w:p>
        <w:p w14:paraId="10B38431" w14:textId="77777777" w:rsidR="006B5C24" w:rsidRPr="00FD0818" w:rsidRDefault="006B5C2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sidRPr="00FD0818">
            <w:rPr>
              <w:rFonts w:asciiTheme="majorHAnsi" w:eastAsiaTheme="majorEastAsia" w:hAnsiTheme="majorHAnsi" w:cstheme="majorBidi"/>
              <w:bCs/>
              <w:color w:val="auto"/>
              <w:kern w:val="32"/>
              <w:sz w:val="16"/>
              <w:szCs w:val="52"/>
            </w:rPr>
            <w:t>Staatsrat</w:t>
          </w:r>
          <w:r w:rsidRPr="00FD0818">
            <w:rPr>
              <w:rFonts w:asciiTheme="majorHAnsi" w:eastAsiaTheme="majorEastAsia" w:hAnsiTheme="majorHAnsi" w:cstheme="majorBidi"/>
              <w:b w:val="0"/>
              <w:color w:val="auto"/>
              <w:kern w:val="32"/>
              <w:sz w:val="16"/>
              <w:szCs w:val="52"/>
            </w:rPr>
            <w:t xml:space="preserve"> </w:t>
          </w:r>
          <w:r w:rsidRPr="00FD0818">
            <w:rPr>
              <w:rFonts w:asciiTheme="majorHAnsi" w:eastAsiaTheme="majorEastAsia" w:hAnsiTheme="majorHAnsi" w:cstheme="majorBidi"/>
              <w:b w:val="0"/>
              <w:bCs/>
              <w:color w:val="auto"/>
              <w:kern w:val="32"/>
              <w:sz w:val="16"/>
              <w:szCs w:val="52"/>
            </w:rPr>
            <w:t>SR</w:t>
          </w:r>
        </w:p>
      </w:tc>
    </w:tr>
  </w:tbl>
  <w:p w14:paraId="10254D67" w14:textId="77777777" w:rsidR="006B5C24" w:rsidRDefault="006B5C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BCC8F926">
      <w:numFmt w:val="bullet"/>
      <w:lvlText w:val=""/>
      <w:lvlJc w:val="left"/>
      <w:pPr>
        <w:ind w:left="1065" w:hanging="705"/>
      </w:pPr>
      <w:rPr>
        <w:rFonts w:ascii="Wingdings" w:eastAsiaTheme="minorHAnsi" w:hAnsi="Wingdings" w:cstheme="minorBidi" w:hint="default"/>
      </w:rPr>
    </w:lvl>
    <w:lvl w:ilvl="1" w:tplc="B546B590" w:tentative="1">
      <w:start w:val="1"/>
      <w:numFmt w:val="bullet"/>
      <w:lvlText w:val="o"/>
      <w:lvlJc w:val="left"/>
      <w:pPr>
        <w:ind w:left="1440" w:hanging="360"/>
      </w:pPr>
      <w:rPr>
        <w:rFonts w:ascii="Courier New" w:hAnsi="Courier New" w:cs="Courier New" w:hint="default"/>
      </w:rPr>
    </w:lvl>
    <w:lvl w:ilvl="2" w:tplc="D1C60FDC" w:tentative="1">
      <w:start w:val="1"/>
      <w:numFmt w:val="bullet"/>
      <w:lvlText w:val=""/>
      <w:lvlJc w:val="left"/>
      <w:pPr>
        <w:ind w:left="2160" w:hanging="360"/>
      </w:pPr>
      <w:rPr>
        <w:rFonts w:ascii="Wingdings" w:hAnsi="Wingdings" w:hint="default"/>
      </w:rPr>
    </w:lvl>
    <w:lvl w:ilvl="3" w:tplc="C4BE4308" w:tentative="1">
      <w:start w:val="1"/>
      <w:numFmt w:val="bullet"/>
      <w:lvlText w:val=""/>
      <w:lvlJc w:val="left"/>
      <w:pPr>
        <w:ind w:left="2880" w:hanging="360"/>
      </w:pPr>
      <w:rPr>
        <w:rFonts w:ascii="Symbol" w:hAnsi="Symbol" w:hint="default"/>
      </w:rPr>
    </w:lvl>
    <w:lvl w:ilvl="4" w:tplc="EC7AC40A" w:tentative="1">
      <w:start w:val="1"/>
      <w:numFmt w:val="bullet"/>
      <w:lvlText w:val="o"/>
      <w:lvlJc w:val="left"/>
      <w:pPr>
        <w:ind w:left="3600" w:hanging="360"/>
      </w:pPr>
      <w:rPr>
        <w:rFonts w:ascii="Courier New" w:hAnsi="Courier New" w:cs="Courier New" w:hint="default"/>
      </w:rPr>
    </w:lvl>
    <w:lvl w:ilvl="5" w:tplc="4BAC9BAA" w:tentative="1">
      <w:start w:val="1"/>
      <w:numFmt w:val="bullet"/>
      <w:lvlText w:val=""/>
      <w:lvlJc w:val="left"/>
      <w:pPr>
        <w:ind w:left="4320" w:hanging="360"/>
      </w:pPr>
      <w:rPr>
        <w:rFonts w:ascii="Wingdings" w:hAnsi="Wingdings" w:hint="default"/>
      </w:rPr>
    </w:lvl>
    <w:lvl w:ilvl="6" w:tplc="551A36A6" w:tentative="1">
      <w:start w:val="1"/>
      <w:numFmt w:val="bullet"/>
      <w:lvlText w:val=""/>
      <w:lvlJc w:val="left"/>
      <w:pPr>
        <w:ind w:left="5040" w:hanging="360"/>
      </w:pPr>
      <w:rPr>
        <w:rFonts w:ascii="Symbol" w:hAnsi="Symbol" w:hint="default"/>
      </w:rPr>
    </w:lvl>
    <w:lvl w:ilvl="7" w:tplc="DE18ED7A" w:tentative="1">
      <w:start w:val="1"/>
      <w:numFmt w:val="bullet"/>
      <w:lvlText w:val="o"/>
      <w:lvlJc w:val="left"/>
      <w:pPr>
        <w:ind w:left="5760" w:hanging="360"/>
      </w:pPr>
      <w:rPr>
        <w:rFonts w:ascii="Courier New" w:hAnsi="Courier New" w:cs="Courier New" w:hint="default"/>
      </w:rPr>
    </w:lvl>
    <w:lvl w:ilvl="8" w:tplc="F65CB06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64E6D01"/>
    <w:multiLevelType w:val="hybridMultilevel"/>
    <w:tmpl w:val="5F3A9934"/>
    <w:lvl w:ilvl="0" w:tplc="7FE63608">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0" w15:restartNumberingAfterBreak="0">
    <w:nsid w:val="1BCA4211"/>
    <w:multiLevelType w:val="hybridMultilevel"/>
    <w:tmpl w:val="269A45B2"/>
    <w:lvl w:ilvl="0" w:tplc="0010BDFC">
      <w:start w:val="1"/>
      <w:numFmt w:val="lowerLetter"/>
      <w:pStyle w:val="Listealphabtique"/>
      <w:lvlText w:val="%1)"/>
      <w:lvlJc w:val="left"/>
      <w:pPr>
        <w:ind w:left="720" w:hanging="360"/>
      </w:pPr>
      <w:rPr>
        <w:rFonts w:hint="default"/>
      </w:rPr>
    </w:lvl>
    <w:lvl w:ilvl="1" w:tplc="196EECC8" w:tentative="1">
      <w:start w:val="1"/>
      <w:numFmt w:val="lowerLetter"/>
      <w:lvlText w:val="%2."/>
      <w:lvlJc w:val="left"/>
      <w:pPr>
        <w:ind w:left="1440" w:hanging="360"/>
      </w:pPr>
    </w:lvl>
    <w:lvl w:ilvl="2" w:tplc="54AA63CE" w:tentative="1">
      <w:start w:val="1"/>
      <w:numFmt w:val="lowerRoman"/>
      <w:lvlText w:val="%3."/>
      <w:lvlJc w:val="right"/>
      <w:pPr>
        <w:ind w:left="2160" w:hanging="180"/>
      </w:pPr>
    </w:lvl>
    <w:lvl w:ilvl="3" w:tplc="5DD09148" w:tentative="1">
      <w:start w:val="1"/>
      <w:numFmt w:val="decimal"/>
      <w:lvlText w:val="%4."/>
      <w:lvlJc w:val="left"/>
      <w:pPr>
        <w:ind w:left="2880" w:hanging="360"/>
      </w:pPr>
    </w:lvl>
    <w:lvl w:ilvl="4" w:tplc="20362D46" w:tentative="1">
      <w:start w:val="1"/>
      <w:numFmt w:val="lowerLetter"/>
      <w:lvlText w:val="%5."/>
      <w:lvlJc w:val="left"/>
      <w:pPr>
        <w:ind w:left="3600" w:hanging="360"/>
      </w:pPr>
    </w:lvl>
    <w:lvl w:ilvl="5" w:tplc="20B650EA" w:tentative="1">
      <w:start w:val="1"/>
      <w:numFmt w:val="lowerRoman"/>
      <w:lvlText w:val="%6."/>
      <w:lvlJc w:val="right"/>
      <w:pPr>
        <w:ind w:left="4320" w:hanging="180"/>
      </w:pPr>
    </w:lvl>
    <w:lvl w:ilvl="6" w:tplc="BB564366" w:tentative="1">
      <w:start w:val="1"/>
      <w:numFmt w:val="decimal"/>
      <w:lvlText w:val="%7."/>
      <w:lvlJc w:val="left"/>
      <w:pPr>
        <w:ind w:left="5040" w:hanging="360"/>
      </w:pPr>
    </w:lvl>
    <w:lvl w:ilvl="7" w:tplc="F230AC56" w:tentative="1">
      <w:start w:val="1"/>
      <w:numFmt w:val="lowerLetter"/>
      <w:lvlText w:val="%8."/>
      <w:lvlJc w:val="left"/>
      <w:pPr>
        <w:ind w:left="5760" w:hanging="360"/>
      </w:pPr>
    </w:lvl>
    <w:lvl w:ilvl="8" w:tplc="FAEA90D4" w:tentative="1">
      <w:start w:val="1"/>
      <w:numFmt w:val="lowerRoman"/>
      <w:lvlText w:val="%9."/>
      <w:lvlJc w:val="right"/>
      <w:pPr>
        <w:ind w:left="6480" w:hanging="180"/>
      </w:pPr>
    </w:lvl>
  </w:abstractNum>
  <w:abstractNum w:abstractNumId="11" w15:restartNumberingAfterBreak="0">
    <w:nsid w:val="1D045D63"/>
    <w:multiLevelType w:val="hybridMultilevel"/>
    <w:tmpl w:val="CAC44AC4"/>
    <w:lvl w:ilvl="0" w:tplc="BD087326">
      <w:start w:val="1"/>
      <w:numFmt w:val="bullet"/>
      <w:pStyle w:val="Paragraphedeliste"/>
      <w:lvlText w:val="&gt;"/>
      <w:lvlJc w:val="left"/>
      <w:pPr>
        <w:ind w:left="1117" w:hanging="360"/>
      </w:pPr>
      <w:rPr>
        <w:rFonts w:ascii="Arial" w:hAnsi="Arial" w:hint="default"/>
      </w:rPr>
    </w:lvl>
    <w:lvl w:ilvl="1" w:tplc="FDF690CE">
      <w:start w:val="1"/>
      <w:numFmt w:val="bullet"/>
      <w:lvlText w:val="o"/>
      <w:lvlJc w:val="left"/>
      <w:pPr>
        <w:ind w:left="1837" w:hanging="360"/>
      </w:pPr>
      <w:rPr>
        <w:rFonts w:ascii="Courier New" w:hAnsi="Courier New" w:cs="Courier New" w:hint="default"/>
      </w:rPr>
    </w:lvl>
    <w:lvl w:ilvl="2" w:tplc="BF687A08" w:tentative="1">
      <w:start w:val="1"/>
      <w:numFmt w:val="bullet"/>
      <w:lvlText w:val=""/>
      <w:lvlJc w:val="left"/>
      <w:pPr>
        <w:ind w:left="2557" w:hanging="360"/>
      </w:pPr>
      <w:rPr>
        <w:rFonts w:ascii="Wingdings" w:hAnsi="Wingdings" w:hint="default"/>
      </w:rPr>
    </w:lvl>
    <w:lvl w:ilvl="3" w:tplc="FFC838B0" w:tentative="1">
      <w:start w:val="1"/>
      <w:numFmt w:val="bullet"/>
      <w:lvlText w:val=""/>
      <w:lvlJc w:val="left"/>
      <w:pPr>
        <w:ind w:left="3277" w:hanging="360"/>
      </w:pPr>
      <w:rPr>
        <w:rFonts w:ascii="Symbol" w:hAnsi="Symbol" w:hint="default"/>
      </w:rPr>
    </w:lvl>
    <w:lvl w:ilvl="4" w:tplc="433CDDFA" w:tentative="1">
      <w:start w:val="1"/>
      <w:numFmt w:val="bullet"/>
      <w:lvlText w:val="o"/>
      <w:lvlJc w:val="left"/>
      <w:pPr>
        <w:ind w:left="3997" w:hanging="360"/>
      </w:pPr>
      <w:rPr>
        <w:rFonts w:ascii="Courier New" w:hAnsi="Courier New" w:cs="Courier New" w:hint="default"/>
      </w:rPr>
    </w:lvl>
    <w:lvl w:ilvl="5" w:tplc="56F6B6C8" w:tentative="1">
      <w:start w:val="1"/>
      <w:numFmt w:val="bullet"/>
      <w:lvlText w:val=""/>
      <w:lvlJc w:val="left"/>
      <w:pPr>
        <w:ind w:left="4717" w:hanging="360"/>
      </w:pPr>
      <w:rPr>
        <w:rFonts w:ascii="Wingdings" w:hAnsi="Wingdings" w:hint="default"/>
      </w:rPr>
    </w:lvl>
    <w:lvl w:ilvl="6" w:tplc="992EF7A4" w:tentative="1">
      <w:start w:val="1"/>
      <w:numFmt w:val="bullet"/>
      <w:lvlText w:val=""/>
      <w:lvlJc w:val="left"/>
      <w:pPr>
        <w:ind w:left="5437" w:hanging="360"/>
      </w:pPr>
      <w:rPr>
        <w:rFonts w:ascii="Symbol" w:hAnsi="Symbol" w:hint="default"/>
      </w:rPr>
    </w:lvl>
    <w:lvl w:ilvl="7" w:tplc="0602CFB6" w:tentative="1">
      <w:start w:val="1"/>
      <w:numFmt w:val="bullet"/>
      <w:lvlText w:val="o"/>
      <w:lvlJc w:val="left"/>
      <w:pPr>
        <w:ind w:left="6157" w:hanging="360"/>
      </w:pPr>
      <w:rPr>
        <w:rFonts w:ascii="Courier New" w:hAnsi="Courier New" w:cs="Courier New" w:hint="default"/>
      </w:rPr>
    </w:lvl>
    <w:lvl w:ilvl="8" w:tplc="F594BEAA" w:tentative="1">
      <w:start w:val="1"/>
      <w:numFmt w:val="bullet"/>
      <w:lvlText w:val=""/>
      <w:lvlJc w:val="left"/>
      <w:pPr>
        <w:ind w:left="6877" w:hanging="360"/>
      </w:pPr>
      <w:rPr>
        <w:rFonts w:ascii="Wingdings" w:hAnsi="Wingdings" w:hint="default"/>
      </w:rPr>
    </w:lvl>
  </w:abstractNum>
  <w:abstractNum w:abstractNumId="12" w15:restartNumberingAfterBreak="0">
    <w:nsid w:val="1E554843"/>
    <w:multiLevelType w:val="multilevel"/>
    <w:tmpl w:val="6E089A12"/>
    <w:name w:val="SITel Liste numérotée2"/>
    <w:numStyleLink w:val="EtatFRNumrotation"/>
  </w:abstractNum>
  <w:abstractNum w:abstractNumId="13" w15:restartNumberingAfterBreak="0">
    <w:nsid w:val="244946CA"/>
    <w:multiLevelType w:val="multilevel"/>
    <w:tmpl w:val="6E089A12"/>
    <w:name w:val="SITel Liste numérotée22"/>
    <w:numStyleLink w:val="EtatFRNumrotation"/>
  </w:abstractNum>
  <w:abstractNum w:abstractNumId="14" w15:restartNumberingAfterBreak="0">
    <w:nsid w:val="26BC24A9"/>
    <w:multiLevelType w:val="multilevel"/>
    <w:tmpl w:val="6E089A12"/>
    <w:name w:val="SITel Liste numérotée3"/>
    <w:numStyleLink w:val="EtatFRNumrotation"/>
  </w:abstractNum>
  <w:abstractNum w:abstractNumId="15"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6"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6A7442"/>
    <w:multiLevelType w:val="multilevel"/>
    <w:tmpl w:val="C812CDBA"/>
    <w:numStyleLink w:val="EtatFRPuces"/>
  </w:abstractNum>
  <w:abstractNum w:abstractNumId="18" w15:restartNumberingAfterBreak="0">
    <w:nsid w:val="3FF139E0"/>
    <w:multiLevelType w:val="multilevel"/>
    <w:tmpl w:val="6E089A12"/>
    <w:numStyleLink w:val="EtatFRNumrotation"/>
  </w:abstractNum>
  <w:abstractNum w:abstractNumId="19" w15:restartNumberingAfterBreak="0">
    <w:nsid w:val="49E65031"/>
    <w:multiLevelType w:val="hybridMultilevel"/>
    <w:tmpl w:val="A050AF72"/>
    <w:lvl w:ilvl="0" w:tplc="35A208BE">
      <w:start w:val="1"/>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AD33EFC"/>
    <w:multiLevelType w:val="multilevel"/>
    <w:tmpl w:val="02280202"/>
    <w:numStyleLink w:val="EtatFRNumrotationhirarchique"/>
  </w:abstractNum>
  <w:abstractNum w:abstractNumId="21"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C261A0"/>
    <w:multiLevelType w:val="hybridMultilevel"/>
    <w:tmpl w:val="D262765A"/>
    <w:lvl w:ilvl="0" w:tplc="CDCA65F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F4A0AF0"/>
    <w:multiLevelType w:val="hybridMultilevel"/>
    <w:tmpl w:val="4AE81502"/>
    <w:lvl w:ilvl="0" w:tplc="2C1A41F4">
      <w:start w:val="1"/>
      <w:numFmt w:val="lowerLetter"/>
      <w:lvlText w:val="%1)"/>
      <w:lvlJc w:val="left"/>
      <w:pPr>
        <w:ind w:left="720" w:hanging="360"/>
      </w:pPr>
      <w:rPr>
        <w:rFonts w:hint="default"/>
      </w:rPr>
    </w:lvl>
    <w:lvl w:ilvl="1" w:tplc="A85C705E" w:tentative="1">
      <w:start w:val="1"/>
      <w:numFmt w:val="lowerLetter"/>
      <w:lvlText w:val="%2."/>
      <w:lvlJc w:val="left"/>
      <w:pPr>
        <w:ind w:left="1440" w:hanging="360"/>
      </w:pPr>
    </w:lvl>
    <w:lvl w:ilvl="2" w:tplc="1FBA8EF4" w:tentative="1">
      <w:start w:val="1"/>
      <w:numFmt w:val="lowerRoman"/>
      <w:lvlText w:val="%3."/>
      <w:lvlJc w:val="right"/>
      <w:pPr>
        <w:ind w:left="2160" w:hanging="180"/>
      </w:pPr>
    </w:lvl>
    <w:lvl w:ilvl="3" w:tplc="AB241128" w:tentative="1">
      <w:start w:val="1"/>
      <w:numFmt w:val="decimal"/>
      <w:lvlText w:val="%4."/>
      <w:lvlJc w:val="left"/>
      <w:pPr>
        <w:ind w:left="2880" w:hanging="360"/>
      </w:pPr>
    </w:lvl>
    <w:lvl w:ilvl="4" w:tplc="81B8D6AA" w:tentative="1">
      <w:start w:val="1"/>
      <w:numFmt w:val="lowerLetter"/>
      <w:lvlText w:val="%5."/>
      <w:lvlJc w:val="left"/>
      <w:pPr>
        <w:ind w:left="3600" w:hanging="360"/>
      </w:pPr>
    </w:lvl>
    <w:lvl w:ilvl="5" w:tplc="F280B408" w:tentative="1">
      <w:start w:val="1"/>
      <w:numFmt w:val="lowerRoman"/>
      <w:lvlText w:val="%6."/>
      <w:lvlJc w:val="right"/>
      <w:pPr>
        <w:ind w:left="4320" w:hanging="180"/>
      </w:pPr>
    </w:lvl>
    <w:lvl w:ilvl="6" w:tplc="1A5A6054" w:tentative="1">
      <w:start w:val="1"/>
      <w:numFmt w:val="decimal"/>
      <w:lvlText w:val="%7."/>
      <w:lvlJc w:val="left"/>
      <w:pPr>
        <w:ind w:left="5040" w:hanging="360"/>
      </w:pPr>
    </w:lvl>
    <w:lvl w:ilvl="7" w:tplc="F33026AC" w:tentative="1">
      <w:start w:val="1"/>
      <w:numFmt w:val="lowerLetter"/>
      <w:lvlText w:val="%8."/>
      <w:lvlJc w:val="left"/>
      <w:pPr>
        <w:ind w:left="5760" w:hanging="360"/>
      </w:pPr>
    </w:lvl>
    <w:lvl w:ilvl="8" w:tplc="03B8E582" w:tentative="1">
      <w:start w:val="1"/>
      <w:numFmt w:val="lowerRoman"/>
      <w:lvlText w:val="%9."/>
      <w:lvlJc w:val="right"/>
      <w:pPr>
        <w:ind w:left="6480" w:hanging="180"/>
      </w:pPr>
    </w:lvl>
  </w:abstractNum>
  <w:abstractNum w:abstractNumId="24"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E3644"/>
    <w:multiLevelType w:val="multilevel"/>
    <w:tmpl w:val="C812CDBA"/>
    <w:numStyleLink w:val="EtatFRPuces"/>
  </w:abstractNum>
  <w:abstractNum w:abstractNumId="26" w15:restartNumberingAfterBreak="0">
    <w:nsid w:val="74BE68D6"/>
    <w:multiLevelType w:val="multilevel"/>
    <w:tmpl w:val="6E089A12"/>
    <w:numStyleLink w:val="EtatFRNumrotation"/>
  </w:abstractNum>
  <w:abstractNum w:abstractNumId="27" w15:restartNumberingAfterBreak="0">
    <w:nsid w:val="7A072877"/>
    <w:multiLevelType w:val="multilevel"/>
    <w:tmpl w:val="6E089A12"/>
    <w:numStyleLink w:val="EtatFRNumrotation"/>
  </w:abstractNum>
  <w:abstractNum w:abstractNumId="28" w15:restartNumberingAfterBreak="0">
    <w:nsid w:val="7B2916EA"/>
    <w:multiLevelType w:val="multilevel"/>
    <w:tmpl w:val="C812CDBA"/>
    <w:numStyleLink w:val="EtatFRPuces"/>
  </w:abstractNum>
  <w:num w:numId="1" w16cid:durableId="236090108">
    <w:abstractNumId w:val="7"/>
  </w:num>
  <w:num w:numId="2" w16cid:durableId="1623535481">
    <w:abstractNumId w:val="5"/>
  </w:num>
  <w:num w:numId="3" w16cid:durableId="1549369178">
    <w:abstractNumId w:val="11"/>
  </w:num>
  <w:num w:numId="4" w16cid:durableId="61757390">
    <w:abstractNumId w:val="15"/>
  </w:num>
  <w:num w:numId="5" w16cid:durableId="1286621264">
    <w:abstractNumId w:val="6"/>
  </w:num>
  <w:num w:numId="6" w16cid:durableId="1614315278">
    <w:abstractNumId w:val="9"/>
  </w:num>
  <w:num w:numId="7" w16cid:durableId="584152075">
    <w:abstractNumId w:val="18"/>
  </w:num>
  <w:num w:numId="8" w16cid:durableId="534929254">
    <w:abstractNumId w:val="4"/>
  </w:num>
  <w:num w:numId="9" w16cid:durableId="1819227393">
    <w:abstractNumId w:val="2"/>
  </w:num>
  <w:num w:numId="10" w16cid:durableId="1014723848">
    <w:abstractNumId w:val="1"/>
  </w:num>
  <w:num w:numId="11" w16cid:durableId="147982712">
    <w:abstractNumId w:val="20"/>
  </w:num>
  <w:num w:numId="12" w16cid:durableId="706028680">
    <w:abstractNumId w:val="27"/>
  </w:num>
  <w:num w:numId="13" w16cid:durableId="2146699834">
    <w:abstractNumId w:val="26"/>
  </w:num>
  <w:num w:numId="14" w16cid:durableId="1032849072">
    <w:abstractNumId w:val="25"/>
  </w:num>
  <w:num w:numId="15" w16cid:durableId="306322164">
    <w:abstractNumId w:val="21"/>
  </w:num>
  <w:num w:numId="16" w16cid:durableId="1072041981">
    <w:abstractNumId w:val="16"/>
  </w:num>
  <w:num w:numId="17" w16cid:durableId="1854688660">
    <w:abstractNumId w:val="17"/>
  </w:num>
  <w:num w:numId="18" w16cid:durableId="1573193922">
    <w:abstractNumId w:val="0"/>
  </w:num>
  <w:num w:numId="19" w16cid:durableId="2035569381">
    <w:abstractNumId w:val="28"/>
  </w:num>
  <w:num w:numId="20" w16cid:durableId="791435537">
    <w:abstractNumId w:val="23"/>
  </w:num>
  <w:num w:numId="21" w16cid:durableId="684207833">
    <w:abstractNumId w:val="10"/>
  </w:num>
  <w:num w:numId="22" w16cid:durableId="1787195761">
    <w:abstractNumId w:val="11"/>
  </w:num>
  <w:num w:numId="23" w16cid:durableId="135416588">
    <w:abstractNumId w:val="8"/>
  </w:num>
  <w:num w:numId="24" w16cid:durableId="243147244">
    <w:abstractNumId w:val="19"/>
  </w:num>
  <w:num w:numId="25" w16cid:durableId="1686518478">
    <w:abstractNumId w:val="10"/>
    <w:lvlOverride w:ilvl="0">
      <w:startOverride w:val="1"/>
    </w:lvlOverride>
  </w:num>
  <w:num w:numId="26" w16cid:durableId="2134128800">
    <w:abstractNumId w:val="10"/>
    <w:lvlOverride w:ilvl="0">
      <w:startOverride w:val="1"/>
    </w:lvlOverride>
  </w:num>
  <w:num w:numId="27" w16cid:durableId="1694841455">
    <w:abstractNumId w:val="10"/>
    <w:lvlOverride w:ilvl="0">
      <w:startOverride w:val="1"/>
    </w:lvlOverride>
  </w:num>
  <w:num w:numId="28" w16cid:durableId="1453941772">
    <w:abstractNumId w:val="10"/>
  </w:num>
  <w:num w:numId="29" w16cid:durableId="1962492680">
    <w:abstractNumId w:val="10"/>
  </w:num>
  <w:num w:numId="30" w16cid:durableId="1166869402">
    <w:abstractNumId w:val="10"/>
  </w:num>
  <w:num w:numId="31" w16cid:durableId="2112897574">
    <w:abstractNumId w:val="10"/>
    <w:lvlOverride w:ilvl="0">
      <w:startOverride w:val="1"/>
    </w:lvlOverride>
  </w:num>
  <w:num w:numId="32" w16cid:durableId="1271621541">
    <w:abstractNumId w:val="10"/>
  </w:num>
  <w:num w:numId="33" w16cid:durableId="868421413">
    <w:abstractNumId w:val="10"/>
    <w:lvlOverride w:ilvl="0">
      <w:startOverride w:val="4"/>
    </w:lvlOverride>
  </w:num>
  <w:num w:numId="34" w16cid:durableId="589658412">
    <w:abstractNumId w:val="10"/>
    <w:lvlOverride w:ilvl="0">
      <w:startOverride w:val="2"/>
    </w:lvlOverride>
  </w:num>
  <w:num w:numId="35" w16cid:durableId="287589733">
    <w:abstractNumId w:val="24"/>
  </w:num>
  <w:num w:numId="36" w16cid:durableId="372391053">
    <w:abstractNumId w:val="10"/>
    <w:lvlOverride w:ilvl="0">
      <w:startOverride w:val="2"/>
    </w:lvlOverride>
  </w:num>
  <w:num w:numId="37" w16cid:durableId="1995600853">
    <w:abstractNumId w:val="10"/>
    <w:lvlOverride w:ilvl="0">
      <w:startOverride w:val="1"/>
    </w:lvlOverride>
  </w:num>
  <w:num w:numId="38" w16cid:durableId="288783340">
    <w:abstractNumId w:val="22"/>
  </w:num>
  <w:num w:numId="39" w16cid:durableId="114065952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CB205E"/>
    <w:rsid w:val="000025F8"/>
    <w:rsid w:val="0000371E"/>
    <w:rsid w:val="00004E4A"/>
    <w:rsid w:val="000100B8"/>
    <w:rsid w:val="0001197E"/>
    <w:rsid w:val="0001598C"/>
    <w:rsid w:val="00020A3F"/>
    <w:rsid w:val="000221B2"/>
    <w:rsid w:val="000248E4"/>
    <w:rsid w:val="00027741"/>
    <w:rsid w:val="000318A6"/>
    <w:rsid w:val="00033A00"/>
    <w:rsid w:val="00037465"/>
    <w:rsid w:val="00037923"/>
    <w:rsid w:val="00037FA5"/>
    <w:rsid w:val="000403E6"/>
    <w:rsid w:val="000435C3"/>
    <w:rsid w:val="000447B4"/>
    <w:rsid w:val="000479A7"/>
    <w:rsid w:val="00053248"/>
    <w:rsid w:val="0005606B"/>
    <w:rsid w:val="00060295"/>
    <w:rsid w:val="00061A3B"/>
    <w:rsid w:val="00062A3D"/>
    <w:rsid w:val="00064AE2"/>
    <w:rsid w:val="000651BF"/>
    <w:rsid w:val="00072A84"/>
    <w:rsid w:val="0007496A"/>
    <w:rsid w:val="000752E9"/>
    <w:rsid w:val="0007612B"/>
    <w:rsid w:val="0007773F"/>
    <w:rsid w:val="00082EB9"/>
    <w:rsid w:val="00086338"/>
    <w:rsid w:val="0008753A"/>
    <w:rsid w:val="00090423"/>
    <w:rsid w:val="00091418"/>
    <w:rsid w:val="0009197A"/>
    <w:rsid w:val="000A2E1C"/>
    <w:rsid w:val="000A570B"/>
    <w:rsid w:val="000A5774"/>
    <w:rsid w:val="000A6354"/>
    <w:rsid w:val="000B08E6"/>
    <w:rsid w:val="000B1C76"/>
    <w:rsid w:val="000B3746"/>
    <w:rsid w:val="000B44E4"/>
    <w:rsid w:val="000B56C5"/>
    <w:rsid w:val="000C5528"/>
    <w:rsid w:val="000D18BE"/>
    <w:rsid w:val="000E5A87"/>
    <w:rsid w:val="000E7434"/>
    <w:rsid w:val="000F0FDE"/>
    <w:rsid w:val="000F1734"/>
    <w:rsid w:val="000F5F83"/>
    <w:rsid w:val="000F6BF7"/>
    <w:rsid w:val="00102143"/>
    <w:rsid w:val="001040CE"/>
    <w:rsid w:val="001068E7"/>
    <w:rsid w:val="001119C0"/>
    <w:rsid w:val="0012014E"/>
    <w:rsid w:val="00121680"/>
    <w:rsid w:val="00123655"/>
    <w:rsid w:val="00124A5D"/>
    <w:rsid w:val="00126732"/>
    <w:rsid w:val="00126BFF"/>
    <w:rsid w:val="00126FB6"/>
    <w:rsid w:val="00132641"/>
    <w:rsid w:val="00132863"/>
    <w:rsid w:val="00133826"/>
    <w:rsid w:val="00144095"/>
    <w:rsid w:val="00144B31"/>
    <w:rsid w:val="00150593"/>
    <w:rsid w:val="00150C3B"/>
    <w:rsid w:val="001527E4"/>
    <w:rsid w:val="00152EFD"/>
    <w:rsid w:val="00153058"/>
    <w:rsid w:val="00155137"/>
    <w:rsid w:val="00156DE2"/>
    <w:rsid w:val="00156E1E"/>
    <w:rsid w:val="00172007"/>
    <w:rsid w:val="001728D0"/>
    <w:rsid w:val="00174370"/>
    <w:rsid w:val="0017581D"/>
    <w:rsid w:val="001803FD"/>
    <w:rsid w:val="0018088A"/>
    <w:rsid w:val="001836A5"/>
    <w:rsid w:val="00183978"/>
    <w:rsid w:val="00185385"/>
    <w:rsid w:val="001869DD"/>
    <w:rsid w:val="00190121"/>
    <w:rsid w:val="00190B70"/>
    <w:rsid w:val="00191E01"/>
    <w:rsid w:val="001938A1"/>
    <w:rsid w:val="00193D9C"/>
    <w:rsid w:val="001A03BA"/>
    <w:rsid w:val="001A2391"/>
    <w:rsid w:val="001A4C7C"/>
    <w:rsid w:val="001B4A8A"/>
    <w:rsid w:val="001D157A"/>
    <w:rsid w:val="001D284A"/>
    <w:rsid w:val="001D2C84"/>
    <w:rsid w:val="001D2D3F"/>
    <w:rsid w:val="001D54E7"/>
    <w:rsid w:val="001D5942"/>
    <w:rsid w:val="001F22C0"/>
    <w:rsid w:val="001F5C2A"/>
    <w:rsid w:val="001F73D7"/>
    <w:rsid w:val="00200ED6"/>
    <w:rsid w:val="0021273D"/>
    <w:rsid w:val="00213863"/>
    <w:rsid w:val="002206A3"/>
    <w:rsid w:val="0023233D"/>
    <w:rsid w:val="002373F5"/>
    <w:rsid w:val="00240688"/>
    <w:rsid w:val="002458D7"/>
    <w:rsid w:val="002458E8"/>
    <w:rsid w:val="0024694D"/>
    <w:rsid w:val="00250A67"/>
    <w:rsid w:val="0025191C"/>
    <w:rsid w:val="002557C3"/>
    <w:rsid w:val="00256CEF"/>
    <w:rsid w:val="00257120"/>
    <w:rsid w:val="002624CA"/>
    <w:rsid w:val="00262677"/>
    <w:rsid w:val="00265216"/>
    <w:rsid w:val="00272173"/>
    <w:rsid w:val="00274D2C"/>
    <w:rsid w:val="00275651"/>
    <w:rsid w:val="00275F77"/>
    <w:rsid w:val="002779E0"/>
    <w:rsid w:val="002817E7"/>
    <w:rsid w:val="00285D49"/>
    <w:rsid w:val="0029480E"/>
    <w:rsid w:val="00295E00"/>
    <w:rsid w:val="002A204C"/>
    <w:rsid w:val="002A446B"/>
    <w:rsid w:val="002A67F1"/>
    <w:rsid w:val="002B2E7B"/>
    <w:rsid w:val="002B6A9C"/>
    <w:rsid w:val="002C0FFD"/>
    <w:rsid w:val="002C2553"/>
    <w:rsid w:val="002C2572"/>
    <w:rsid w:val="002C3470"/>
    <w:rsid w:val="002C4525"/>
    <w:rsid w:val="002D34D0"/>
    <w:rsid w:val="002D65B1"/>
    <w:rsid w:val="002E01E2"/>
    <w:rsid w:val="002E25F6"/>
    <w:rsid w:val="002E2B47"/>
    <w:rsid w:val="002F175D"/>
    <w:rsid w:val="002F318F"/>
    <w:rsid w:val="002F3E48"/>
    <w:rsid w:val="002F6238"/>
    <w:rsid w:val="00302090"/>
    <w:rsid w:val="0030604F"/>
    <w:rsid w:val="00316DDF"/>
    <w:rsid w:val="00316ED5"/>
    <w:rsid w:val="00327552"/>
    <w:rsid w:val="00327F71"/>
    <w:rsid w:val="00330506"/>
    <w:rsid w:val="0033775D"/>
    <w:rsid w:val="003417C2"/>
    <w:rsid w:val="003512EF"/>
    <w:rsid w:val="00354105"/>
    <w:rsid w:val="003626F6"/>
    <w:rsid w:val="00363534"/>
    <w:rsid w:val="0036584C"/>
    <w:rsid w:val="00367AAB"/>
    <w:rsid w:val="0037062E"/>
    <w:rsid w:val="003706CD"/>
    <w:rsid w:val="003715DA"/>
    <w:rsid w:val="00372D29"/>
    <w:rsid w:val="0037333A"/>
    <w:rsid w:val="00376DCF"/>
    <w:rsid w:val="0038006E"/>
    <w:rsid w:val="003830BE"/>
    <w:rsid w:val="00383F24"/>
    <w:rsid w:val="00385974"/>
    <w:rsid w:val="00385C6D"/>
    <w:rsid w:val="00385EBB"/>
    <w:rsid w:val="00386639"/>
    <w:rsid w:val="003905FA"/>
    <w:rsid w:val="00396517"/>
    <w:rsid w:val="003A7277"/>
    <w:rsid w:val="003A7954"/>
    <w:rsid w:val="003B436E"/>
    <w:rsid w:val="003B62A0"/>
    <w:rsid w:val="003B6CF6"/>
    <w:rsid w:val="003B777D"/>
    <w:rsid w:val="003C26CB"/>
    <w:rsid w:val="003C3C33"/>
    <w:rsid w:val="003C3F13"/>
    <w:rsid w:val="003D0E2E"/>
    <w:rsid w:val="003D1ED0"/>
    <w:rsid w:val="003D287E"/>
    <w:rsid w:val="003D3DEE"/>
    <w:rsid w:val="003D7241"/>
    <w:rsid w:val="003E0229"/>
    <w:rsid w:val="003E5B99"/>
    <w:rsid w:val="003E6890"/>
    <w:rsid w:val="003E6A92"/>
    <w:rsid w:val="003F01B8"/>
    <w:rsid w:val="003F082C"/>
    <w:rsid w:val="003F114D"/>
    <w:rsid w:val="003F553C"/>
    <w:rsid w:val="003F782A"/>
    <w:rsid w:val="003F7B01"/>
    <w:rsid w:val="00412570"/>
    <w:rsid w:val="00412937"/>
    <w:rsid w:val="004148B0"/>
    <w:rsid w:val="00414EA1"/>
    <w:rsid w:val="004205DF"/>
    <w:rsid w:val="00421654"/>
    <w:rsid w:val="004217F0"/>
    <w:rsid w:val="004230AF"/>
    <w:rsid w:val="00423C10"/>
    <w:rsid w:val="00425365"/>
    <w:rsid w:val="00425C87"/>
    <w:rsid w:val="00430FEA"/>
    <w:rsid w:val="00431C6C"/>
    <w:rsid w:val="00432816"/>
    <w:rsid w:val="00436C65"/>
    <w:rsid w:val="00442A67"/>
    <w:rsid w:val="004511DF"/>
    <w:rsid w:val="004522A3"/>
    <w:rsid w:val="00457F1B"/>
    <w:rsid w:val="004634A2"/>
    <w:rsid w:val="00464CA1"/>
    <w:rsid w:val="004661C5"/>
    <w:rsid w:val="00470617"/>
    <w:rsid w:val="00471EFE"/>
    <w:rsid w:val="0047417F"/>
    <w:rsid w:val="00476663"/>
    <w:rsid w:val="00477469"/>
    <w:rsid w:val="004902B7"/>
    <w:rsid w:val="00490A01"/>
    <w:rsid w:val="00491592"/>
    <w:rsid w:val="00497727"/>
    <w:rsid w:val="004A1325"/>
    <w:rsid w:val="004A48A2"/>
    <w:rsid w:val="004A4E56"/>
    <w:rsid w:val="004A599B"/>
    <w:rsid w:val="004A7E75"/>
    <w:rsid w:val="004B10C0"/>
    <w:rsid w:val="004C1448"/>
    <w:rsid w:val="004D167E"/>
    <w:rsid w:val="004D2246"/>
    <w:rsid w:val="004D6DF7"/>
    <w:rsid w:val="004E231D"/>
    <w:rsid w:val="004E5653"/>
    <w:rsid w:val="004E7031"/>
    <w:rsid w:val="004F188F"/>
    <w:rsid w:val="004F1A2B"/>
    <w:rsid w:val="004F52A9"/>
    <w:rsid w:val="00503601"/>
    <w:rsid w:val="00503BE7"/>
    <w:rsid w:val="00504A8B"/>
    <w:rsid w:val="005062B0"/>
    <w:rsid w:val="005071EA"/>
    <w:rsid w:val="005073E9"/>
    <w:rsid w:val="005167A6"/>
    <w:rsid w:val="00517F89"/>
    <w:rsid w:val="0052194F"/>
    <w:rsid w:val="00527A8C"/>
    <w:rsid w:val="00533F2C"/>
    <w:rsid w:val="00536249"/>
    <w:rsid w:val="0054148C"/>
    <w:rsid w:val="005429DB"/>
    <w:rsid w:val="005440A7"/>
    <w:rsid w:val="0055038C"/>
    <w:rsid w:val="00556761"/>
    <w:rsid w:val="00561083"/>
    <w:rsid w:val="00566FD3"/>
    <w:rsid w:val="00567397"/>
    <w:rsid w:val="0057144E"/>
    <w:rsid w:val="00576FCE"/>
    <w:rsid w:val="005813DF"/>
    <w:rsid w:val="0058369F"/>
    <w:rsid w:val="00584881"/>
    <w:rsid w:val="0058559E"/>
    <w:rsid w:val="00586A19"/>
    <w:rsid w:val="005873E4"/>
    <w:rsid w:val="005904EB"/>
    <w:rsid w:val="00591D84"/>
    <w:rsid w:val="00595E1E"/>
    <w:rsid w:val="005A05E2"/>
    <w:rsid w:val="005A11ED"/>
    <w:rsid w:val="005A2859"/>
    <w:rsid w:val="005A42D8"/>
    <w:rsid w:val="005A5E57"/>
    <w:rsid w:val="005B0844"/>
    <w:rsid w:val="005B0A19"/>
    <w:rsid w:val="005B1AE2"/>
    <w:rsid w:val="005B2815"/>
    <w:rsid w:val="005B4260"/>
    <w:rsid w:val="005B5BCF"/>
    <w:rsid w:val="005B6074"/>
    <w:rsid w:val="005C15B8"/>
    <w:rsid w:val="005C61F8"/>
    <w:rsid w:val="005C6CE4"/>
    <w:rsid w:val="005D308A"/>
    <w:rsid w:val="005E113B"/>
    <w:rsid w:val="005E2AE2"/>
    <w:rsid w:val="005E2E4F"/>
    <w:rsid w:val="005F0368"/>
    <w:rsid w:val="005F1725"/>
    <w:rsid w:val="005F5ABE"/>
    <w:rsid w:val="005F68A9"/>
    <w:rsid w:val="005F69ED"/>
    <w:rsid w:val="006002F5"/>
    <w:rsid w:val="00601C57"/>
    <w:rsid w:val="00601D4C"/>
    <w:rsid w:val="0060347F"/>
    <w:rsid w:val="006107A3"/>
    <w:rsid w:val="00614F97"/>
    <w:rsid w:val="006215BF"/>
    <w:rsid w:val="00624F13"/>
    <w:rsid w:val="00636DDC"/>
    <w:rsid w:val="00647CFD"/>
    <w:rsid w:val="00656E04"/>
    <w:rsid w:val="00663552"/>
    <w:rsid w:val="00665C90"/>
    <w:rsid w:val="00671573"/>
    <w:rsid w:val="00676D46"/>
    <w:rsid w:val="00680A78"/>
    <w:rsid w:val="00680A84"/>
    <w:rsid w:val="0068105E"/>
    <w:rsid w:val="0068168E"/>
    <w:rsid w:val="00681988"/>
    <w:rsid w:val="00692365"/>
    <w:rsid w:val="00696214"/>
    <w:rsid w:val="00696826"/>
    <w:rsid w:val="00697233"/>
    <w:rsid w:val="006A187D"/>
    <w:rsid w:val="006A1FDF"/>
    <w:rsid w:val="006A2994"/>
    <w:rsid w:val="006A46DB"/>
    <w:rsid w:val="006A6561"/>
    <w:rsid w:val="006A7B2D"/>
    <w:rsid w:val="006A7D0A"/>
    <w:rsid w:val="006B10ED"/>
    <w:rsid w:val="006B2BF9"/>
    <w:rsid w:val="006B506E"/>
    <w:rsid w:val="006B5C24"/>
    <w:rsid w:val="006C533E"/>
    <w:rsid w:val="006C6999"/>
    <w:rsid w:val="006C6CA0"/>
    <w:rsid w:val="006C75E7"/>
    <w:rsid w:val="006C769B"/>
    <w:rsid w:val="006D43B8"/>
    <w:rsid w:val="006D54C6"/>
    <w:rsid w:val="006D642F"/>
    <w:rsid w:val="006E0AFD"/>
    <w:rsid w:val="006E228B"/>
    <w:rsid w:val="006E24ED"/>
    <w:rsid w:val="006F0650"/>
    <w:rsid w:val="006F4EED"/>
    <w:rsid w:val="006F6C05"/>
    <w:rsid w:val="00706E50"/>
    <w:rsid w:val="0070745A"/>
    <w:rsid w:val="0072020B"/>
    <w:rsid w:val="00721D53"/>
    <w:rsid w:val="00726551"/>
    <w:rsid w:val="00733B45"/>
    <w:rsid w:val="007367A5"/>
    <w:rsid w:val="00737631"/>
    <w:rsid w:val="00740D66"/>
    <w:rsid w:val="00741CB7"/>
    <w:rsid w:val="00744503"/>
    <w:rsid w:val="007455CF"/>
    <w:rsid w:val="0074740A"/>
    <w:rsid w:val="007558EA"/>
    <w:rsid w:val="00755A2B"/>
    <w:rsid w:val="007629E3"/>
    <w:rsid w:val="007700A9"/>
    <w:rsid w:val="00770C9D"/>
    <w:rsid w:val="0077587D"/>
    <w:rsid w:val="00786F6D"/>
    <w:rsid w:val="0079040F"/>
    <w:rsid w:val="0079042A"/>
    <w:rsid w:val="007908B0"/>
    <w:rsid w:val="007A0098"/>
    <w:rsid w:val="007A00BB"/>
    <w:rsid w:val="007A36DA"/>
    <w:rsid w:val="007A47F4"/>
    <w:rsid w:val="007A51E3"/>
    <w:rsid w:val="007B14C3"/>
    <w:rsid w:val="007B1C9E"/>
    <w:rsid w:val="007B58F8"/>
    <w:rsid w:val="007C373D"/>
    <w:rsid w:val="007C533A"/>
    <w:rsid w:val="007C5E7A"/>
    <w:rsid w:val="007D065E"/>
    <w:rsid w:val="007D58E6"/>
    <w:rsid w:val="007D7C1E"/>
    <w:rsid w:val="007D7D25"/>
    <w:rsid w:val="007E248B"/>
    <w:rsid w:val="007E6FD4"/>
    <w:rsid w:val="007E71E9"/>
    <w:rsid w:val="007E7A9E"/>
    <w:rsid w:val="007F016B"/>
    <w:rsid w:val="007F1443"/>
    <w:rsid w:val="007F3311"/>
    <w:rsid w:val="008033DB"/>
    <w:rsid w:val="00803FA3"/>
    <w:rsid w:val="008040EA"/>
    <w:rsid w:val="0080618A"/>
    <w:rsid w:val="0081245B"/>
    <w:rsid w:val="00813776"/>
    <w:rsid w:val="0081433C"/>
    <w:rsid w:val="00821852"/>
    <w:rsid w:val="0082545E"/>
    <w:rsid w:val="00826A90"/>
    <w:rsid w:val="00826D85"/>
    <w:rsid w:val="0083156D"/>
    <w:rsid w:val="00833D12"/>
    <w:rsid w:val="008348CA"/>
    <w:rsid w:val="0083608E"/>
    <w:rsid w:val="00836320"/>
    <w:rsid w:val="00842B56"/>
    <w:rsid w:val="00850E7D"/>
    <w:rsid w:val="008602BF"/>
    <w:rsid w:val="00860328"/>
    <w:rsid w:val="00861B48"/>
    <w:rsid w:val="00862EBB"/>
    <w:rsid w:val="008635C6"/>
    <w:rsid w:val="00867FB8"/>
    <w:rsid w:val="00873F3A"/>
    <w:rsid w:val="00876355"/>
    <w:rsid w:val="00876EBD"/>
    <w:rsid w:val="00880B6A"/>
    <w:rsid w:val="00882DFC"/>
    <w:rsid w:val="00882EED"/>
    <w:rsid w:val="00883994"/>
    <w:rsid w:val="00887BF8"/>
    <w:rsid w:val="00890A58"/>
    <w:rsid w:val="00891258"/>
    <w:rsid w:val="008A18C5"/>
    <w:rsid w:val="008A6198"/>
    <w:rsid w:val="008A65C3"/>
    <w:rsid w:val="008B2F2A"/>
    <w:rsid w:val="008B516A"/>
    <w:rsid w:val="008B6A21"/>
    <w:rsid w:val="008C0247"/>
    <w:rsid w:val="008C5626"/>
    <w:rsid w:val="008C6115"/>
    <w:rsid w:val="008D148B"/>
    <w:rsid w:val="008E4FF3"/>
    <w:rsid w:val="008E5697"/>
    <w:rsid w:val="008E58F2"/>
    <w:rsid w:val="008F0450"/>
    <w:rsid w:val="008F5361"/>
    <w:rsid w:val="008F7832"/>
    <w:rsid w:val="0090077C"/>
    <w:rsid w:val="009032B9"/>
    <w:rsid w:val="00906C70"/>
    <w:rsid w:val="009071FC"/>
    <w:rsid w:val="00912E75"/>
    <w:rsid w:val="00914C3F"/>
    <w:rsid w:val="00914C6A"/>
    <w:rsid w:val="00924CB6"/>
    <w:rsid w:val="009257C3"/>
    <w:rsid w:val="009270BB"/>
    <w:rsid w:val="00927AB3"/>
    <w:rsid w:val="00927DA9"/>
    <w:rsid w:val="0093507C"/>
    <w:rsid w:val="0093644D"/>
    <w:rsid w:val="0094486A"/>
    <w:rsid w:val="00944A98"/>
    <w:rsid w:val="009545E8"/>
    <w:rsid w:val="009551DC"/>
    <w:rsid w:val="00956249"/>
    <w:rsid w:val="00956D5C"/>
    <w:rsid w:val="00957246"/>
    <w:rsid w:val="00961A17"/>
    <w:rsid w:val="00971C18"/>
    <w:rsid w:val="009729B7"/>
    <w:rsid w:val="00973A49"/>
    <w:rsid w:val="0097544B"/>
    <w:rsid w:val="009774DF"/>
    <w:rsid w:val="009803CD"/>
    <w:rsid w:val="00983FEE"/>
    <w:rsid w:val="00987012"/>
    <w:rsid w:val="00987779"/>
    <w:rsid w:val="009877D1"/>
    <w:rsid w:val="0099047B"/>
    <w:rsid w:val="00991567"/>
    <w:rsid w:val="009917B7"/>
    <w:rsid w:val="0099312E"/>
    <w:rsid w:val="009A6089"/>
    <w:rsid w:val="009A653B"/>
    <w:rsid w:val="009A7AA9"/>
    <w:rsid w:val="009B0C2F"/>
    <w:rsid w:val="009B5D89"/>
    <w:rsid w:val="009B6686"/>
    <w:rsid w:val="009C5028"/>
    <w:rsid w:val="009C7AF6"/>
    <w:rsid w:val="009D0494"/>
    <w:rsid w:val="009D1B99"/>
    <w:rsid w:val="009D38FA"/>
    <w:rsid w:val="009D5C83"/>
    <w:rsid w:val="009D77EF"/>
    <w:rsid w:val="009E2CAA"/>
    <w:rsid w:val="009E44D8"/>
    <w:rsid w:val="009E4505"/>
    <w:rsid w:val="009E5169"/>
    <w:rsid w:val="009E5963"/>
    <w:rsid w:val="009E6C54"/>
    <w:rsid w:val="009F0BFA"/>
    <w:rsid w:val="009F3222"/>
    <w:rsid w:val="009F33D6"/>
    <w:rsid w:val="009F7FE1"/>
    <w:rsid w:val="00A013AF"/>
    <w:rsid w:val="00A04FEC"/>
    <w:rsid w:val="00A05133"/>
    <w:rsid w:val="00A10F3C"/>
    <w:rsid w:val="00A115FF"/>
    <w:rsid w:val="00A12522"/>
    <w:rsid w:val="00A130B3"/>
    <w:rsid w:val="00A13AB1"/>
    <w:rsid w:val="00A13F55"/>
    <w:rsid w:val="00A144AC"/>
    <w:rsid w:val="00A16D53"/>
    <w:rsid w:val="00A22AFE"/>
    <w:rsid w:val="00A23AD9"/>
    <w:rsid w:val="00A26484"/>
    <w:rsid w:val="00A30802"/>
    <w:rsid w:val="00A30828"/>
    <w:rsid w:val="00A33B75"/>
    <w:rsid w:val="00A35533"/>
    <w:rsid w:val="00A45C1C"/>
    <w:rsid w:val="00A50BCC"/>
    <w:rsid w:val="00A54B74"/>
    <w:rsid w:val="00A5661B"/>
    <w:rsid w:val="00A56EDD"/>
    <w:rsid w:val="00A66390"/>
    <w:rsid w:val="00A70653"/>
    <w:rsid w:val="00A70686"/>
    <w:rsid w:val="00A71185"/>
    <w:rsid w:val="00A7171B"/>
    <w:rsid w:val="00A750C9"/>
    <w:rsid w:val="00A75329"/>
    <w:rsid w:val="00A82C56"/>
    <w:rsid w:val="00A84250"/>
    <w:rsid w:val="00A85995"/>
    <w:rsid w:val="00A960D1"/>
    <w:rsid w:val="00A97AA0"/>
    <w:rsid w:val="00AA27C8"/>
    <w:rsid w:val="00AA2C58"/>
    <w:rsid w:val="00AA335D"/>
    <w:rsid w:val="00AA4AE8"/>
    <w:rsid w:val="00AA700C"/>
    <w:rsid w:val="00AB3496"/>
    <w:rsid w:val="00AB474F"/>
    <w:rsid w:val="00AC076B"/>
    <w:rsid w:val="00AC53F5"/>
    <w:rsid w:val="00AC59FB"/>
    <w:rsid w:val="00AC5AB6"/>
    <w:rsid w:val="00AC5E01"/>
    <w:rsid w:val="00AD01C8"/>
    <w:rsid w:val="00AD0EA2"/>
    <w:rsid w:val="00AD4584"/>
    <w:rsid w:val="00AD52F5"/>
    <w:rsid w:val="00B0194B"/>
    <w:rsid w:val="00B05040"/>
    <w:rsid w:val="00B065E3"/>
    <w:rsid w:val="00B067EC"/>
    <w:rsid w:val="00B11785"/>
    <w:rsid w:val="00B15205"/>
    <w:rsid w:val="00B213FB"/>
    <w:rsid w:val="00B22CC2"/>
    <w:rsid w:val="00B2570A"/>
    <w:rsid w:val="00B2596C"/>
    <w:rsid w:val="00B2641F"/>
    <w:rsid w:val="00B34B01"/>
    <w:rsid w:val="00B371B3"/>
    <w:rsid w:val="00B41036"/>
    <w:rsid w:val="00B434A2"/>
    <w:rsid w:val="00B43FAE"/>
    <w:rsid w:val="00B46448"/>
    <w:rsid w:val="00B52A66"/>
    <w:rsid w:val="00B6107F"/>
    <w:rsid w:val="00B613E8"/>
    <w:rsid w:val="00B67278"/>
    <w:rsid w:val="00B6734E"/>
    <w:rsid w:val="00B67474"/>
    <w:rsid w:val="00B70FF2"/>
    <w:rsid w:val="00B84E83"/>
    <w:rsid w:val="00B92569"/>
    <w:rsid w:val="00B931C7"/>
    <w:rsid w:val="00B93314"/>
    <w:rsid w:val="00B935E6"/>
    <w:rsid w:val="00B94D7C"/>
    <w:rsid w:val="00B964CE"/>
    <w:rsid w:val="00B977A6"/>
    <w:rsid w:val="00BA124F"/>
    <w:rsid w:val="00BA1E0B"/>
    <w:rsid w:val="00BB049B"/>
    <w:rsid w:val="00BB062F"/>
    <w:rsid w:val="00BB1749"/>
    <w:rsid w:val="00BB3029"/>
    <w:rsid w:val="00BB35B0"/>
    <w:rsid w:val="00BB686A"/>
    <w:rsid w:val="00BC296C"/>
    <w:rsid w:val="00BC30CD"/>
    <w:rsid w:val="00BD0997"/>
    <w:rsid w:val="00BD44FB"/>
    <w:rsid w:val="00BD7F97"/>
    <w:rsid w:val="00BE5E10"/>
    <w:rsid w:val="00BF04E8"/>
    <w:rsid w:val="00BF09D3"/>
    <w:rsid w:val="00BF1449"/>
    <w:rsid w:val="00C00270"/>
    <w:rsid w:val="00C025D6"/>
    <w:rsid w:val="00C03061"/>
    <w:rsid w:val="00C03B74"/>
    <w:rsid w:val="00C051AA"/>
    <w:rsid w:val="00C05943"/>
    <w:rsid w:val="00C117FD"/>
    <w:rsid w:val="00C12D74"/>
    <w:rsid w:val="00C17142"/>
    <w:rsid w:val="00C24B0A"/>
    <w:rsid w:val="00C24D74"/>
    <w:rsid w:val="00C25FB8"/>
    <w:rsid w:val="00C26695"/>
    <w:rsid w:val="00C360E5"/>
    <w:rsid w:val="00C367D4"/>
    <w:rsid w:val="00C36E34"/>
    <w:rsid w:val="00C375E1"/>
    <w:rsid w:val="00C4568D"/>
    <w:rsid w:val="00C54BA7"/>
    <w:rsid w:val="00C576C8"/>
    <w:rsid w:val="00C66A1D"/>
    <w:rsid w:val="00C70653"/>
    <w:rsid w:val="00C7067C"/>
    <w:rsid w:val="00C70EFC"/>
    <w:rsid w:val="00C80005"/>
    <w:rsid w:val="00C81E7C"/>
    <w:rsid w:val="00C94F29"/>
    <w:rsid w:val="00C966A7"/>
    <w:rsid w:val="00CA1341"/>
    <w:rsid w:val="00CA5513"/>
    <w:rsid w:val="00CA56FB"/>
    <w:rsid w:val="00CA6727"/>
    <w:rsid w:val="00CA7EDD"/>
    <w:rsid w:val="00CB0B66"/>
    <w:rsid w:val="00CB205E"/>
    <w:rsid w:val="00CB35B5"/>
    <w:rsid w:val="00CB63F6"/>
    <w:rsid w:val="00CB7A1D"/>
    <w:rsid w:val="00CC01D0"/>
    <w:rsid w:val="00CC062A"/>
    <w:rsid w:val="00CC17E8"/>
    <w:rsid w:val="00CC2F9C"/>
    <w:rsid w:val="00CC5DED"/>
    <w:rsid w:val="00CC7F8D"/>
    <w:rsid w:val="00CD1CB2"/>
    <w:rsid w:val="00CD51D0"/>
    <w:rsid w:val="00CD5ED1"/>
    <w:rsid w:val="00CE338E"/>
    <w:rsid w:val="00CE68D3"/>
    <w:rsid w:val="00CE698F"/>
    <w:rsid w:val="00CF1C32"/>
    <w:rsid w:val="00CF6A23"/>
    <w:rsid w:val="00CF6F37"/>
    <w:rsid w:val="00D005E4"/>
    <w:rsid w:val="00D014ED"/>
    <w:rsid w:val="00D10024"/>
    <w:rsid w:val="00D10723"/>
    <w:rsid w:val="00D116F2"/>
    <w:rsid w:val="00D139F9"/>
    <w:rsid w:val="00D20417"/>
    <w:rsid w:val="00D22F8D"/>
    <w:rsid w:val="00D2385F"/>
    <w:rsid w:val="00D3050A"/>
    <w:rsid w:val="00D30951"/>
    <w:rsid w:val="00D310FE"/>
    <w:rsid w:val="00D31DD5"/>
    <w:rsid w:val="00D34E40"/>
    <w:rsid w:val="00D350C8"/>
    <w:rsid w:val="00D37038"/>
    <w:rsid w:val="00D41F3F"/>
    <w:rsid w:val="00D43D7B"/>
    <w:rsid w:val="00D43D8A"/>
    <w:rsid w:val="00D4566E"/>
    <w:rsid w:val="00D53085"/>
    <w:rsid w:val="00D5590A"/>
    <w:rsid w:val="00D56F8E"/>
    <w:rsid w:val="00D5733E"/>
    <w:rsid w:val="00D607B3"/>
    <w:rsid w:val="00D63186"/>
    <w:rsid w:val="00D67FAA"/>
    <w:rsid w:val="00D72444"/>
    <w:rsid w:val="00D76662"/>
    <w:rsid w:val="00D8010F"/>
    <w:rsid w:val="00D86162"/>
    <w:rsid w:val="00D87F8C"/>
    <w:rsid w:val="00DA2455"/>
    <w:rsid w:val="00DA64F4"/>
    <w:rsid w:val="00DB0ADA"/>
    <w:rsid w:val="00DB116C"/>
    <w:rsid w:val="00DB489E"/>
    <w:rsid w:val="00DB5C9D"/>
    <w:rsid w:val="00DC0DF8"/>
    <w:rsid w:val="00DC156C"/>
    <w:rsid w:val="00DC3E79"/>
    <w:rsid w:val="00DC4790"/>
    <w:rsid w:val="00DC5C04"/>
    <w:rsid w:val="00DD31DF"/>
    <w:rsid w:val="00DD627E"/>
    <w:rsid w:val="00DE120F"/>
    <w:rsid w:val="00DE13DA"/>
    <w:rsid w:val="00DE5ADB"/>
    <w:rsid w:val="00DF4A74"/>
    <w:rsid w:val="00DF52DA"/>
    <w:rsid w:val="00DF5C96"/>
    <w:rsid w:val="00DF5F33"/>
    <w:rsid w:val="00DF612B"/>
    <w:rsid w:val="00E00127"/>
    <w:rsid w:val="00E038FE"/>
    <w:rsid w:val="00E12A1C"/>
    <w:rsid w:val="00E12E7E"/>
    <w:rsid w:val="00E16653"/>
    <w:rsid w:val="00E16709"/>
    <w:rsid w:val="00E17883"/>
    <w:rsid w:val="00E2023F"/>
    <w:rsid w:val="00E21FED"/>
    <w:rsid w:val="00E22220"/>
    <w:rsid w:val="00E25AC1"/>
    <w:rsid w:val="00E25F0C"/>
    <w:rsid w:val="00E26DBC"/>
    <w:rsid w:val="00E27C25"/>
    <w:rsid w:val="00E31F9D"/>
    <w:rsid w:val="00E415A0"/>
    <w:rsid w:val="00E4328A"/>
    <w:rsid w:val="00E52162"/>
    <w:rsid w:val="00E54B3C"/>
    <w:rsid w:val="00E56708"/>
    <w:rsid w:val="00E66DD8"/>
    <w:rsid w:val="00E7506B"/>
    <w:rsid w:val="00E81A5A"/>
    <w:rsid w:val="00E8391A"/>
    <w:rsid w:val="00E8479E"/>
    <w:rsid w:val="00E85501"/>
    <w:rsid w:val="00E9134B"/>
    <w:rsid w:val="00E93958"/>
    <w:rsid w:val="00E93FAF"/>
    <w:rsid w:val="00E9412D"/>
    <w:rsid w:val="00E959C2"/>
    <w:rsid w:val="00E97E0E"/>
    <w:rsid w:val="00EA38FF"/>
    <w:rsid w:val="00EA5C64"/>
    <w:rsid w:val="00EB1325"/>
    <w:rsid w:val="00EB4CCE"/>
    <w:rsid w:val="00EB55E3"/>
    <w:rsid w:val="00EC3DA7"/>
    <w:rsid w:val="00EC4A65"/>
    <w:rsid w:val="00EC5084"/>
    <w:rsid w:val="00EC5779"/>
    <w:rsid w:val="00EC6275"/>
    <w:rsid w:val="00EC6922"/>
    <w:rsid w:val="00EC7716"/>
    <w:rsid w:val="00ED0D18"/>
    <w:rsid w:val="00ED4DC9"/>
    <w:rsid w:val="00EF0424"/>
    <w:rsid w:val="00EF066C"/>
    <w:rsid w:val="00F0258D"/>
    <w:rsid w:val="00F02A8B"/>
    <w:rsid w:val="00F035EE"/>
    <w:rsid w:val="00F037E9"/>
    <w:rsid w:val="00F03A91"/>
    <w:rsid w:val="00F139D3"/>
    <w:rsid w:val="00F143D2"/>
    <w:rsid w:val="00F146D2"/>
    <w:rsid w:val="00F14C3F"/>
    <w:rsid w:val="00F1556B"/>
    <w:rsid w:val="00F17977"/>
    <w:rsid w:val="00F17C21"/>
    <w:rsid w:val="00F17C9D"/>
    <w:rsid w:val="00F2209E"/>
    <w:rsid w:val="00F24073"/>
    <w:rsid w:val="00F27273"/>
    <w:rsid w:val="00F27896"/>
    <w:rsid w:val="00F27FB5"/>
    <w:rsid w:val="00F338BB"/>
    <w:rsid w:val="00F35DDD"/>
    <w:rsid w:val="00F362CD"/>
    <w:rsid w:val="00F36E51"/>
    <w:rsid w:val="00F378A3"/>
    <w:rsid w:val="00F45885"/>
    <w:rsid w:val="00F46ECB"/>
    <w:rsid w:val="00F52818"/>
    <w:rsid w:val="00F53B78"/>
    <w:rsid w:val="00F55CEA"/>
    <w:rsid w:val="00F61E92"/>
    <w:rsid w:val="00F64BCD"/>
    <w:rsid w:val="00F660AE"/>
    <w:rsid w:val="00F70408"/>
    <w:rsid w:val="00F70727"/>
    <w:rsid w:val="00F7244D"/>
    <w:rsid w:val="00F73E6F"/>
    <w:rsid w:val="00F7499C"/>
    <w:rsid w:val="00F75310"/>
    <w:rsid w:val="00F75612"/>
    <w:rsid w:val="00F819CE"/>
    <w:rsid w:val="00F81A53"/>
    <w:rsid w:val="00FA195F"/>
    <w:rsid w:val="00FA5571"/>
    <w:rsid w:val="00FA6454"/>
    <w:rsid w:val="00FA761D"/>
    <w:rsid w:val="00FB0AC7"/>
    <w:rsid w:val="00FB14AC"/>
    <w:rsid w:val="00FC01B9"/>
    <w:rsid w:val="00FC09BA"/>
    <w:rsid w:val="00FC31C6"/>
    <w:rsid w:val="00FD0537"/>
    <w:rsid w:val="00FD589A"/>
    <w:rsid w:val="00FD6EF3"/>
    <w:rsid w:val="00FE311A"/>
    <w:rsid w:val="00FE3A13"/>
    <w:rsid w:val="00FE6E10"/>
    <w:rsid w:val="00FF17AD"/>
    <w:rsid w:val="00FF2462"/>
    <w:rsid w:val="00FF6B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5BDA"/>
  <w15:docId w15:val="{4F7CB3F7-7222-4A16-8831-2372D418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4205DF"/>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19"/>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39"/>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39"/>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39"/>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39"/>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39"/>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39"/>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val="fr-FR"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val="fr-FR"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val="fr-FR" w:eastAsia="fr-FR"/>
    </w:rPr>
  </w:style>
  <w:style w:type="paragraph" w:customStyle="1" w:styleId="NIVtableau">
    <w:name w:val="NIV_tableau"/>
    <w:link w:val="NIVtableauCar"/>
    <w:qFormat/>
    <w:rsid w:val="00826D85"/>
    <w:pPr>
      <w:spacing w:before="0" w:after="0" w:line="240" w:lineRule="auto"/>
    </w:pPr>
    <w:rPr>
      <w:rFonts w:ascii="Arial" w:hAnsi="Arial" w:cs="Arial"/>
      <w:bCs/>
      <w:color w:val="000000" w:themeColor="text1"/>
      <w:sz w:val="18"/>
      <w:szCs w:val="20"/>
    </w:rPr>
  </w:style>
  <w:style w:type="character" w:customStyle="1" w:styleId="NIVtableauCar">
    <w:name w:val="NIV_tableau Car"/>
    <w:basedOn w:val="Policepardfaut"/>
    <w:link w:val="NIVtableau"/>
    <w:rsid w:val="00826D85"/>
    <w:rPr>
      <w:rFonts w:ascii="Arial" w:hAnsi="Arial" w:cs="Arial"/>
      <w:bCs/>
      <w:color w:val="000000" w:themeColor="text1"/>
      <w:sz w:val="18"/>
      <w:szCs w:val="20"/>
    </w:rPr>
  </w:style>
  <w:style w:type="paragraph" w:customStyle="1" w:styleId="FRNIVTableauSoustitre">
    <w:name w:val="FR_NIV_Tableau_Soustitre"/>
    <w:basedOn w:val="Normal"/>
    <w:qFormat/>
    <w:rsid w:val="00826D85"/>
    <w:pPr>
      <w:spacing w:before="0" w:after="0" w:line="240" w:lineRule="auto"/>
    </w:pPr>
    <w:rPr>
      <w:rFonts w:ascii="Arial" w:hAnsi="Arial" w:cs="Arial"/>
      <w:bCs/>
      <w:color w:val="777777" w:themeColor="text2"/>
      <w:sz w:val="20"/>
      <w:szCs w:val="20"/>
    </w:rPr>
  </w:style>
  <w:style w:type="table" w:customStyle="1" w:styleId="EtatFribourg">
    <w:name w:val="Etat Fribourg"/>
    <w:basedOn w:val="TableauNormal"/>
    <w:uiPriority w:val="99"/>
    <w:rsid w:val="00826D85"/>
    <w:pPr>
      <w:spacing w:before="0" w:after="0" w:line="240" w:lineRule="auto"/>
    </w:pPr>
    <w:rPr>
      <w:rFonts w:ascii="Arial" w:eastAsia="Times New Roman" w:hAnsi="Arial" w:cs="Times New Roman"/>
      <w:sz w:val="18"/>
      <w:szCs w:val="20"/>
      <w:lang w:eastAsia="fr-CH"/>
    </w:rPr>
    <w:tblPr>
      <w:tblBorders>
        <w:top w:val="single" w:sz="4" w:space="0" w:color="CCEAE6" w:themeColor="accent1"/>
        <w:bottom w:val="single" w:sz="4" w:space="0" w:color="CCEAE6" w:themeColor="accent1"/>
        <w:insideH w:val="single" w:sz="4" w:space="0" w:color="CCEAE6" w:themeColor="accent1"/>
      </w:tblBorders>
    </w:tblPr>
    <w:tblStylePr w:type="firstRow">
      <w:rPr>
        <w:rFonts w:ascii="Arial" w:hAnsi="Arial"/>
        <w:b/>
        <w:i w:val="0"/>
        <w:color w:val="777777" w:themeColor="text2"/>
        <w:sz w:val="20"/>
      </w:rPr>
    </w:tblStylePr>
    <w:tblStylePr w:type="lastRow">
      <w:rPr>
        <w:rFonts w:ascii="Arial" w:hAnsi="Arial"/>
        <w:color w:val="777777" w:themeColor="text2"/>
        <w:sz w:val="20"/>
      </w:rPr>
    </w:tblStylePr>
  </w:style>
  <w:style w:type="paragraph" w:customStyle="1" w:styleId="NIVtableauSoustitrealigndroite">
    <w:name w:val="NIV_tableau_Soustitre_aligné_droite"/>
    <w:basedOn w:val="FRNIVTableauSoustitre"/>
    <w:qFormat/>
    <w:rsid w:val="00826D85"/>
    <w:pPr>
      <w:ind w:right="57"/>
      <w:jc w:val="right"/>
    </w:pPr>
    <w:rPr>
      <w:lang w:eastAsia="fr-CH"/>
    </w:rPr>
  </w:style>
  <w:style w:type="paragraph" w:customStyle="1" w:styleId="NIVtableauchiffres">
    <w:name w:val="NIV_tableau_chiffres"/>
    <w:basedOn w:val="NIVtableau"/>
    <w:qFormat/>
    <w:rsid w:val="00826D85"/>
    <w:pPr>
      <w:ind w:right="57"/>
      <w:jc w:val="right"/>
    </w:pPr>
  </w:style>
  <w:style w:type="paragraph" w:customStyle="1" w:styleId="NIVtableauunits">
    <w:name w:val="NIV_tableau_unités"/>
    <w:basedOn w:val="NIVtableau"/>
    <w:qFormat/>
    <w:rsid w:val="00826D85"/>
    <w:pPr>
      <w:ind w:right="57"/>
      <w:jc w:val="right"/>
    </w:pPr>
    <w:rPr>
      <w:color w:val="777777" w:themeColor="text2"/>
    </w:rPr>
  </w:style>
  <w:style w:type="paragraph" w:customStyle="1" w:styleId="Default">
    <w:name w:val="Default"/>
    <w:rsid w:val="00144B31"/>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DecimalAligned">
    <w:name w:val="Decimal Aligned"/>
    <w:basedOn w:val="Normal"/>
    <w:uiPriority w:val="40"/>
    <w:qFormat/>
    <w:rsid w:val="00D005E4"/>
    <w:pPr>
      <w:tabs>
        <w:tab w:val="decimal" w:pos="360"/>
      </w:tabs>
      <w:spacing w:before="0" w:after="200" w:line="276" w:lineRule="auto"/>
    </w:pPr>
    <w:rPr>
      <w:rFonts w:eastAsiaTheme="minorEastAsia" w:cs="Times New Roman"/>
      <w:sz w:val="22"/>
      <w:szCs w:val="22"/>
      <w:lang w:eastAsia="fr-CH"/>
    </w:rPr>
  </w:style>
  <w:style w:type="table" w:styleId="Tramemoyenne2-Accent5">
    <w:name w:val="Medium Shading 2 Accent 5"/>
    <w:basedOn w:val="TableauNormal"/>
    <w:uiPriority w:val="64"/>
    <w:rsid w:val="00D005E4"/>
    <w:pPr>
      <w:spacing w:before="0" w:after="0" w:line="240" w:lineRule="auto"/>
    </w:pPr>
    <w:rPr>
      <w:rFonts w:eastAsiaTheme="minorEastAsia"/>
      <w:sz w:val="22"/>
      <w:szCs w:val="22"/>
      <w:lang w:eastAsia="fr-CH"/>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1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1A" w:themeFill="accent5"/>
      </w:tcPr>
    </w:tblStylePr>
    <w:tblStylePr w:type="lastCol">
      <w:rPr>
        <w:b/>
        <w:bCs/>
        <w:color w:val="FFFFFF" w:themeColor="background1"/>
      </w:rPr>
      <w:tblPr/>
      <w:tcPr>
        <w:tcBorders>
          <w:left w:val="nil"/>
          <w:right w:val="nil"/>
          <w:insideH w:val="nil"/>
          <w:insideV w:val="nil"/>
        </w:tcBorders>
        <w:shd w:val="clear" w:color="auto" w:fill="001E1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laire-Accent1">
    <w:name w:val="Light Shading Accent 1"/>
    <w:basedOn w:val="TableauNormal"/>
    <w:uiPriority w:val="60"/>
    <w:rsid w:val="00D005E4"/>
    <w:pPr>
      <w:spacing w:before="0" w:after="0" w:line="240" w:lineRule="auto"/>
    </w:pPr>
    <w:rPr>
      <w:rFonts w:eastAsiaTheme="minorEastAsia"/>
      <w:color w:val="7ECABF" w:themeColor="accent1" w:themeShade="BF"/>
      <w:sz w:val="22"/>
      <w:szCs w:val="22"/>
      <w:lang w:eastAsia="fr-CH"/>
    </w:rPr>
    <w:tblPr>
      <w:tblStyleRowBandSize w:val="1"/>
      <w:tblStyleColBandSize w:val="1"/>
      <w:tblBorders>
        <w:top w:val="single" w:sz="8" w:space="0" w:color="CCEAE6" w:themeColor="accent1"/>
        <w:bottom w:val="single" w:sz="8" w:space="0" w:color="CCEAE6" w:themeColor="accent1"/>
      </w:tblBorders>
    </w:tblPr>
    <w:tblStylePr w:type="firstRow">
      <w:pPr>
        <w:spacing w:before="0" w:after="0" w:line="240" w:lineRule="auto"/>
      </w:pPr>
      <w:rPr>
        <w:b/>
        <w:bCs/>
      </w:rPr>
      <w:tblPr/>
      <w:tcPr>
        <w:tcBorders>
          <w:top w:val="single" w:sz="8" w:space="0" w:color="CCEAE6" w:themeColor="accent1"/>
          <w:left w:val="nil"/>
          <w:bottom w:val="single" w:sz="8" w:space="0" w:color="CCEAE6" w:themeColor="accent1"/>
          <w:right w:val="nil"/>
          <w:insideH w:val="nil"/>
          <w:insideV w:val="nil"/>
        </w:tcBorders>
      </w:tcPr>
    </w:tblStylePr>
    <w:tblStylePr w:type="lastRow">
      <w:pPr>
        <w:spacing w:before="0" w:after="0" w:line="240" w:lineRule="auto"/>
      </w:pPr>
      <w:rPr>
        <w:b/>
        <w:bCs/>
      </w:rPr>
      <w:tblPr/>
      <w:tcPr>
        <w:tcBorders>
          <w:top w:val="single" w:sz="8" w:space="0" w:color="CCEAE6" w:themeColor="accent1"/>
          <w:left w:val="nil"/>
          <w:bottom w:val="single" w:sz="8" w:space="0" w:color="CCEAE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8" w:themeFill="accent1" w:themeFillTint="3F"/>
      </w:tcPr>
    </w:tblStylePr>
    <w:tblStylePr w:type="band1Horz">
      <w:tblPr/>
      <w:tcPr>
        <w:tcBorders>
          <w:left w:val="nil"/>
          <w:right w:val="nil"/>
          <w:insideH w:val="nil"/>
          <w:insideV w:val="nil"/>
        </w:tcBorders>
        <w:shd w:val="clear" w:color="auto" w:fill="F2F9F8" w:themeFill="accent1" w:themeFillTint="3F"/>
      </w:tcPr>
    </w:tblStylePr>
  </w:style>
  <w:style w:type="paragraph" w:customStyle="1" w:styleId="08puces">
    <w:name w:val="08_puces"/>
    <w:qFormat/>
    <w:rsid w:val="001527E4"/>
    <w:pPr>
      <w:numPr>
        <w:numId w:val="35"/>
      </w:numPr>
      <w:spacing w:before="0" w:after="0" w:line="280" w:lineRule="exact"/>
      <w:ind w:left="227" w:hanging="227"/>
    </w:pPr>
    <w:rPr>
      <w:rFonts w:ascii="Times New Roman" w:eastAsia="Times New Roman" w:hAnsi="Times New Roman" w:cs="Times New Roman"/>
      <w:sz w:val="24"/>
      <w:szCs w:val="24"/>
      <w:lang w:eastAsia="fr-FR"/>
    </w:rPr>
  </w:style>
  <w:style w:type="paragraph" w:customStyle="1" w:styleId="07atexteprincipal">
    <w:name w:val="07a_texte_principal"/>
    <w:qFormat/>
    <w:rsid w:val="0008753A"/>
    <w:pPr>
      <w:spacing w:before="0" w:after="180" w:line="280" w:lineRule="exact"/>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unhideWhenUsed/>
    <w:rsid w:val="007D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6187">
      <w:bodyDiv w:val="1"/>
      <w:marLeft w:val="0"/>
      <w:marRight w:val="0"/>
      <w:marTop w:val="0"/>
      <w:marBottom w:val="0"/>
      <w:divBdr>
        <w:top w:val="none" w:sz="0" w:space="0" w:color="auto"/>
        <w:left w:val="none" w:sz="0" w:space="0" w:color="auto"/>
        <w:bottom w:val="none" w:sz="0" w:space="0" w:color="auto"/>
        <w:right w:val="none" w:sz="0" w:space="0" w:color="auto"/>
      </w:divBdr>
    </w:div>
    <w:div w:id="974335351">
      <w:bodyDiv w:val="1"/>
      <w:marLeft w:val="0"/>
      <w:marRight w:val="0"/>
      <w:marTop w:val="0"/>
      <w:marBottom w:val="0"/>
      <w:divBdr>
        <w:top w:val="none" w:sz="0" w:space="0" w:color="auto"/>
        <w:left w:val="none" w:sz="0" w:space="0" w:color="auto"/>
        <w:bottom w:val="none" w:sz="0" w:space="0" w:color="auto"/>
        <w:right w:val="none" w:sz="0" w:space="0" w:color="auto"/>
      </w:divBdr>
    </w:div>
    <w:div w:id="982125977">
      <w:bodyDiv w:val="1"/>
      <w:marLeft w:val="0"/>
      <w:marRight w:val="0"/>
      <w:marTop w:val="0"/>
      <w:marBottom w:val="0"/>
      <w:divBdr>
        <w:top w:val="none" w:sz="0" w:space="0" w:color="auto"/>
        <w:left w:val="none" w:sz="0" w:space="0" w:color="auto"/>
        <w:bottom w:val="none" w:sz="0" w:space="0" w:color="auto"/>
        <w:right w:val="none" w:sz="0" w:space="0" w:color="auto"/>
      </w:divBdr>
    </w:div>
    <w:div w:id="1286690191">
      <w:bodyDiv w:val="1"/>
      <w:marLeft w:val="0"/>
      <w:marRight w:val="0"/>
      <w:marTop w:val="0"/>
      <w:marBottom w:val="0"/>
      <w:divBdr>
        <w:top w:val="none" w:sz="0" w:space="0" w:color="auto"/>
        <w:left w:val="none" w:sz="0" w:space="0" w:color="auto"/>
        <w:bottom w:val="none" w:sz="0" w:space="0" w:color="auto"/>
        <w:right w:val="none" w:sz="0" w:space="0" w:color="auto"/>
      </w:divBdr>
    </w:div>
    <w:div w:id="1502116322">
      <w:bodyDiv w:val="1"/>
      <w:marLeft w:val="0"/>
      <w:marRight w:val="0"/>
      <w:marTop w:val="0"/>
      <w:marBottom w:val="0"/>
      <w:divBdr>
        <w:top w:val="none" w:sz="0" w:space="0" w:color="auto"/>
        <w:left w:val="none" w:sz="0" w:space="0" w:color="auto"/>
        <w:bottom w:val="none" w:sz="0" w:space="0" w:color="auto"/>
        <w:right w:val="none" w:sz="0" w:space="0" w:color="auto"/>
      </w:divBdr>
    </w:div>
    <w:div w:id="17049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ch/dfin/actualites/confirmation-des-incidences-positives-du-programme-de-mesures-structurelles-et-deconomies-2013-2016-sur-les-commu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389042918931E-2"/>
          <c:y val="5.1579855334984534E-2"/>
          <c:w val="0.83368055555555565"/>
          <c:h val="0.80808080808080829"/>
        </c:manualLayout>
      </c:layout>
      <c:lineChart>
        <c:grouping val="standard"/>
        <c:varyColors val="0"/>
        <c:ser>
          <c:idx val="0"/>
          <c:order val="0"/>
          <c:tx>
            <c:strRef>
              <c:f>'Données 1'!$A$24</c:f>
              <c:strCache>
                <c:ptCount val="1"/>
                <c:pt idx="0">
                  <c:v>Charges</c:v>
                </c:pt>
              </c:strCache>
            </c:strRef>
          </c:tx>
          <c:spPr>
            <a:ln w="25400">
              <a:solidFill>
                <a:srgbClr val="B299DF"/>
              </a:solidFill>
              <a:prstDash val="solid"/>
            </a:ln>
          </c:spPr>
          <c:marker>
            <c:symbol val="diamond"/>
            <c:size val="7"/>
            <c:spPr>
              <a:solidFill>
                <a:srgbClr val="B299DF"/>
              </a:solidFill>
              <a:ln>
                <a:solidFill>
                  <a:srgbClr val="B299DF"/>
                </a:solidFill>
                <a:prstDash val="solid"/>
              </a:ln>
            </c:spPr>
          </c:marker>
          <c:dLbls>
            <c:dLbl>
              <c:idx val="0"/>
              <c:layout>
                <c:manualLayout>
                  <c:x val="-1.3588074676149352E-2"/>
                  <c:y val="-9.8217498518330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A7-4CDB-87C1-9941167AFEE3}"/>
                </c:ext>
              </c:extLst>
            </c:dLbl>
            <c:dLbl>
              <c:idx val="1"/>
              <c:layout>
                <c:manualLayout>
                  <c:x val="-6.6293973837947717E-2"/>
                  <c:y val="-3.95581978663957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A7-4CDB-87C1-9941167AFEE3}"/>
                </c:ext>
              </c:extLst>
            </c:dLbl>
            <c:dLbl>
              <c:idx val="2"/>
              <c:layout>
                <c:manualLayout>
                  <c:x val="-5.3724150678348306E-2"/>
                  <c:y val="-4.034675243059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A7-4CDB-87C1-9941167AFEE3}"/>
                </c:ext>
              </c:extLst>
            </c:dLbl>
            <c:dLbl>
              <c:idx val="3"/>
              <c:layout>
                <c:manualLayout>
                  <c:x val="-5.3179993345902184E-2"/>
                  <c:y val="-3.8663019235271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A7-4CDB-87C1-9941167AFEE3}"/>
                </c:ext>
              </c:extLst>
            </c:dLbl>
            <c:dLbl>
              <c:idx val="4"/>
              <c:layout>
                <c:manualLayout>
                  <c:x val="8.2510812908949757E-5"/>
                  <c:y val="-2.783630919374514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A7-4CDB-87C1-9941167AFEE3}"/>
                </c:ext>
              </c:extLst>
            </c:dLbl>
            <c:numFmt formatCode="0.0" sourceLinked="0"/>
            <c:spPr>
              <a:noFill/>
              <a:ln w="25400">
                <a:noFill/>
              </a:ln>
            </c:spPr>
            <c:txPr>
              <a:bodyPr/>
              <a:lstStyle/>
              <a:p>
                <a:pPr>
                  <a:defRPr sz="800" b="0" i="0" u="none" strike="noStrike" baseline="0">
                    <a:solidFill>
                      <a:srgbClr val="000000"/>
                    </a:solidFill>
                    <a:latin typeface="Arial"/>
                    <a:ea typeface="Arial"/>
                    <a:cs typeface="Arial"/>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'Données 1'!$C$22:$F$22</c:f>
              <c:strCache>
                <c:ptCount val="4"/>
                <c:pt idx="0">
                  <c:v>B25</c:v>
                </c:pt>
                <c:pt idx="1">
                  <c:v>PF26</c:v>
                </c:pt>
                <c:pt idx="2">
                  <c:v>PF27</c:v>
                </c:pt>
                <c:pt idx="3">
                  <c:v>PF28</c:v>
                </c:pt>
              </c:strCache>
            </c:strRef>
          </c:cat>
          <c:val>
            <c:numRef>
              <c:f>'Données 1'!$C$24:$F$24</c:f>
              <c:numCache>
                <c:formatCode>0.0</c:formatCode>
                <c:ptCount val="4"/>
                <c:pt idx="0">
                  <c:v>4326.1000000000004</c:v>
                </c:pt>
                <c:pt idx="1">
                  <c:v>4556.5</c:v>
                </c:pt>
                <c:pt idx="2">
                  <c:v>4740.8999999999996</c:v>
                </c:pt>
                <c:pt idx="3">
                  <c:v>4790.3999999999996</c:v>
                </c:pt>
              </c:numCache>
            </c:numRef>
          </c:val>
          <c:smooth val="0"/>
          <c:extLst>
            <c:ext xmlns:c16="http://schemas.microsoft.com/office/drawing/2014/chart" uri="{C3380CC4-5D6E-409C-BE32-E72D297353CC}">
              <c16:uniqueId val="{00000005-18A7-4CDB-87C1-9941167AFEE3}"/>
            </c:ext>
          </c:extLst>
        </c:ser>
        <c:ser>
          <c:idx val="1"/>
          <c:order val="1"/>
          <c:tx>
            <c:strRef>
              <c:f>'Données 1'!$A$25</c:f>
              <c:strCache>
                <c:ptCount val="1"/>
                <c:pt idx="0">
                  <c:v>Revenus</c:v>
                </c:pt>
              </c:strCache>
            </c:strRef>
          </c:tx>
          <c:spPr>
            <a:ln w="25400">
              <a:solidFill>
                <a:srgbClr val="6639B7"/>
              </a:solidFill>
              <a:prstDash val="solid"/>
            </a:ln>
          </c:spPr>
          <c:marker>
            <c:symbol val="square"/>
            <c:size val="7"/>
            <c:spPr>
              <a:solidFill>
                <a:srgbClr val="6639B7"/>
              </a:solidFill>
              <a:ln>
                <a:solidFill>
                  <a:srgbClr val="6639B7"/>
                </a:solidFill>
                <a:prstDash val="solid"/>
              </a:ln>
            </c:spPr>
          </c:marker>
          <c:dLbls>
            <c:dLbl>
              <c:idx val="0"/>
              <c:layout>
                <c:manualLayout>
                  <c:x val="2.2535211267605635E-2"/>
                  <c:y val="9.38967136150234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A7-4CDB-87C1-9941167AFEE3}"/>
                </c:ext>
              </c:extLst>
            </c:dLbl>
            <c:dLbl>
              <c:idx val="1"/>
              <c:layout>
                <c:manualLayout>
                  <c:x val="-6.4505175260350558E-2"/>
                  <c:y val="-4.09933007366014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A7-4CDB-87C1-9941167AFEE3}"/>
                </c:ext>
              </c:extLst>
            </c:dLbl>
            <c:dLbl>
              <c:idx val="2"/>
              <c:layout>
                <c:manualLayout>
                  <c:x val="-2.5885179845477061E-2"/>
                  <c:y val="4.27390238192057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A7-4CDB-87C1-9941167AFEE3}"/>
                </c:ext>
              </c:extLst>
            </c:dLbl>
            <c:dLbl>
              <c:idx val="3"/>
              <c:layout>
                <c:manualLayout>
                  <c:x val="-3.2211896048205242E-2"/>
                  <c:y val="4.1994504208100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A7-4CDB-87C1-9941167AFEE3}"/>
                </c:ext>
              </c:extLst>
            </c:dLbl>
            <c:dLbl>
              <c:idx val="4"/>
              <c:layout>
                <c:manualLayout>
                  <c:x val="-1.1888654763225019E-4"/>
                  <c:y val="2.117481793649033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A7-4CDB-87C1-9941167AFEE3}"/>
                </c:ext>
              </c:extLst>
            </c:dLbl>
            <c:numFmt formatCode="0.0" sourceLinked="0"/>
            <c:spPr>
              <a:solidFill>
                <a:sysClr val="window" lastClr="FFFFFF"/>
              </a:solidFill>
              <a:ln w="25400">
                <a:noFill/>
              </a:ln>
              <a:effectLst/>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'Données 1'!$C$22:$F$22</c:f>
              <c:strCache>
                <c:ptCount val="4"/>
                <c:pt idx="0">
                  <c:v>B25</c:v>
                </c:pt>
                <c:pt idx="1">
                  <c:v>PF26</c:v>
                </c:pt>
                <c:pt idx="2">
                  <c:v>PF27</c:v>
                </c:pt>
                <c:pt idx="3">
                  <c:v>PF28</c:v>
                </c:pt>
              </c:strCache>
            </c:strRef>
          </c:cat>
          <c:val>
            <c:numRef>
              <c:f>'Données 1'!$C$25:$F$25</c:f>
              <c:numCache>
                <c:formatCode>0.0</c:formatCode>
                <c:ptCount val="4"/>
                <c:pt idx="0">
                  <c:v>4326.8</c:v>
                </c:pt>
                <c:pt idx="1">
                  <c:v>4409.3999999999996</c:v>
                </c:pt>
                <c:pt idx="2">
                  <c:v>4590.3999999999996</c:v>
                </c:pt>
                <c:pt idx="3">
                  <c:v>4651.3999999999996</c:v>
                </c:pt>
              </c:numCache>
            </c:numRef>
          </c:val>
          <c:smooth val="0"/>
          <c:extLst>
            <c:ext xmlns:c16="http://schemas.microsoft.com/office/drawing/2014/chart" uri="{C3380CC4-5D6E-409C-BE32-E72D297353CC}">
              <c16:uniqueId val="{0000000B-18A7-4CDB-87C1-9941167AFEE3}"/>
            </c:ext>
          </c:extLst>
        </c:ser>
        <c:dLbls>
          <c:showLegendKey val="0"/>
          <c:showVal val="0"/>
          <c:showCatName val="0"/>
          <c:showSerName val="0"/>
          <c:showPercent val="0"/>
          <c:showBubbleSize val="0"/>
        </c:dLbls>
        <c:marker val="1"/>
        <c:smooth val="0"/>
        <c:axId val="153489792"/>
        <c:axId val="153491328"/>
      </c:lineChart>
      <c:catAx>
        <c:axId val="153489792"/>
        <c:scaling>
          <c:orientation val="minMax"/>
        </c:scaling>
        <c:delete val="0"/>
        <c:axPos val="b"/>
        <c:numFmt formatCode="General" sourceLinked="1"/>
        <c:majorTickMark val="none"/>
        <c:minorTickMark val="none"/>
        <c:tickLblPos val="low"/>
        <c:spPr>
          <a:ln w="12700">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fr-FR"/>
          </a:p>
        </c:txPr>
        <c:crossAx val="153491328"/>
        <c:crosses val="autoZero"/>
        <c:auto val="1"/>
        <c:lblAlgn val="ctr"/>
        <c:lblOffset val="100"/>
        <c:tickLblSkip val="1"/>
        <c:tickMarkSkip val="1"/>
        <c:noMultiLvlLbl val="0"/>
      </c:catAx>
      <c:valAx>
        <c:axId val="153491328"/>
        <c:scaling>
          <c:orientation val="minMax"/>
          <c:max val="4800"/>
          <c:min val="4300"/>
        </c:scaling>
        <c:delete val="0"/>
        <c:axPos val="l"/>
        <c:majorGridlines>
          <c:spPr>
            <a:ln w="3175">
              <a:solidFill>
                <a:schemeClr val="bg1">
                  <a:lumMod val="75000"/>
                </a:schemeClr>
              </a:solidFill>
              <a:prstDash val="solid"/>
            </a:ln>
          </c:spPr>
        </c:majorGridlines>
        <c:numFmt formatCode="0" sourceLinked="0"/>
        <c:majorTickMark val="out"/>
        <c:minorTickMark val="none"/>
        <c:tickLblPos val="nextTo"/>
        <c:spPr>
          <a:ln w="9525">
            <a:noFill/>
          </a:ln>
        </c:spPr>
        <c:txPr>
          <a:bodyPr rot="0" vert="horz"/>
          <a:lstStyle/>
          <a:p>
            <a:pPr>
              <a:defRPr sz="800" b="0" i="0" u="none" strike="noStrike" baseline="0">
                <a:solidFill>
                  <a:srgbClr val="000000"/>
                </a:solidFill>
                <a:latin typeface="Arial"/>
                <a:ea typeface="Arial"/>
                <a:cs typeface="Arial"/>
              </a:defRPr>
            </a:pPr>
            <a:endParaRPr lang="fr-FR"/>
          </a:p>
        </c:txPr>
        <c:crossAx val="153489792"/>
        <c:crosses val="autoZero"/>
        <c:crossBetween val="midCat"/>
        <c:majorUnit val="50"/>
      </c:valAx>
      <c:spPr>
        <a:noFill/>
        <a:ln w="25400">
          <a:noFill/>
        </a:ln>
      </c:spPr>
    </c:plotArea>
    <c:legend>
      <c:legendPos val="b"/>
      <c:layout>
        <c:manualLayout>
          <c:xMode val="edge"/>
          <c:yMode val="edge"/>
          <c:x val="0.14119581531181841"/>
          <c:y val="0.92278067354256776"/>
          <c:w val="0.62558959003364012"/>
          <c:h val="6.6470247557083528E-2"/>
        </c:manualLayout>
      </c:layout>
      <c:overlay val="0"/>
      <c:spPr>
        <a:solidFill>
          <a:srgbClr val="FFFFFF"/>
        </a:solidFill>
        <a:ln w="25400">
          <a:noFill/>
        </a:ln>
      </c:spPr>
      <c:txPr>
        <a:bodyPr/>
        <a:lstStyle/>
        <a:p>
          <a:pPr>
            <a:defRPr sz="845" b="0" i="0" u="none" strike="noStrike" baseline="0">
              <a:solidFill>
                <a:srgbClr val="000000"/>
              </a:solidFill>
              <a:latin typeface="Arial"/>
              <a:ea typeface="Arial"/>
              <a:cs typeface="Arial"/>
            </a:defRPr>
          </a:pPr>
          <a:endParaRPr lang="fr-FR"/>
        </a:p>
      </c:txPr>
    </c:legend>
    <c:plotVisOnly val="1"/>
    <c:dispBlanksAs val="gap"/>
    <c:showDLblsOverMax val="0"/>
  </c:chart>
  <c:spPr>
    <a:solidFill>
      <a:schemeClr val="bg1"/>
    </a:solidFill>
    <a:ln w="9525">
      <a:noFill/>
    </a:ln>
  </c:spPr>
  <c:txPr>
    <a:bodyPr/>
    <a:lstStyle/>
    <a:p>
      <a:pPr>
        <a:defRPr sz="1000" b="0" i="0" u="none" strike="noStrike" baseline="0">
          <a:solidFill>
            <a:srgbClr val="000000"/>
          </a:solidFill>
          <a:latin typeface="Arial"/>
          <a:ea typeface="Arial"/>
          <a:cs typeface="Arial"/>
        </a:defRPr>
      </a:pPr>
      <a:endParaRPr lang="fr-F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0.05758</cdr:x>
      <cdr:y>0.01147</cdr:y>
    </cdr:from>
    <cdr:to>
      <cdr:x>0.12676</cdr:x>
      <cdr:y>0.0446</cdr:y>
    </cdr:to>
    <cdr:sp macro="" textlink="">
      <cdr:nvSpPr>
        <cdr:cNvPr id="2049" name="Text Box 1"/>
        <cdr:cNvSpPr txBox="1">
          <a:spLocks xmlns:a="http://schemas.openxmlformats.org/drawingml/2006/main" noChangeArrowheads="1"/>
        </cdr:cNvSpPr>
      </cdr:nvSpPr>
      <cdr:spPr bwMode="auto">
        <a:xfrm xmlns:a="http://schemas.openxmlformats.org/drawingml/2006/main">
          <a:off x="389409" y="46534"/>
          <a:ext cx="467841" cy="13444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fr-CH" sz="700" b="0" i="0" u="none" strike="noStrike" baseline="0">
              <a:solidFill>
                <a:srgbClr val="000000"/>
              </a:solidFill>
              <a:latin typeface="Arial"/>
              <a:cs typeface="Arial"/>
            </a:rPr>
            <a:t>mios/Mio.</a:t>
          </a:r>
        </a:p>
      </cdr:txBody>
    </cdr:sp>
  </cdr:relSizeAnchor>
</c:userShape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0E6420F78FFB48AE0EA7E03E71724E" ma:contentTypeVersion="2" ma:contentTypeDescription="Crée un document." ma:contentTypeScope="" ma:versionID="9c101b193da6ff7524eceb0f88213492">
  <xsd:schema xmlns:xsd="http://www.w3.org/2001/XMLSchema" xmlns:xs="http://www.w3.org/2001/XMLSchema" xmlns:p="http://schemas.microsoft.com/office/2006/metadata/properties" xmlns:ns2="0b66ecae-dd63-42c5-b151-64c934803fae" targetNamespace="http://schemas.microsoft.com/office/2006/metadata/properties" ma:root="true" ma:fieldsID="4f95caf217f3dbd1eb4130b51f71a8cc" ns2:_="">
    <xsd:import namespace="0b66ecae-dd63-42c5-b151-64c934803f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ecae-dd63-42c5-b151-64c93480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3EE88-7075-4E1A-9F93-9539ABA9D51D}">
  <ds:schemaRefs>
    <ds:schemaRef ds:uri="http://schemas.microsoft.com/sharepoint/v3/contenttype/forms"/>
  </ds:schemaRefs>
</ds:datastoreItem>
</file>

<file path=customXml/itemProps3.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E4CE2-8E5B-44B4-B5F3-E3222406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fr_RGC_</Template>
  <TotalTime>0</TotalTime>
  <Pages>62</Pages>
  <Words>31084</Words>
  <Characters>170964</Characters>
  <Application>Microsoft Office Word</Application>
  <DocSecurity>4</DocSecurity>
  <Lines>1424</Lines>
  <Paragraphs>403</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201645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Dépraz Cédric</dc:creator>
  <cp:lastModifiedBy>Gaudiano Fabrice</cp:lastModifiedBy>
  <cp:revision>2</cp:revision>
  <cp:lastPrinted>2025-04-03T08:13:00Z</cp:lastPrinted>
  <dcterms:created xsi:type="dcterms:W3CDTF">2025-04-30T05:10:00Z</dcterms:created>
  <dcterms:modified xsi:type="dcterms:W3CDTF">2025-04-30T05:10:00Z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