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6546B" w14:textId="6B568CDD" w:rsidR="009E1AF4" w:rsidRDefault="00C17504" w:rsidP="00FD0818">
      <w:pPr>
        <w:jc w:val="right"/>
      </w:pPr>
      <w:r w:rsidRPr="00C92101">
        <w:t>DFIN</w:t>
      </w:r>
      <w:r w:rsidR="009E1AF4" w:rsidRPr="00C92101">
        <w:t>/</w:t>
      </w:r>
      <w:r w:rsidRPr="00C92101">
        <w:t>Avant-p</w:t>
      </w:r>
      <w:r w:rsidR="009E1AF4" w:rsidRPr="00C92101">
        <w:t xml:space="preserve">rojet du </w:t>
      </w:r>
      <w:r w:rsidR="004A2A78">
        <w:t>18</w:t>
      </w:r>
      <w:r w:rsidRPr="00C92101">
        <w:t>.03.2024</w:t>
      </w:r>
    </w:p>
    <w:p w14:paraId="04C14A8B" w14:textId="714B9A42" w:rsidR="009E1AF4" w:rsidRPr="00FC7F16" w:rsidRDefault="009E1AF4" w:rsidP="00FC7F16">
      <w:pPr>
        <w:pStyle w:val="05titreprincipalouobjetgras"/>
        <w:tabs>
          <w:tab w:val="right" w:pos="9920"/>
        </w:tabs>
      </w:pPr>
      <w:r>
        <w:t>Rapport</w:t>
      </w:r>
      <w:r w:rsidR="008C064E">
        <w:t xml:space="preserve"> explicatif</w:t>
      </w:r>
      <w:r w:rsidRPr="00FC7F16">
        <w:t xml:space="preserve"> </w:t>
      </w:r>
      <w:r w:rsidR="005907D2">
        <w:fldChar w:fldCharType="begin"/>
      </w:r>
      <w:r w:rsidR="005907D2">
        <w:instrText xml:space="preserve"> COMMENTS "2023-DFIN-54" PATH=Dokument/Geschaeft/*[name()='Geschaeft']/Signatur  \* MERGEFORMAT</w:instrText>
      </w:r>
      <w:r w:rsidR="005907D2">
        <w:fldChar w:fldCharType="separate"/>
      </w:r>
      <w:r>
        <w:t>2023-DFIN-54</w:t>
      </w:r>
      <w:r w:rsidR="005907D2">
        <w:fldChar w:fldCharType="end"/>
      </w:r>
      <w:r w:rsidRPr="00FC7F16">
        <w:tab/>
      </w:r>
      <w:r w:rsidR="004A2A78">
        <w:rPr>
          <w:b w:val="0"/>
          <w:bCs/>
          <w:sz w:val="24"/>
        </w:rPr>
        <w:t>18</w:t>
      </w:r>
      <w:r w:rsidR="004A2A78" w:rsidRPr="004F57AA">
        <w:rPr>
          <w:b w:val="0"/>
          <w:bCs/>
          <w:sz w:val="24"/>
        </w:rPr>
        <w:t xml:space="preserve"> </w:t>
      </w:r>
      <w:r w:rsidRPr="004F57AA">
        <w:rPr>
          <w:b w:val="0"/>
          <w:bCs/>
          <w:sz w:val="24"/>
        </w:rPr>
        <w:t>m</w:t>
      </w:r>
      <w:r w:rsidR="00C17504">
        <w:rPr>
          <w:b w:val="0"/>
          <w:bCs/>
          <w:sz w:val="24"/>
        </w:rPr>
        <w:t>ar</w:t>
      </w:r>
      <w:r w:rsidRPr="004F57AA">
        <w:rPr>
          <w:b w:val="0"/>
          <w:bCs/>
          <w:sz w:val="24"/>
        </w:rPr>
        <w:t xml:space="preserve">s </w:t>
      </w:r>
      <w:r w:rsidR="00C17504">
        <w:rPr>
          <w:b w:val="0"/>
          <w:bCs/>
          <w:sz w:val="24"/>
        </w:rPr>
        <w:t>2024</w:t>
      </w:r>
    </w:p>
    <w:p w14:paraId="0655566B" w14:textId="77777777" w:rsidR="009E1AF4" w:rsidRPr="000000BC" w:rsidRDefault="009E1AF4" w:rsidP="000000BC">
      <w:pPr>
        <w:pStyle w:val="05titreprincipalouobjetgras"/>
      </w:pPr>
      <w:r w:rsidRPr="008A20EE">
        <w:t>—</w:t>
      </w:r>
    </w:p>
    <w:p w14:paraId="12E108E3" w14:textId="77777777" w:rsidR="009E1AF4" w:rsidRDefault="009E1AF4" w:rsidP="00461369">
      <w:pPr>
        <w:pStyle w:val="04titreprincipalouobjetnormal"/>
      </w:pPr>
      <w:r w:rsidRPr="004A4C3E">
        <w:rPr>
          <w:rFonts w:cs="Arial"/>
        </w:rPr>
        <w:fldChar w:fldCharType="begin"/>
      </w:r>
      <w:r>
        <w:instrText xml:space="preserve"> COMMENTS "LICD 2025 : révision" PATH=Dokument/Geschaeft/*[name()='Geschaeft']/Titel  \* MERGEFORMAT</w:instrText>
      </w:r>
      <w:r w:rsidRPr="004A4C3E">
        <w:rPr>
          <w:rFonts w:cs="Arial"/>
        </w:rPr>
        <w:fldChar w:fldCharType="separate"/>
      </w:r>
      <w:r w:rsidRPr="004A4C3E">
        <w:rPr>
          <w:rFonts w:cs="Arial"/>
        </w:rPr>
        <w:t>LICD 2025 : révision</w:t>
      </w:r>
      <w:r w:rsidRPr="004A4C3E">
        <w:rPr>
          <w:rFonts w:cs="Arial"/>
        </w:rPr>
        <w:fldChar w:fldCharType="end"/>
      </w:r>
    </w:p>
    <w:p w14:paraId="3F9214F3" w14:textId="62ABCC7D" w:rsidR="00C17504" w:rsidRPr="00C17504" w:rsidRDefault="00C17504" w:rsidP="00C17504">
      <w:pPr>
        <w:rPr>
          <w:i/>
          <w:iCs/>
        </w:rPr>
      </w:pPr>
      <w:r w:rsidRPr="00C17504">
        <w:rPr>
          <w:i/>
          <w:iCs/>
        </w:rPr>
        <w:t xml:space="preserve">Nous vous soumettons en consultation un avant-projet de loi modifiant la loi </w:t>
      </w:r>
      <w:r w:rsidR="00C61304">
        <w:rPr>
          <w:i/>
          <w:iCs/>
        </w:rPr>
        <w:t xml:space="preserve">du 6 juin 2000 </w:t>
      </w:r>
      <w:r w:rsidRPr="00C17504">
        <w:rPr>
          <w:i/>
          <w:iCs/>
        </w:rPr>
        <w:t>sur les impôts cantonaux directs</w:t>
      </w:r>
      <w:r w:rsidR="00550E6A">
        <w:rPr>
          <w:i/>
          <w:iCs/>
        </w:rPr>
        <w:t xml:space="preserve"> (LICD – RSF 631.1)</w:t>
      </w:r>
      <w:r w:rsidRPr="00C17504">
        <w:rPr>
          <w:i/>
          <w:iCs/>
        </w:rPr>
        <w:t xml:space="preserve">. Après une brève introduction, le rapport explique les motifs, l’étendue et les conséquences de la révision. Il commente également les dispositions modifiées. </w:t>
      </w:r>
    </w:p>
    <w:sdt>
      <w:sdtPr>
        <w:rPr>
          <w:rFonts w:asciiTheme="minorHAnsi" w:eastAsiaTheme="minorHAnsi" w:hAnsiTheme="minorHAnsi" w:cstheme="minorBidi"/>
          <w:b w:val="0"/>
          <w:kern w:val="0"/>
          <w:sz w:val="21"/>
          <w:szCs w:val="24"/>
        </w:rPr>
        <w:id w:val="-1372072147"/>
        <w:docPartObj>
          <w:docPartGallery w:val="Table of Contents"/>
          <w:docPartUnique/>
        </w:docPartObj>
      </w:sdtPr>
      <w:sdtEndPr>
        <w:rPr>
          <w:szCs w:val="21"/>
        </w:rPr>
      </w:sdtEndPr>
      <w:sdtContent>
        <w:p w14:paraId="5810108A" w14:textId="77777777" w:rsidR="009E1AF4" w:rsidRDefault="009E1AF4" w:rsidP="00D04CC2">
          <w:pPr>
            <w:pStyle w:val="En-ttedetabledesmatires"/>
            <w:spacing w:before="360"/>
          </w:pPr>
          <w:r>
            <w:t>Table des matières</w:t>
          </w:r>
        </w:p>
        <w:p w14:paraId="7B576EAC" w14:textId="77777777" w:rsidR="009E1AF4" w:rsidRPr="00EA2538" w:rsidRDefault="009E1AF4" w:rsidP="00FD0818">
          <w:pPr>
            <w:pStyle w:val="Tiret"/>
          </w:pPr>
          <w:r>
            <w:t>—</w:t>
          </w:r>
        </w:p>
        <w:p w14:paraId="32AC9B2E" w14:textId="5E78DBCF" w:rsidR="000116C2" w:rsidRDefault="009E1AF4">
          <w:pPr>
            <w:pStyle w:val="TM1"/>
            <w:rPr>
              <w:rFonts w:asciiTheme="minorHAnsi" w:eastAsiaTheme="minorEastAsia" w:hAnsiTheme="minorHAnsi"/>
              <w:b w:val="0"/>
              <w:kern w:val="2"/>
              <w:sz w:val="22"/>
              <w:szCs w:val="22"/>
              <w:lang w:eastAsia="fr-CH"/>
              <w14:ligatures w14:val="standardContextual"/>
            </w:rPr>
          </w:pPr>
          <w:r>
            <w:rPr>
              <w:color w:val="009581" w:themeColor="accent3"/>
            </w:rPr>
            <w:fldChar w:fldCharType="begin"/>
          </w:r>
          <w:r>
            <w:instrText xml:space="preserve"> TOC \o "1-3" \h \z \u </w:instrText>
          </w:r>
          <w:r>
            <w:rPr>
              <w:color w:val="009581" w:themeColor="accent3"/>
            </w:rPr>
            <w:fldChar w:fldCharType="separate"/>
          </w:r>
          <w:hyperlink w:anchor="_Toc159832152" w:history="1">
            <w:r w:rsidR="000116C2" w:rsidRPr="00AE45FA">
              <w:rPr>
                <w:rStyle w:val="Lienhypertexte"/>
              </w:rPr>
              <w:t>1</w:t>
            </w:r>
            <w:r w:rsidR="000116C2">
              <w:rPr>
                <w:rFonts w:asciiTheme="minorHAnsi" w:eastAsiaTheme="minorEastAsia" w:hAnsiTheme="minorHAnsi"/>
                <w:b w:val="0"/>
                <w:kern w:val="2"/>
                <w:sz w:val="22"/>
                <w:szCs w:val="22"/>
                <w:lang w:eastAsia="fr-CH"/>
                <w14:ligatures w14:val="standardContextual"/>
              </w:rPr>
              <w:tab/>
            </w:r>
            <w:r w:rsidR="000116C2" w:rsidRPr="00AE45FA">
              <w:rPr>
                <w:rStyle w:val="Lienhypertexte"/>
              </w:rPr>
              <w:t>Introduction</w:t>
            </w:r>
            <w:r w:rsidR="000116C2">
              <w:rPr>
                <w:webHidden/>
              </w:rPr>
              <w:tab/>
            </w:r>
            <w:r w:rsidR="000116C2">
              <w:rPr>
                <w:webHidden/>
              </w:rPr>
              <w:fldChar w:fldCharType="begin"/>
            </w:r>
            <w:r w:rsidR="000116C2">
              <w:rPr>
                <w:webHidden/>
              </w:rPr>
              <w:instrText xml:space="preserve"> PAGEREF _Toc159832152 \h </w:instrText>
            </w:r>
            <w:r w:rsidR="000116C2">
              <w:rPr>
                <w:webHidden/>
              </w:rPr>
            </w:r>
            <w:r w:rsidR="000116C2">
              <w:rPr>
                <w:webHidden/>
              </w:rPr>
              <w:fldChar w:fldCharType="separate"/>
            </w:r>
            <w:r w:rsidR="000116C2">
              <w:rPr>
                <w:webHidden/>
              </w:rPr>
              <w:t>2</w:t>
            </w:r>
            <w:r w:rsidR="000116C2">
              <w:rPr>
                <w:webHidden/>
              </w:rPr>
              <w:fldChar w:fldCharType="end"/>
            </w:r>
          </w:hyperlink>
        </w:p>
        <w:p w14:paraId="22CA0C21" w14:textId="08483EB7" w:rsidR="000116C2" w:rsidRDefault="005907D2">
          <w:pPr>
            <w:pStyle w:val="TM1"/>
            <w:rPr>
              <w:rFonts w:asciiTheme="minorHAnsi" w:eastAsiaTheme="minorEastAsia" w:hAnsiTheme="minorHAnsi"/>
              <w:b w:val="0"/>
              <w:kern w:val="2"/>
              <w:sz w:val="22"/>
              <w:szCs w:val="22"/>
              <w:lang w:eastAsia="fr-CH"/>
              <w14:ligatures w14:val="standardContextual"/>
            </w:rPr>
          </w:pPr>
          <w:hyperlink w:anchor="_Toc159832153" w:history="1">
            <w:r w:rsidR="000116C2" w:rsidRPr="00AE45FA">
              <w:rPr>
                <w:rStyle w:val="Lienhypertexte"/>
              </w:rPr>
              <w:t>2</w:t>
            </w:r>
            <w:r w:rsidR="000116C2">
              <w:rPr>
                <w:rFonts w:asciiTheme="minorHAnsi" w:eastAsiaTheme="minorEastAsia" w:hAnsiTheme="minorHAnsi"/>
                <w:b w:val="0"/>
                <w:kern w:val="2"/>
                <w:sz w:val="22"/>
                <w:szCs w:val="22"/>
                <w:lang w:eastAsia="fr-CH"/>
                <w14:ligatures w14:val="standardContextual"/>
              </w:rPr>
              <w:tab/>
            </w:r>
            <w:r w:rsidR="000116C2" w:rsidRPr="00AE45FA">
              <w:rPr>
                <w:rStyle w:val="Lienhypertexte"/>
              </w:rPr>
              <w:t>Modifications proposées</w:t>
            </w:r>
            <w:r w:rsidR="000116C2">
              <w:rPr>
                <w:webHidden/>
              </w:rPr>
              <w:tab/>
            </w:r>
            <w:r w:rsidR="000116C2">
              <w:rPr>
                <w:webHidden/>
              </w:rPr>
              <w:fldChar w:fldCharType="begin"/>
            </w:r>
            <w:r w:rsidR="000116C2">
              <w:rPr>
                <w:webHidden/>
              </w:rPr>
              <w:instrText xml:space="preserve"> PAGEREF _Toc159832153 \h </w:instrText>
            </w:r>
            <w:r w:rsidR="000116C2">
              <w:rPr>
                <w:webHidden/>
              </w:rPr>
            </w:r>
            <w:r w:rsidR="000116C2">
              <w:rPr>
                <w:webHidden/>
              </w:rPr>
              <w:fldChar w:fldCharType="separate"/>
            </w:r>
            <w:r w:rsidR="000116C2">
              <w:rPr>
                <w:webHidden/>
              </w:rPr>
              <w:t>2</w:t>
            </w:r>
            <w:r w:rsidR="000116C2">
              <w:rPr>
                <w:webHidden/>
              </w:rPr>
              <w:fldChar w:fldCharType="end"/>
            </w:r>
          </w:hyperlink>
        </w:p>
        <w:p w14:paraId="3C400E5A" w14:textId="77950246" w:rsidR="000116C2" w:rsidRDefault="005907D2">
          <w:pPr>
            <w:pStyle w:val="TM2"/>
            <w:tabs>
              <w:tab w:val="right" w:pos="9910"/>
            </w:tabs>
            <w:rPr>
              <w:rFonts w:asciiTheme="minorHAnsi" w:eastAsiaTheme="minorEastAsia" w:hAnsiTheme="minorHAnsi"/>
              <w:b w:val="0"/>
              <w:kern w:val="2"/>
              <w:sz w:val="22"/>
              <w:szCs w:val="22"/>
              <w:lang w:eastAsia="fr-CH"/>
              <w14:ligatures w14:val="standardContextual"/>
            </w:rPr>
          </w:pPr>
          <w:hyperlink w:anchor="_Toc159832154" w:history="1">
            <w:r w:rsidR="000116C2" w:rsidRPr="00AE45FA">
              <w:rPr>
                <w:rStyle w:val="Lienhypertexte"/>
              </w:rPr>
              <w:t>2.1</w:t>
            </w:r>
            <w:r w:rsidR="000116C2">
              <w:rPr>
                <w:rFonts w:asciiTheme="minorHAnsi" w:eastAsiaTheme="minorEastAsia" w:hAnsiTheme="minorHAnsi"/>
                <w:b w:val="0"/>
                <w:kern w:val="2"/>
                <w:sz w:val="22"/>
                <w:szCs w:val="22"/>
                <w:lang w:eastAsia="fr-CH"/>
                <w14:ligatures w14:val="standardContextual"/>
              </w:rPr>
              <w:tab/>
            </w:r>
            <w:r w:rsidR="000116C2" w:rsidRPr="00AE45FA">
              <w:rPr>
                <w:rStyle w:val="Lienhypertexte"/>
              </w:rPr>
              <w:t>Flexibilisation de l’imposition des rentes viagères</w:t>
            </w:r>
            <w:r w:rsidR="000116C2">
              <w:rPr>
                <w:webHidden/>
              </w:rPr>
              <w:tab/>
            </w:r>
            <w:r w:rsidR="000116C2">
              <w:rPr>
                <w:webHidden/>
              </w:rPr>
              <w:fldChar w:fldCharType="begin"/>
            </w:r>
            <w:r w:rsidR="000116C2">
              <w:rPr>
                <w:webHidden/>
              </w:rPr>
              <w:instrText xml:space="preserve"> PAGEREF _Toc159832154 \h </w:instrText>
            </w:r>
            <w:r w:rsidR="000116C2">
              <w:rPr>
                <w:webHidden/>
              </w:rPr>
            </w:r>
            <w:r w:rsidR="000116C2">
              <w:rPr>
                <w:webHidden/>
              </w:rPr>
              <w:fldChar w:fldCharType="separate"/>
            </w:r>
            <w:r w:rsidR="000116C2">
              <w:rPr>
                <w:webHidden/>
              </w:rPr>
              <w:t>2</w:t>
            </w:r>
            <w:r w:rsidR="000116C2">
              <w:rPr>
                <w:webHidden/>
              </w:rPr>
              <w:fldChar w:fldCharType="end"/>
            </w:r>
          </w:hyperlink>
        </w:p>
        <w:p w14:paraId="00736DAA" w14:textId="5DE6238B" w:rsidR="000116C2" w:rsidRDefault="005907D2">
          <w:pPr>
            <w:pStyle w:val="TM2"/>
            <w:tabs>
              <w:tab w:val="right" w:pos="9910"/>
            </w:tabs>
            <w:rPr>
              <w:rFonts w:asciiTheme="minorHAnsi" w:eastAsiaTheme="minorEastAsia" w:hAnsiTheme="minorHAnsi"/>
              <w:b w:val="0"/>
              <w:kern w:val="2"/>
              <w:sz w:val="22"/>
              <w:szCs w:val="22"/>
              <w:lang w:eastAsia="fr-CH"/>
              <w14:ligatures w14:val="standardContextual"/>
            </w:rPr>
          </w:pPr>
          <w:hyperlink w:anchor="_Toc159832155" w:history="1">
            <w:r w:rsidR="000116C2" w:rsidRPr="00AE45FA">
              <w:rPr>
                <w:rStyle w:val="Lienhypertexte"/>
              </w:rPr>
              <w:t>2.2</w:t>
            </w:r>
            <w:r w:rsidR="000116C2">
              <w:rPr>
                <w:rFonts w:asciiTheme="minorHAnsi" w:eastAsiaTheme="minorEastAsia" w:hAnsiTheme="minorHAnsi"/>
                <w:b w:val="0"/>
                <w:kern w:val="2"/>
                <w:sz w:val="22"/>
                <w:szCs w:val="22"/>
                <w:lang w:eastAsia="fr-CH"/>
                <w14:ligatures w14:val="standardContextual"/>
              </w:rPr>
              <w:tab/>
            </w:r>
            <w:r w:rsidR="000116C2" w:rsidRPr="00AE45FA">
              <w:rPr>
                <w:rStyle w:val="Lienhypertexte"/>
              </w:rPr>
              <w:t>Imposition réduite du capital dans le cadre de prêts intragroupes</w:t>
            </w:r>
            <w:r w:rsidR="000116C2">
              <w:rPr>
                <w:webHidden/>
              </w:rPr>
              <w:tab/>
            </w:r>
            <w:r w:rsidR="000116C2">
              <w:rPr>
                <w:webHidden/>
              </w:rPr>
              <w:fldChar w:fldCharType="begin"/>
            </w:r>
            <w:r w:rsidR="000116C2">
              <w:rPr>
                <w:webHidden/>
              </w:rPr>
              <w:instrText xml:space="preserve"> PAGEREF _Toc159832155 \h </w:instrText>
            </w:r>
            <w:r w:rsidR="000116C2">
              <w:rPr>
                <w:webHidden/>
              </w:rPr>
            </w:r>
            <w:r w:rsidR="000116C2">
              <w:rPr>
                <w:webHidden/>
              </w:rPr>
              <w:fldChar w:fldCharType="separate"/>
            </w:r>
            <w:r w:rsidR="000116C2">
              <w:rPr>
                <w:webHidden/>
              </w:rPr>
              <w:t>2</w:t>
            </w:r>
            <w:r w:rsidR="000116C2">
              <w:rPr>
                <w:webHidden/>
              </w:rPr>
              <w:fldChar w:fldCharType="end"/>
            </w:r>
          </w:hyperlink>
        </w:p>
        <w:p w14:paraId="6742B380" w14:textId="66499215" w:rsidR="000116C2" w:rsidRDefault="005907D2">
          <w:pPr>
            <w:pStyle w:val="TM2"/>
            <w:tabs>
              <w:tab w:val="right" w:pos="9910"/>
            </w:tabs>
            <w:rPr>
              <w:rFonts w:asciiTheme="minorHAnsi" w:eastAsiaTheme="minorEastAsia" w:hAnsiTheme="minorHAnsi"/>
              <w:b w:val="0"/>
              <w:kern w:val="2"/>
              <w:sz w:val="22"/>
              <w:szCs w:val="22"/>
              <w:lang w:eastAsia="fr-CH"/>
              <w14:ligatures w14:val="standardContextual"/>
            </w:rPr>
          </w:pPr>
          <w:hyperlink w:anchor="_Toc159832156" w:history="1">
            <w:r w:rsidR="000116C2" w:rsidRPr="00AE45FA">
              <w:rPr>
                <w:rStyle w:val="Lienhypertexte"/>
              </w:rPr>
              <w:t>2.3</w:t>
            </w:r>
            <w:r w:rsidR="000116C2">
              <w:rPr>
                <w:rFonts w:asciiTheme="minorHAnsi" w:eastAsiaTheme="minorEastAsia" w:hAnsiTheme="minorHAnsi"/>
                <w:b w:val="0"/>
                <w:kern w:val="2"/>
                <w:sz w:val="22"/>
                <w:szCs w:val="22"/>
                <w:lang w:eastAsia="fr-CH"/>
                <w14:ligatures w14:val="standardContextual"/>
              </w:rPr>
              <w:tab/>
            </w:r>
            <w:r w:rsidR="000116C2" w:rsidRPr="00AE45FA">
              <w:rPr>
                <w:rStyle w:val="Lienhypertexte"/>
              </w:rPr>
              <w:t>Secret fiscal pour les paroisses</w:t>
            </w:r>
            <w:r w:rsidR="000116C2">
              <w:rPr>
                <w:webHidden/>
              </w:rPr>
              <w:tab/>
            </w:r>
            <w:r w:rsidR="000116C2">
              <w:rPr>
                <w:webHidden/>
              </w:rPr>
              <w:fldChar w:fldCharType="begin"/>
            </w:r>
            <w:r w:rsidR="000116C2">
              <w:rPr>
                <w:webHidden/>
              </w:rPr>
              <w:instrText xml:space="preserve"> PAGEREF _Toc159832156 \h </w:instrText>
            </w:r>
            <w:r w:rsidR="000116C2">
              <w:rPr>
                <w:webHidden/>
              </w:rPr>
            </w:r>
            <w:r w:rsidR="000116C2">
              <w:rPr>
                <w:webHidden/>
              </w:rPr>
              <w:fldChar w:fldCharType="separate"/>
            </w:r>
            <w:r w:rsidR="000116C2">
              <w:rPr>
                <w:webHidden/>
              </w:rPr>
              <w:t>2</w:t>
            </w:r>
            <w:r w:rsidR="000116C2">
              <w:rPr>
                <w:webHidden/>
              </w:rPr>
              <w:fldChar w:fldCharType="end"/>
            </w:r>
          </w:hyperlink>
        </w:p>
        <w:p w14:paraId="04ED1DCE" w14:textId="47BA1080" w:rsidR="000116C2" w:rsidRDefault="005907D2">
          <w:pPr>
            <w:pStyle w:val="TM2"/>
            <w:tabs>
              <w:tab w:val="right" w:pos="9910"/>
            </w:tabs>
            <w:rPr>
              <w:rFonts w:asciiTheme="minorHAnsi" w:eastAsiaTheme="minorEastAsia" w:hAnsiTheme="minorHAnsi"/>
              <w:b w:val="0"/>
              <w:kern w:val="2"/>
              <w:sz w:val="22"/>
              <w:szCs w:val="22"/>
              <w:lang w:eastAsia="fr-CH"/>
              <w14:ligatures w14:val="standardContextual"/>
            </w:rPr>
          </w:pPr>
          <w:hyperlink w:anchor="_Toc159832157" w:history="1">
            <w:r w:rsidR="000116C2" w:rsidRPr="00AE45FA">
              <w:rPr>
                <w:rStyle w:val="Lienhypertexte"/>
              </w:rPr>
              <w:t>2.4</w:t>
            </w:r>
            <w:r w:rsidR="000116C2">
              <w:rPr>
                <w:rFonts w:asciiTheme="minorHAnsi" w:eastAsiaTheme="minorEastAsia" w:hAnsiTheme="minorHAnsi"/>
                <w:b w:val="0"/>
                <w:kern w:val="2"/>
                <w:sz w:val="22"/>
                <w:szCs w:val="22"/>
                <w:lang w:eastAsia="fr-CH"/>
                <w14:ligatures w14:val="standardContextual"/>
              </w:rPr>
              <w:tab/>
            </w:r>
            <w:r w:rsidR="000116C2" w:rsidRPr="00AE45FA">
              <w:rPr>
                <w:rStyle w:val="Lienhypertexte"/>
              </w:rPr>
              <w:t>Notification électronique</w:t>
            </w:r>
            <w:r w:rsidR="000116C2">
              <w:rPr>
                <w:webHidden/>
              </w:rPr>
              <w:tab/>
            </w:r>
            <w:r w:rsidR="000116C2">
              <w:rPr>
                <w:webHidden/>
              </w:rPr>
              <w:fldChar w:fldCharType="begin"/>
            </w:r>
            <w:r w:rsidR="000116C2">
              <w:rPr>
                <w:webHidden/>
              </w:rPr>
              <w:instrText xml:space="preserve"> PAGEREF _Toc159832157 \h </w:instrText>
            </w:r>
            <w:r w:rsidR="000116C2">
              <w:rPr>
                <w:webHidden/>
              </w:rPr>
            </w:r>
            <w:r w:rsidR="000116C2">
              <w:rPr>
                <w:webHidden/>
              </w:rPr>
              <w:fldChar w:fldCharType="separate"/>
            </w:r>
            <w:r w:rsidR="000116C2">
              <w:rPr>
                <w:webHidden/>
              </w:rPr>
              <w:t>3</w:t>
            </w:r>
            <w:r w:rsidR="000116C2">
              <w:rPr>
                <w:webHidden/>
              </w:rPr>
              <w:fldChar w:fldCharType="end"/>
            </w:r>
          </w:hyperlink>
        </w:p>
        <w:p w14:paraId="179D20C9" w14:textId="52B9D515" w:rsidR="000116C2" w:rsidRDefault="005907D2">
          <w:pPr>
            <w:pStyle w:val="TM2"/>
            <w:tabs>
              <w:tab w:val="right" w:pos="9910"/>
            </w:tabs>
            <w:rPr>
              <w:rFonts w:asciiTheme="minorHAnsi" w:eastAsiaTheme="minorEastAsia" w:hAnsiTheme="minorHAnsi"/>
              <w:b w:val="0"/>
              <w:kern w:val="2"/>
              <w:sz w:val="22"/>
              <w:szCs w:val="22"/>
              <w:lang w:eastAsia="fr-CH"/>
              <w14:ligatures w14:val="standardContextual"/>
            </w:rPr>
          </w:pPr>
          <w:hyperlink w:anchor="_Toc159832158" w:history="1">
            <w:r w:rsidR="000116C2" w:rsidRPr="00AE45FA">
              <w:rPr>
                <w:rStyle w:val="Lienhypertexte"/>
              </w:rPr>
              <w:t>2.5</w:t>
            </w:r>
            <w:r w:rsidR="000116C2">
              <w:rPr>
                <w:rFonts w:asciiTheme="minorHAnsi" w:eastAsiaTheme="minorEastAsia" w:hAnsiTheme="minorHAnsi"/>
                <w:b w:val="0"/>
                <w:kern w:val="2"/>
                <w:sz w:val="22"/>
                <w:szCs w:val="22"/>
                <w:lang w:eastAsia="fr-CH"/>
                <w14:ligatures w14:val="standardContextual"/>
              </w:rPr>
              <w:tab/>
            </w:r>
            <w:r w:rsidR="000116C2" w:rsidRPr="00AE45FA">
              <w:rPr>
                <w:rStyle w:val="Lienhypertexte"/>
              </w:rPr>
              <w:t>Publication dans la Feuille officielle</w:t>
            </w:r>
            <w:r w:rsidR="000116C2">
              <w:rPr>
                <w:webHidden/>
              </w:rPr>
              <w:tab/>
            </w:r>
            <w:r w:rsidR="000116C2">
              <w:rPr>
                <w:webHidden/>
              </w:rPr>
              <w:fldChar w:fldCharType="begin"/>
            </w:r>
            <w:r w:rsidR="000116C2">
              <w:rPr>
                <w:webHidden/>
              </w:rPr>
              <w:instrText xml:space="preserve"> PAGEREF _Toc159832158 \h </w:instrText>
            </w:r>
            <w:r w:rsidR="000116C2">
              <w:rPr>
                <w:webHidden/>
              </w:rPr>
            </w:r>
            <w:r w:rsidR="000116C2">
              <w:rPr>
                <w:webHidden/>
              </w:rPr>
              <w:fldChar w:fldCharType="separate"/>
            </w:r>
            <w:r w:rsidR="000116C2">
              <w:rPr>
                <w:webHidden/>
              </w:rPr>
              <w:t>3</w:t>
            </w:r>
            <w:r w:rsidR="000116C2">
              <w:rPr>
                <w:webHidden/>
              </w:rPr>
              <w:fldChar w:fldCharType="end"/>
            </w:r>
          </w:hyperlink>
        </w:p>
        <w:p w14:paraId="01FF744C" w14:textId="614E4A96" w:rsidR="000116C2" w:rsidRDefault="005907D2">
          <w:pPr>
            <w:pStyle w:val="TM2"/>
            <w:tabs>
              <w:tab w:val="right" w:pos="9910"/>
            </w:tabs>
            <w:rPr>
              <w:rFonts w:asciiTheme="minorHAnsi" w:eastAsiaTheme="minorEastAsia" w:hAnsiTheme="minorHAnsi"/>
              <w:b w:val="0"/>
              <w:kern w:val="2"/>
              <w:sz w:val="22"/>
              <w:szCs w:val="22"/>
              <w:lang w:eastAsia="fr-CH"/>
              <w14:ligatures w14:val="standardContextual"/>
            </w:rPr>
          </w:pPr>
          <w:hyperlink w:anchor="_Toc159832159" w:history="1">
            <w:r w:rsidR="000116C2" w:rsidRPr="00AE45FA">
              <w:rPr>
                <w:rStyle w:val="Lienhypertexte"/>
              </w:rPr>
              <w:t>2.6</w:t>
            </w:r>
            <w:r w:rsidR="000116C2">
              <w:rPr>
                <w:rFonts w:asciiTheme="minorHAnsi" w:eastAsiaTheme="minorEastAsia" w:hAnsiTheme="minorHAnsi"/>
                <w:b w:val="0"/>
                <w:kern w:val="2"/>
                <w:sz w:val="22"/>
                <w:szCs w:val="22"/>
                <w:lang w:eastAsia="fr-CH"/>
                <w14:ligatures w14:val="standardContextual"/>
              </w:rPr>
              <w:tab/>
            </w:r>
            <w:r w:rsidR="000116C2" w:rsidRPr="00AE45FA">
              <w:rPr>
                <w:rStyle w:val="Lienhypertexte"/>
              </w:rPr>
              <w:t>Correction de la numérotation des sous-sections</w:t>
            </w:r>
            <w:r w:rsidR="000116C2">
              <w:rPr>
                <w:webHidden/>
              </w:rPr>
              <w:tab/>
            </w:r>
            <w:r w:rsidR="000116C2">
              <w:rPr>
                <w:webHidden/>
              </w:rPr>
              <w:fldChar w:fldCharType="begin"/>
            </w:r>
            <w:r w:rsidR="000116C2">
              <w:rPr>
                <w:webHidden/>
              </w:rPr>
              <w:instrText xml:space="preserve"> PAGEREF _Toc159832159 \h </w:instrText>
            </w:r>
            <w:r w:rsidR="000116C2">
              <w:rPr>
                <w:webHidden/>
              </w:rPr>
            </w:r>
            <w:r w:rsidR="000116C2">
              <w:rPr>
                <w:webHidden/>
              </w:rPr>
              <w:fldChar w:fldCharType="separate"/>
            </w:r>
            <w:r w:rsidR="000116C2">
              <w:rPr>
                <w:webHidden/>
              </w:rPr>
              <w:t>4</w:t>
            </w:r>
            <w:r w:rsidR="000116C2">
              <w:rPr>
                <w:webHidden/>
              </w:rPr>
              <w:fldChar w:fldCharType="end"/>
            </w:r>
          </w:hyperlink>
        </w:p>
        <w:p w14:paraId="401D40B4" w14:textId="68004EFE" w:rsidR="000116C2" w:rsidRDefault="005907D2">
          <w:pPr>
            <w:pStyle w:val="TM2"/>
            <w:tabs>
              <w:tab w:val="right" w:pos="9910"/>
            </w:tabs>
            <w:rPr>
              <w:rFonts w:asciiTheme="minorHAnsi" w:eastAsiaTheme="minorEastAsia" w:hAnsiTheme="minorHAnsi"/>
              <w:b w:val="0"/>
              <w:kern w:val="2"/>
              <w:sz w:val="22"/>
              <w:szCs w:val="22"/>
              <w:lang w:eastAsia="fr-CH"/>
              <w14:ligatures w14:val="standardContextual"/>
            </w:rPr>
          </w:pPr>
          <w:hyperlink w:anchor="_Toc159832160" w:history="1">
            <w:r w:rsidR="000116C2" w:rsidRPr="00AE45FA">
              <w:rPr>
                <w:rStyle w:val="Lienhypertexte"/>
              </w:rPr>
              <w:t>2.7</w:t>
            </w:r>
            <w:r w:rsidR="000116C2">
              <w:rPr>
                <w:rFonts w:asciiTheme="minorHAnsi" w:eastAsiaTheme="minorEastAsia" w:hAnsiTheme="minorHAnsi"/>
                <w:b w:val="0"/>
                <w:kern w:val="2"/>
                <w:sz w:val="22"/>
                <w:szCs w:val="22"/>
                <w:lang w:eastAsia="fr-CH"/>
                <w14:ligatures w14:val="standardContextual"/>
              </w:rPr>
              <w:tab/>
            </w:r>
            <w:r w:rsidR="000116C2" w:rsidRPr="00AE45FA">
              <w:rPr>
                <w:rStyle w:val="Lienhypertexte"/>
              </w:rPr>
              <w:t>Attestation des caisses de chômage</w:t>
            </w:r>
            <w:r w:rsidR="000116C2">
              <w:rPr>
                <w:webHidden/>
              </w:rPr>
              <w:tab/>
            </w:r>
            <w:r w:rsidR="000116C2">
              <w:rPr>
                <w:webHidden/>
              </w:rPr>
              <w:fldChar w:fldCharType="begin"/>
            </w:r>
            <w:r w:rsidR="000116C2">
              <w:rPr>
                <w:webHidden/>
              </w:rPr>
              <w:instrText xml:space="preserve"> PAGEREF _Toc159832160 \h </w:instrText>
            </w:r>
            <w:r w:rsidR="000116C2">
              <w:rPr>
                <w:webHidden/>
              </w:rPr>
            </w:r>
            <w:r w:rsidR="000116C2">
              <w:rPr>
                <w:webHidden/>
              </w:rPr>
              <w:fldChar w:fldCharType="separate"/>
            </w:r>
            <w:r w:rsidR="000116C2">
              <w:rPr>
                <w:webHidden/>
              </w:rPr>
              <w:t>4</w:t>
            </w:r>
            <w:r w:rsidR="000116C2">
              <w:rPr>
                <w:webHidden/>
              </w:rPr>
              <w:fldChar w:fldCharType="end"/>
            </w:r>
          </w:hyperlink>
        </w:p>
        <w:p w14:paraId="3D4822F8" w14:textId="7AD3218F" w:rsidR="000116C2" w:rsidRDefault="005907D2">
          <w:pPr>
            <w:pStyle w:val="TM2"/>
            <w:tabs>
              <w:tab w:val="right" w:pos="9910"/>
            </w:tabs>
            <w:rPr>
              <w:rFonts w:asciiTheme="minorHAnsi" w:eastAsiaTheme="minorEastAsia" w:hAnsiTheme="minorHAnsi"/>
              <w:b w:val="0"/>
              <w:kern w:val="2"/>
              <w:sz w:val="22"/>
              <w:szCs w:val="22"/>
              <w:lang w:eastAsia="fr-CH"/>
              <w14:ligatures w14:val="standardContextual"/>
            </w:rPr>
          </w:pPr>
          <w:hyperlink w:anchor="_Toc159832161" w:history="1">
            <w:r w:rsidR="000116C2" w:rsidRPr="00AE45FA">
              <w:rPr>
                <w:rStyle w:val="Lienhypertexte"/>
              </w:rPr>
              <w:t>2.8</w:t>
            </w:r>
            <w:r w:rsidR="000116C2">
              <w:rPr>
                <w:rFonts w:asciiTheme="minorHAnsi" w:eastAsiaTheme="minorEastAsia" w:hAnsiTheme="minorHAnsi"/>
                <w:b w:val="0"/>
                <w:kern w:val="2"/>
                <w:sz w:val="22"/>
                <w:szCs w:val="22"/>
                <w:lang w:eastAsia="fr-CH"/>
                <w14:ligatures w14:val="standardContextual"/>
              </w:rPr>
              <w:tab/>
            </w:r>
            <w:r w:rsidR="000116C2" w:rsidRPr="00AE45FA">
              <w:rPr>
                <w:rStyle w:val="Lienhypertexte"/>
              </w:rPr>
              <w:t>Constitution d’une garantie en matière d’impôt sur le gain immobilier</w:t>
            </w:r>
            <w:r w:rsidR="000116C2">
              <w:rPr>
                <w:webHidden/>
              </w:rPr>
              <w:tab/>
            </w:r>
            <w:r w:rsidR="000116C2">
              <w:rPr>
                <w:webHidden/>
              </w:rPr>
              <w:fldChar w:fldCharType="begin"/>
            </w:r>
            <w:r w:rsidR="000116C2">
              <w:rPr>
                <w:webHidden/>
              </w:rPr>
              <w:instrText xml:space="preserve"> PAGEREF _Toc159832161 \h </w:instrText>
            </w:r>
            <w:r w:rsidR="000116C2">
              <w:rPr>
                <w:webHidden/>
              </w:rPr>
            </w:r>
            <w:r w:rsidR="000116C2">
              <w:rPr>
                <w:webHidden/>
              </w:rPr>
              <w:fldChar w:fldCharType="separate"/>
            </w:r>
            <w:r w:rsidR="000116C2">
              <w:rPr>
                <w:webHidden/>
              </w:rPr>
              <w:t>4</w:t>
            </w:r>
            <w:r w:rsidR="000116C2">
              <w:rPr>
                <w:webHidden/>
              </w:rPr>
              <w:fldChar w:fldCharType="end"/>
            </w:r>
          </w:hyperlink>
        </w:p>
        <w:p w14:paraId="13724BF4" w14:textId="29D59C28" w:rsidR="000116C2" w:rsidRDefault="005907D2">
          <w:pPr>
            <w:pStyle w:val="TM1"/>
            <w:rPr>
              <w:rFonts w:asciiTheme="minorHAnsi" w:eastAsiaTheme="minorEastAsia" w:hAnsiTheme="minorHAnsi"/>
              <w:b w:val="0"/>
              <w:kern w:val="2"/>
              <w:sz w:val="22"/>
              <w:szCs w:val="22"/>
              <w:lang w:eastAsia="fr-CH"/>
              <w14:ligatures w14:val="standardContextual"/>
            </w:rPr>
          </w:pPr>
          <w:hyperlink w:anchor="_Toc159832162" w:history="1">
            <w:r w:rsidR="000116C2" w:rsidRPr="00AE45FA">
              <w:rPr>
                <w:rStyle w:val="Lienhypertexte"/>
              </w:rPr>
              <w:t>3</w:t>
            </w:r>
            <w:r w:rsidR="000116C2">
              <w:rPr>
                <w:rFonts w:asciiTheme="minorHAnsi" w:eastAsiaTheme="minorEastAsia" w:hAnsiTheme="minorHAnsi"/>
                <w:b w:val="0"/>
                <w:kern w:val="2"/>
                <w:sz w:val="22"/>
                <w:szCs w:val="22"/>
                <w:lang w:eastAsia="fr-CH"/>
                <w14:ligatures w14:val="standardContextual"/>
              </w:rPr>
              <w:tab/>
            </w:r>
            <w:r w:rsidR="000116C2" w:rsidRPr="00AE45FA">
              <w:rPr>
                <w:rStyle w:val="Lienhypertexte"/>
              </w:rPr>
              <w:t>Commentaire des dispositions proposées (LICD)</w:t>
            </w:r>
            <w:r w:rsidR="000116C2">
              <w:rPr>
                <w:webHidden/>
              </w:rPr>
              <w:tab/>
            </w:r>
            <w:r w:rsidR="000116C2">
              <w:rPr>
                <w:webHidden/>
              </w:rPr>
              <w:fldChar w:fldCharType="begin"/>
            </w:r>
            <w:r w:rsidR="000116C2">
              <w:rPr>
                <w:webHidden/>
              </w:rPr>
              <w:instrText xml:space="preserve"> PAGEREF _Toc159832162 \h </w:instrText>
            </w:r>
            <w:r w:rsidR="000116C2">
              <w:rPr>
                <w:webHidden/>
              </w:rPr>
            </w:r>
            <w:r w:rsidR="000116C2">
              <w:rPr>
                <w:webHidden/>
              </w:rPr>
              <w:fldChar w:fldCharType="separate"/>
            </w:r>
            <w:r w:rsidR="000116C2">
              <w:rPr>
                <w:webHidden/>
              </w:rPr>
              <w:t>5</w:t>
            </w:r>
            <w:r w:rsidR="000116C2">
              <w:rPr>
                <w:webHidden/>
              </w:rPr>
              <w:fldChar w:fldCharType="end"/>
            </w:r>
          </w:hyperlink>
        </w:p>
        <w:p w14:paraId="22D88A89" w14:textId="0E11F436" w:rsidR="000116C2" w:rsidRDefault="005907D2">
          <w:pPr>
            <w:pStyle w:val="TM1"/>
            <w:rPr>
              <w:rFonts w:asciiTheme="minorHAnsi" w:eastAsiaTheme="minorEastAsia" w:hAnsiTheme="minorHAnsi"/>
              <w:b w:val="0"/>
              <w:kern w:val="2"/>
              <w:sz w:val="22"/>
              <w:szCs w:val="22"/>
              <w:lang w:eastAsia="fr-CH"/>
              <w14:ligatures w14:val="standardContextual"/>
            </w:rPr>
          </w:pPr>
          <w:hyperlink w:anchor="_Toc159832163" w:history="1">
            <w:r w:rsidR="000116C2" w:rsidRPr="00AE45FA">
              <w:rPr>
                <w:rStyle w:val="Lienhypertexte"/>
              </w:rPr>
              <w:t>4</w:t>
            </w:r>
            <w:r w:rsidR="000116C2">
              <w:rPr>
                <w:rFonts w:asciiTheme="minorHAnsi" w:eastAsiaTheme="minorEastAsia" w:hAnsiTheme="minorHAnsi"/>
                <w:b w:val="0"/>
                <w:kern w:val="2"/>
                <w:sz w:val="22"/>
                <w:szCs w:val="22"/>
                <w:lang w:eastAsia="fr-CH"/>
                <w14:ligatures w14:val="standardContextual"/>
              </w:rPr>
              <w:tab/>
            </w:r>
            <w:r w:rsidR="000116C2" w:rsidRPr="00AE45FA">
              <w:rPr>
                <w:rStyle w:val="Lienhypertexte"/>
              </w:rPr>
              <w:t>Incidences de la révision</w:t>
            </w:r>
            <w:r w:rsidR="000116C2">
              <w:rPr>
                <w:webHidden/>
              </w:rPr>
              <w:tab/>
            </w:r>
            <w:r w:rsidR="000116C2">
              <w:rPr>
                <w:webHidden/>
              </w:rPr>
              <w:fldChar w:fldCharType="begin"/>
            </w:r>
            <w:r w:rsidR="000116C2">
              <w:rPr>
                <w:webHidden/>
              </w:rPr>
              <w:instrText xml:space="preserve"> PAGEREF _Toc159832163 \h </w:instrText>
            </w:r>
            <w:r w:rsidR="000116C2">
              <w:rPr>
                <w:webHidden/>
              </w:rPr>
            </w:r>
            <w:r w:rsidR="000116C2">
              <w:rPr>
                <w:webHidden/>
              </w:rPr>
              <w:fldChar w:fldCharType="separate"/>
            </w:r>
            <w:r w:rsidR="000116C2">
              <w:rPr>
                <w:webHidden/>
              </w:rPr>
              <w:t>7</w:t>
            </w:r>
            <w:r w:rsidR="000116C2">
              <w:rPr>
                <w:webHidden/>
              </w:rPr>
              <w:fldChar w:fldCharType="end"/>
            </w:r>
          </w:hyperlink>
        </w:p>
        <w:p w14:paraId="68477AC4" w14:textId="158E246F" w:rsidR="000116C2" w:rsidRDefault="005907D2">
          <w:pPr>
            <w:pStyle w:val="TM2"/>
            <w:tabs>
              <w:tab w:val="right" w:pos="9910"/>
            </w:tabs>
            <w:rPr>
              <w:rFonts w:asciiTheme="minorHAnsi" w:eastAsiaTheme="minorEastAsia" w:hAnsiTheme="minorHAnsi"/>
              <w:b w:val="0"/>
              <w:kern w:val="2"/>
              <w:sz w:val="22"/>
              <w:szCs w:val="22"/>
              <w:lang w:eastAsia="fr-CH"/>
              <w14:ligatures w14:val="standardContextual"/>
            </w:rPr>
          </w:pPr>
          <w:hyperlink w:anchor="_Toc159832164" w:history="1">
            <w:r w:rsidR="000116C2" w:rsidRPr="00AE45FA">
              <w:rPr>
                <w:rStyle w:val="Lienhypertexte"/>
              </w:rPr>
              <w:t>4.1</w:t>
            </w:r>
            <w:r w:rsidR="000116C2">
              <w:rPr>
                <w:rFonts w:asciiTheme="minorHAnsi" w:eastAsiaTheme="minorEastAsia" w:hAnsiTheme="minorHAnsi"/>
                <w:b w:val="0"/>
                <w:kern w:val="2"/>
                <w:sz w:val="22"/>
                <w:szCs w:val="22"/>
                <w:lang w:eastAsia="fr-CH"/>
                <w14:ligatures w14:val="standardContextual"/>
              </w:rPr>
              <w:tab/>
            </w:r>
            <w:r w:rsidR="000116C2" w:rsidRPr="00AE45FA">
              <w:rPr>
                <w:rStyle w:val="Lienhypertexte"/>
              </w:rPr>
              <w:t>Incidences sur les recettes fiscales</w:t>
            </w:r>
            <w:r w:rsidR="000116C2">
              <w:rPr>
                <w:webHidden/>
              </w:rPr>
              <w:tab/>
            </w:r>
            <w:r w:rsidR="000116C2">
              <w:rPr>
                <w:webHidden/>
              </w:rPr>
              <w:fldChar w:fldCharType="begin"/>
            </w:r>
            <w:r w:rsidR="000116C2">
              <w:rPr>
                <w:webHidden/>
              </w:rPr>
              <w:instrText xml:space="preserve"> PAGEREF _Toc159832164 \h </w:instrText>
            </w:r>
            <w:r w:rsidR="000116C2">
              <w:rPr>
                <w:webHidden/>
              </w:rPr>
            </w:r>
            <w:r w:rsidR="000116C2">
              <w:rPr>
                <w:webHidden/>
              </w:rPr>
              <w:fldChar w:fldCharType="separate"/>
            </w:r>
            <w:r w:rsidR="000116C2">
              <w:rPr>
                <w:webHidden/>
              </w:rPr>
              <w:t>7</w:t>
            </w:r>
            <w:r w:rsidR="000116C2">
              <w:rPr>
                <w:webHidden/>
              </w:rPr>
              <w:fldChar w:fldCharType="end"/>
            </w:r>
          </w:hyperlink>
        </w:p>
        <w:p w14:paraId="193D989B" w14:textId="76472F98" w:rsidR="000116C2" w:rsidRDefault="005907D2">
          <w:pPr>
            <w:pStyle w:val="TM3"/>
            <w:tabs>
              <w:tab w:val="right" w:pos="9910"/>
            </w:tabs>
            <w:rPr>
              <w:rFonts w:asciiTheme="minorHAnsi" w:eastAsiaTheme="minorEastAsia" w:hAnsiTheme="minorHAnsi"/>
              <w:noProof/>
              <w:kern w:val="2"/>
              <w:sz w:val="22"/>
              <w:szCs w:val="22"/>
              <w:lang w:eastAsia="fr-CH"/>
              <w14:ligatures w14:val="standardContextual"/>
            </w:rPr>
          </w:pPr>
          <w:hyperlink w:anchor="_Toc159832165" w:history="1">
            <w:r w:rsidR="000116C2" w:rsidRPr="00AE45FA">
              <w:rPr>
                <w:rStyle w:val="Lienhypertexte"/>
                <w:noProof/>
              </w:rPr>
              <w:t>4.1.1</w:t>
            </w:r>
            <w:r w:rsidR="000116C2">
              <w:rPr>
                <w:rFonts w:asciiTheme="minorHAnsi" w:eastAsiaTheme="minorEastAsia" w:hAnsiTheme="minorHAnsi"/>
                <w:noProof/>
                <w:kern w:val="2"/>
                <w:sz w:val="22"/>
                <w:szCs w:val="22"/>
                <w:lang w:eastAsia="fr-CH"/>
                <w14:ligatures w14:val="standardContextual"/>
              </w:rPr>
              <w:tab/>
            </w:r>
            <w:r w:rsidR="000116C2" w:rsidRPr="00AE45FA">
              <w:rPr>
                <w:rStyle w:val="Lienhypertexte"/>
                <w:noProof/>
              </w:rPr>
              <w:t>Flexibilisation de l’imposition des rentes viagères</w:t>
            </w:r>
            <w:r w:rsidR="000116C2">
              <w:rPr>
                <w:noProof/>
                <w:webHidden/>
              </w:rPr>
              <w:tab/>
            </w:r>
            <w:r w:rsidR="000116C2">
              <w:rPr>
                <w:noProof/>
                <w:webHidden/>
              </w:rPr>
              <w:fldChar w:fldCharType="begin"/>
            </w:r>
            <w:r w:rsidR="000116C2">
              <w:rPr>
                <w:noProof/>
                <w:webHidden/>
              </w:rPr>
              <w:instrText xml:space="preserve"> PAGEREF _Toc159832165 \h </w:instrText>
            </w:r>
            <w:r w:rsidR="000116C2">
              <w:rPr>
                <w:noProof/>
                <w:webHidden/>
              </w:rPr>
            </w:r>
            <w:r w:rsidR="000116C2">
              <w:rPr>
                <w:noProof/>
                <w:webHidden/>
              </w:rPr>
              <w:fldChar w:fldCharType="separate"/>
            </w:r>
            <w:r w:rsidR="000116C2">
              <w:rPr>
                <w:noProof/>
                <w:webHidden/>
              </w:rPr>
              <w:t>7</w:t>
            </w:r>
            <w:r w:rsidR="000116C2">
              <w:rPr>
                <w:noProof/>
                <w:webHidden/>
              </w:rPr>
              <w:fldChar w:fldCharType="end"/>
            </w:r>
          </w:hyperlink>
        </w:p>
        <w:p w14:paraId="6B143F42" w14:textId="3FFEA15C" w:rsidR="000116C2" w:rsidRDefault="005907D2">
          <w:pPr>
            <w:pStyle w:val="TM3"/>
            <w:tabs>
              <w:tab w:val="right" w:pos="9910"/>
            </w:tabs>
            <w:rPr>
              <w:rFonts w:asciiTheme="minorHAnsi" w:eastAsiaTheme="minorEastAsia" w:hAnsiTheme="minorHAnsi"/>
              <w:noProof/>
              <w:kern w:val="2"/>
              <w:sz w:val="22"/>
              <w:szCs w:val="22"/>
              <w:lang w:eastAsia="fr-CH"/>
              <w14:ligatures w14:val="standardContextual"/>
            </w:rPr>
          </w:pPr>
          <w:hyperlink w:anchor="_Toc159832166" w:history="1">
            <w:r w:rsidR="000116C2" w:rsidRPr="00AE45FA">
              <w:rPr>
                <w:rStyle w:val="Lienhypertexte"/>
                <w:rFonts w:cstheme="majorHAnsi"/>
                <w:noProof/>
              </w:rPr>
              <w:t>4.1.2</w:t>
            </w:r>
            <w:r w:rsidR="000116C2">
              <w:rPr>
                <w:rFonts w:asciiTheme="minorHAnsi" w:eastAsiaTheme="minorEastAsia" w:hAnsiTheme="minorHAnsi"/>
                <w:noProof/>
                <w:kern w:val="2"/>
                <w:sz w:val="22"/>
                <w:szCs w:val="22"/>
                <w:lang w:eastAsia="fr-CH"/>
                <w14:ligatures w14:val="standardContextual"/>
              </w:rPr>
              <w:tab/>
            </w:r>
            <w:r w:rsidR="000116C2" w:rsidRPr="00AE45FA">
              <w:rPr>
                <w:rStyle w:val="Lienhypertexte"/>
                <w:rFonts w:cstheme="majorHAnsi"/>
                <w:noProof/>
              </w:rPr>
              <w:t xml:space="preserve">Imposition </w:t>
            </w:r>
            <w:r w:rsidR="000116C2" w:rsidRPr="00AE45FA">
              <w:rPr>
                <w:rStyle w:val="Lienhypertexte"/>
                <w:noProof/>
              </w:rPr>
              <w:t>réduite</w:t>
            </w:r>
            <w:r w:rsidR="000116C2" w:rsidRPr="00AE45FA">
              <w:rPr>
                <w:rStyle w:val="Lienhypertexte"/>
                <w:rFonts w:cstheme="majorHAnsi"/>
                <w:noProof/>
              </w:rPr>
              <w:t xml:space="preserve"> du capital dans le cadre de prêts intragroupes</w:t>
            </w:r>
            <w:r w:rsidR="000116C2">
              <w:rPr>
                <w:noProof/>
                <w:webHidden/>
              </w:rPr>
              <w:tab/>
            </w:r>
            <w:r w:rsidR="000116C2">
              <w:rPr>
                <w:noProof/>
                <w:webHidden/>
              </w:rPr>
              <w:fldChar w:fldCharType="begin"/>
            </w:r>
            <w:r w:rsidR="000116C2">
              <w:rPr>
                <w:noProof/>
                <w:webHidden/>
              </w:rPr>
              <w:instrText xml:space="preserve"> PAGEREF _Toc159832166 \h </w:instrText>
            </w:r>
            <w:r w:rsidR="000116C2">
              <w:rPr>
                <w:noProof/>
                <w:webHidden/>
              </w:rPr>
            </w:r>
            <w:r w:rsidR="000116C2">
              <w:rPr>
                <w:noProof/>
                <w:webHidden/>
              </w:rPr>
              <w:fldChar w:fldCharType="separate"/>
            </w:r>
            <w:r w:rsidR="000116C2">
              <w:rPr>
                <w:noProof/>
                <w:webHidden/>
              </w:rPr>
              <w:t>8</w:t>
            </w:r>
            <w:r w:rsidR="000116C2">
              <w:rPr>
                <w:noProof/>
                <w:webHidden/>
              </w:rPr>
              <w:fldChar w:fldCharType="end"/>
            </w:r>
          </w:hyperlink>
        </w:p>
        <w:p w14:paraId="02CBB5BA" w14:textId="60799BF3" w:rsidR="000116C2" w:rsidRDefault="005907D2">
          <w:pPr>
            <w:pStyle w:val="TM2"/>
            <w:tabs>
              <w:tab w:val="right" w:pos="9910"/>
            </w:tabs>
            <w:rPr>
              <w:rFonts w:asciiTheme="minorHAnsi" w:eastAsiaTheme="minorEastAsia" w:hAnsiTheme="minorHAnsi"/>
              <w:b w:val="0"/>
              <w:kern w:val="2"/>
              <w:sz w:val="22"/>
              <w:szCs w:val="22"/>
              <w:lang w:eastAsia="fr-CH"/>
              <w14:ligatures w14:val="standardContextual"/>
            </w:rPr>
          </w:pPr>
          <w:hyperlink w:anchor="_Toc159832167" w:history="1">
            <w:r w:rsidR="000116C2" w:rsidRPr="00AE45FA">
              <w:rPr>
                <w:rStyle w:val="Lienhypertexte"/>
              </w:rPr>
              <w:t>4.2</w:t>
            </w:r>
            <w:r w:rsidR="000116C2">
              <w:rPr>
                <w:rFonts w:asciiTheme="minorHAnsi" w:eastAsiaTheme="minorEastAsia" w:hAnsiTheme="minorHAnsi"/>
                <w:b w:val="0"/>
                <w:kern w:val="2"/>
                <w:sz w:val="22"/>
                <w:szCs w:val="22"/>
                <w:lang w:eastAsia="fr-CH"/>
                <w14:ligatures w14:val="standardContextual"/>
              </w:rPr>
              <w:tab/>
            </w:r>
            <w:r w:rsidR="000116C2" w:rsidRPr="00AE45FA">
              <w:rPr>
                <w:rStyle w:val="Lienhypertexte"/>
              </w:rPr>
              <w:t>Incidences informatiques</w:t>
            </w:r>
            <w:r w:rsidR="000116C2">
              <w:rPr>
                <w:webHidden/>
              </w:rPr>
              <w:tab/>
            </w:r>
            <w:r w:rsidR="000116C2">
              <w:rPr>
                <w:webHidden/>
              </w:rPr>
              <w:fldChar w:fldCharType="begin"/>
            </w:r>
            <w:r w:rsidR="000116C2">
              <w:rPr>
                <w:webHidden/>
              </w:rPr>
              <w:instrText xml:space="preserve"> PAGEREF _Toc159832167 \h </w:instrText>
            </w:r>
            <w:r w:rsidR="000116C2">
              <w:rPr>
                <w:webHidden/>
              </w:rPr>
            </w:r>
            <w:r w:rsidR="000116C2">
              <w:rPr>
                <w:webHidden/>
              </w:rPr>
              <w:fldChar w:fldCharType="separate"/>
            </w:r>
            <w:r w:rsidR="000116C2">
              <w:rPr>
                <w:webHidden/>
              </w:rPr>
              <w:t>8</w:t>
            </w:r>
            <w:r w:rsidR="000116C2">
              <w:rPr>
                <w:webHidden/>
              </w:rPr>
              <w:fldChar w:fldCharType="end"/>
            </w:r>
          </w:hyperlink>
        </w:p>
        <w:p w14:paraId="5C073FAA" w14:textId="564A69BC" w:rsidR="000116C2" w:rsidRDefault="005907D2">
          <w:pPr>
            <w:pStyle w:val="TM1"/>
            <w:rPr>
              <w:rFonts w:asciiTheme="minorHAnsi" w:eastAsiaTheme="minorEastAsia" w:hAnsiTheme="minorHAnsi"/>
              <w:b w:val="0"/>
              <w:kern w:val="2"/>
              <w:sz w:val="22"/>
              <w:szCs w:val="22"/>
              <w:lang w:eastAsia="fr-CH"/>
              <w14:ligatures w14:val="standardContextual"/>
            </w:rPr>
          </w:pPr>
          <w:hyperlink w:anchor="_Toc159832168" w:history="1">
            <w:r w:rsidR="000116C2" w:rsidRPr="00AE45FA">
              <w:rPr>
                <w:rStyle w:val="Lienhypertexte"/>
              </w:rPr>
              <w:t>5</w:t>
            </w:r>
            <w:r w:rsidR="000116C2">
              <w:rPr>
                <w:rFonts w:asciiTheme="minorHAnsi" w:eastAsiaTheme="minorEastAsia" w:hAnsiTheme="minorHAnsi"/>
                <w:b w:val="0"/>
                <w:kern w:val="2"/>
                <w:sz w:val="22"/>
                <w:szCs w:val="22"/>
                <w:lang w:eastAsia="fr-CH"/>
                <w14:ligatures w14:val="standardContextual"/>
              </w:rPr>
              <w:tab/>
            </w:r>
            <w:r w:rsidR="000116C2" w:rsidRPr="00AE45FA">
              <w:rPr>
                <w:rStyle w:val="Lienhypertexte"/>
              </w:rPr>
              <w:t>Aspects juridiques</w:t>
            </w:r>
            <w:r w:rsidR="000116C2">
              <w:rPr>
                <w:webHidden/>
              </w:rPr>
              <w:tab/>
            </w:r>
            <w:r w:rsidR="000116C2">
              <w:rPr>
                <w:webHidden/>
              </w:rPr>
              <w:fldChar w:fldCharType="begin"/>
            </w:r>
            <w:r w:rsidR="000116C2">
              <w:rPr>
                <w:webHidden/>
              </w:rPr>
              <w:instrText xml:space="preserve"> PAGEREF _Toc159832168 \h </w:instrText>
            </w:r>
            <w:r w:rsidR="000116C2">
              <w:rPr>
                <w:webHidden/>
              </w:rPr>
            </w:r>
            <w:r w:rsidR="000116C2">
              <w:rPr>
                <w:webHidden/>
              </w:rPr>
              <w:fldChar w:fldCharType="separate"/>
            </w:r>
            <w:r w:rsidR="000116C2">
              <w:rPr>
                <w:webHidden/>
              </w:rPr>
              <w:t>8</w:t>
            </w:r>
            <w:r w:rsidR="000116C2">
              <w:rPr>
                <w:webHidden/>
              </w:rPr>
              <w:fldChar w:fldCharType="end"/>
            </w:r>
          </w:hyperlink>
        </w:p>
        <w:p w14:paraId="1D224536" w14:textId="59119AF1" w:rsidR="000116C2" w:rsidRDefault="005907D2">
          <w:pPr>
            <w:pStyle w:val="TM2"/>
            <w:tabs>
              <w:tab w:val="right" w:pos="9910"/>
            </w:tabs>
            <w:rPr>
              <w:rFonts w:asciiTheme="minorHAnsi" w:eastAsiaTheme="minorEastAsia" w:hAnsiTheme="minorHAnsi"/>
              <w:b w:val="0"/>
              <w:kern w:val="2"/>
              <w:sz w:val="22"/>
              <w:szCs w:val="22"/>
              <w:lang w:eastAsia="fr-CH"/>
              <w14:ligatures w14:val="standardContextual"/>
            </w:rPr>
          </w:pPr>
          <w:hyperlink w:anchor="_Toc159832169" w:history="1">
            <w:r w:rsidR="000116C2" w:rsidRPr="00AE45FA">
              <w:rPr>
                <w:rStyle w:val="Lienhypertexte"/>
              </w:rPr>
              <w:t>5.1</w:t>
            </w:r>
            <w:r w:rsidR="000116C2">
              <w:rPr>
                <w:rFonts w:asciiTheme="minorHAnsi" w:eastAsiaTheme="minorEastAsia" w:hAnsiTheme="minorHAnsi"/>
                <w:b w:val="0"/>
                <w:kern w:val="2"/>
                <w:sz w:val="22"/>
                <w:szCs w:val="22"/>
                <w:lang w:eastAsia="fr-CH"/>
                <w14:ligatures w14:val="standardContextual"/>
              </w:rPr>
              <w:tab/>
            </w:r>
            <w:r w:rsidR="000116C2" w:rsidRPr="00AE45FA">
              <w:rPr>
                <w:rStyle w:val="Lienhypertexte"/>
              </w:rPr>
              <w:t>Référendum</w:t>
            </w:r>
            <w:r w:rsidR="000116C2">
              <w:rPr>
                <w:webHidden/>
              </w:rPr>
              <w:tab/>
            </w:r>
            <w:r w:rsidR="000116C2">
              <w:rPr>
                <w:webHidden/>
              </w:rPr>
              <w:fldChar w:fldCharType="begin"/>
            </w:r>
            <w:r w:rsidR="000116C2">
              <w:rPr>
                <w:webHidden/>
              </w:rPr>
              <w:instrText xml:space="preserve"> PAGEREF _Toc159832169 \h </w:instrText>
            </w:r>
            <w:r w:rsidR="000116C2">
              <w:rPr>
                <w:webHidden/>
              </w:rPr>
            </w:r>
            <w:r w:rsidR="000116C2">
              <w:rPr>
                <w:webHidden/>
              </w:rPr>
              <w:fldChar w:fldCharType="separate"/>
            </w:r>
            <w:r w:rsidR="000116C2">
              <w:rPr>
                <w:webHidden/>
              </w:rPr>
              <w:t>8</w:t>
            </w:r>
            <w:r w:rsidR="000116C2">
              <w:rPr>
                <w:webHidden/>
              </w:rPr>
              <w:fldChar w:fldCharType="end"/>
            </w:r>
          </w:hyperlink>
        </w:p>
        <w:p w14:paraId="46C5FB0A" w14:textId="06362D31" w:rsidR="000116C2" w:rsidRDefault="005907D2">
          <w:pPr>
            <w:pStyle w:val="TM2"/>
            <w:tabs>
              <w:tab w:val="right" w:pos="9910"/>
            </w:tabs>
            <w:rPr>
              <w:rFonts w:asciiTheme="minorHAnsi" w:eastAsiaTheme="minorEastAsia" w:hAnsiTheme="minorHAnsi"/>
              <w:b w:val="0"/>
              <w:kern w:val="2"/>
              <w:sz w:val="22"/>
              <w:szCs w:val="22"/>
              <w:lang w:eastAsia="fr-CH"/>
              <w14:ligatures w14:val="standardContextual"/>
            </w:rPr>
          </w:pPr>
          <w:hyperlink w:anchor="_Toc159832170" w:history="1">
            <w:r w:rsidR="000116C2" w:rsidRPr="00AE45FA">
              <w:rPr>
                <w:rStyle w:val="Lienhypertexte"/>
              </w:rPr>
              <w:t>5.2</w:t>
            </w:r>
            <w:r w:rsidR="000116C2">
              <w:rPr>
                <w:rFonts w:asciiTheme="minorHAnsi" w:eastAsiaTheme="minorEastAsia" w:hAnsiTheme="minorHAnsi"/>
                <w:b w:val="0"/>
                <w:kern w:val="2"/>
                <w:sz w:val="22"/>
                <w:szCs w:val="22"/>
                <w:lang w:eastAsia="fr-CH"/>
                <w14:ligatures w14:val="standardContextual"/>
              </w:rPr>
              <w:tab/>
            </w:r>
            <w:r w:rsidR="000116C2" w:rsidRPr="00AE45FA">
              <w:rPr>
                <w:rStyle w:val="Lienhypertexte"/>
              </w:rPr>
              <w:t>Développement durable</w:t>
            </w:r>
            <w:r w:rsidR="000116C2">
              <w:rPr>
                <w:webHidden/>
              </w:rPr>
              <w:tab/>
            </w:r>
            <w:r w:rsidR="000116C2">
              <w:rPr>
                <w:webHidden/>
              </w:rPr>
              <w:fldChar w:fldCharType="begin"/>
            </w:r>
            <w:r w:rsidR="000116C2">
              <w:rPr>
                <w:webHidden/>
              </w:rPr>
              <w:instrText xml:space="preserve"> PAGEREF _Toc159832170 \h </w:instrText>
            </w:r>
            <w:r w:rsidR="000116C2">
              <w:rPr>
                <w:webHidden/>
              </w:rPr>
            </w:r>
            <w:r w:rsidR="000116C2">
              <w:rPr>
                <w:webHidden/>
              </w:rPr>
              <w:fldChar w:fldCharType="separate"/>
            </w:r>
            <w:r w:rsidR="000116C2">
              <w:rPr>
                <w:webHidden/>
              </w:rPr>
              <w:t>8</w:t>
            </w:r>
            <w:r w:rsidR="000116C2">
              <w:rPr>
                <w:webHidden/>
              </w:rPr>
              <w:fldChar w:fldCharType="end"/>
            </w:r>
          </w:hyperlink>
        </w:p>
        <w:p w14:paraId="69B42A70" w14:textId="343C80FB" w:rsidR="009E1AF4" w:rsidRDefault="009E1AF4">
          <w:r>
            <w:fldChar w:fldCharType="end"/>
          </w:r>
        </w:p>
      </w:sdtContent>
    </w:sdt>
    <w:p w14:paraId="3FCCECEB" w14:textId="77777777" w:rsidR="009E1AF4" w:rsidRDefault="009E1AF4" w:rsidP="00FD0818">
      <w:r>
        <w:br w:type="page"/>
      </w:r>
    </w:p>
    <w:p w14:paraId="33A9D23B" w14:textId="4D77B470" w:rsidR="009E1AF4" w:rsidRDefault="00C17504" w:rsidP="00DC4643">
      <w:pPr>
        <w:pStyle w:val="Titre1"/>
      </w:pPr>
      <w:bookmarkStart w:id="0" w:name="_Toc159832152"/>
      <w:r>
        <w:lastRenderedPageBreak/>
        <w:t>Introduction</w:t>
      </w:r>
      <w:bookmarkEnd w:id="0"/>
    </w:p>
    <w:p w14:paraId="14F2F9A1" w14:textId="77777777" w:rsidR="009E1AF4" w:rsidRDefault="009E1AF4" w:rsidP="00970383">
      <w:pPr>
        <w:pStyle w:val="Tiret"/>
      </w:pPr>
      <w:r w:rsidRPr="00C17504">
        <w:t>—</w:t>
      </w:r>
    </w:p>
    <w:p w14:paraId="094B6B3E" w14:textId="63E96F2E" w:rsidR="009E1AF4" w:rsidRPr="00AD2B58" w:rsidRDefault="008C064E" w:rsidP="00AD2B58">
      <w:pPr>
        <w:pStyle w:val="Corpsdetexte"/>
      </w:pPr>
      <w:r>
        <w:t xml:space="preserve">La présente révision </w:t>
      </w:r>
      <w:r w:rsidR="00F265DE">
        <w:t>vise à</w:t>
      </w:r>
      <w:r>
        <w:t xml:space="preserve"> </w:t>
      </w:r>
      <w:r w:rsidR="00F265DE">
        <w:t>introduire, au niveau cantonal, les modifications apportées à la législation fédérale en matière d’i</w:t>
      </w:r>
      <w:r>
        <w:t xml:space="preserve">mposition </w:t>
      </w:r>
      <w:r w:rsidR="00F265DE">
        <w:t xml:space="preserve">des </w:t>
      </w:r>
      <w:r>
        <w:t>rentes viagères</w:t>
      </w:r>
      <w:r w:rsidR="00F265DE">
        <w:t xml:space="preserve">. </w:t>
      </w:r>
      <w:r w:rsidR="00B94533">
        <w:t xml:space="preserve">La présente révision introduit une imposition réduite du capital dans le cadre de </w:t>
      </w:r>
      <w:r>
        <w:t>prêts intragroupes</w:t>
      </w:r>
      <w:r w:rsidR="00B94533">
        <w:t>. L’avant-projet précise en outre le</w:t>
      </w:r>
      <w:r>
        <w:t xml:space="preserve"> secret fiscal </w:t>
      </w:r>
      <w:r w:rsidR="00B94533">
        <w:t xml:space="preserve">auquel sont soumises les </w:t>
      </w:r>
      <w:r>
        <w:t xml:space="preserve">paroisses </w:t>
      </w:r>
      <w:r w:rsidR="00B94533">
        <w:t>dans le contexte de</w:t>
      </w:r>
      <w:r w:rsidR="00777C98">
        <w:t xml:space="preserve"> la perception de</w:t>
      </w:r>
      <w:r w:rsidR="00B94533">
        <w:t xml:space="preserve"> l’impôt ecclésiastique. Il </w:t>
      </w:r>
      <w:r w:rsidR="0035747D">
        <w:t xml:space="preserve">introduit la possibilité, pour l’autorité fiscale, de notifier les décisions par voie électronique. L’avant-projet </w:t>
      </w:r>
      <w:r w:rsidR="00B94533">
        <w:t xml:space="preserve">énonce de surcroît les </w:t>
      </w:r>
      <w:r w:rsidR="00777C98">
        <w:t>détails sur l</w:t>
      </w:r>
      <w:r w:rsidR="00B94533">
        <w:t>es</w:t>
      </w:r>
      <w:r>
        <w:t xml:space="preserve"> publication</w:t>
      </w:r>
      <w:r w:rsidR="00B94533">
        <w:t xml:space="preserve">s </w:t>
      </w:r>
      <w:r w:rsidR="00777C98">
        <w:t xml:space="preserve">de l’autorité fiscale </w:t>
      </w:r>
      <w:r w:rsidR="00B94533">
        <w:t xml:space="preserve">dans la Feuille officielle. </w:t>
      </w:r>
      <w:r w:rsidR="00802B16">
        <w:t>L’avant-projet introduit l’obligation, pour les caisses de chômage, de transmettre au SCC une attestation sur les prestations versées en application de la législation en matière de chômage.</w:t>
      </w:r>
      <w:r w:rsidR="00DF0E1A">
        <w:t xml:space="preserve"> L’avant-projet met par ailleurs en œuvre la motion par laquelle une garantie sera retenue, par le notaire, sur le prix d’aliénation </w:t>
      </w:r>
      <w:r w:rsidR="00DF0E1A" w:rsidRPr="00B94533">
        <w:t>lors de ventes immobilières de manière à garantir le paiement de l’impôt sur le gain immobilier</w:t>
      </w:r>
      <w:r w:rsidR="00DF0E1A">
        <w:t xml:space="preserve">. </w:t>
      </w:r>
      <w:r w:rsidR="00802B16">
        <w:t xml:space="preserve"> </w:t>
      </w:r>
      <w:r w:rsidR="00B94533">
        <w:t xml:space="preserve">Des corrections de nature purement formelle sont </w:t>
      </w:r>
      <w:r w:rsidR="001E2235">
        <w:t>également prévues dans le présent avant-projet.</w:t>
      </w:r>
    </w:p>
    <w:p w14:paraId="6E6349DB" w14:textId="6E82237C" w:rsidR="009E1AF4" w:rsidRDefault="00C17504" w:rsidP="00B01E1B">
      <w:pPr>
        <w:pStyle w:val="Titre1"/>
      </w:pPr>
      <w:bookmarkStart w:id="1" w:name="_Toc159832153"/>
      <w:r>
        <w:t>Modifications proposées</w:t>
      </w:r>
      <w:bookmarkEnd w:id="1"/>
    </w:p>
    <w:p w14:paraId="72154753" w14:textId="77777777" w:rsidR="009E1AF4" w:rsidRDefault="009E1AF4" w:rsidP="008756FD">
      <w:pPr>
        <w:pStyle w:val="Tiret"/>
      </w:pPr>
      <w:r>
        <w:t>—</w:t>
      </w:r>
    </w:p>
    <w:p w14:paraId="777A4D72" w14:textId="6380CB33" w:rsidR="009E1AF4" w:rsidRDefault="000632BB" w:rsidP="00DC4643">
      <w:pPr>
        <w:pStyle w:val="Titre2"/>
      </w:pPr>
      <w:bookmarkStart w:id="2" w:name="_Toc159832154"/>
      <w:r>
        <w:t>Flexibilisation de l’imposition des rentes viagères</w:t>
      </w:r>
      <w:bookmarkEnd w:id="2"/>
      <w:r w:rsidR="00B94533">
        <w:t xml:space="preserve"> </w:t>
      </w:r>
    </w:p>
    <w:p w14:paraId="35367194" w14:textId="5197CC7B" w:rsidR="000632BB" w:rsidRDefault="009F509F" w:rsidP="000632BB">
      <w:pPr>
        <w:pStyle w:val="Corpsdetexte"/>
      </w:pPr>
      <w:r w:rsidRPr="009F509F">
        <w:t xml:space="preserve">Les rentes viagères sont actuellement imposées à raison de 40% en tant que rendement forfaitaire. Dans le contexte des taux d'intérêt </w:t>
      </w:r>
      <w:r>
        <w:t>désormais</w:t>
      </w:r>
      <w:r w:rsidRPr="009F509F">
        <w:t xml:space="preserve"> pratiqués, il en résulte une surimposition</w:t>
      </w:r>
      <w:r>
        <w:t xml:space="preserve">. La Confédération a décidé de modifier la loi fédérale du 14 décembre 1990 sur l’impôt fédéral direct (LIFD – RS 642.11), la loi fédérale du 14 décembre 1990 sur l’harmonisation des impôts directs des cantons et des communes (LHID – RS </w:t>
      </w:r>
      <w:r w:rsidR="00550E6A">
        <w:t xml:space="preserve">642.14) ainsi que la loi fédérale du 13 octobre 1965 sur l’impôt anticipé (LIA – RS 642.21) afin </w:t>
      </w:r>
      <w:r w:rsidRPr="009F509F">
        <w:t xml:space="preserve">de flexibiliser la part imposable des revenus de rentes viagères. </w:t>
      </w:r>
      <w:r w:rsidR="00550E6A">
        <w:t>L’entrée en vigueur des nouvelles dispositions fédérales est prévue au 1</w:t>
      </w:r>
      <w:r w:rsidR="00550E6A" w:rsidRPr="00550E6A">
        <w:rPr>
          <w:vertAlign w:val="superscript"/>
        </w:rPr>
        <w:t>er</w:t>
      </w:r>
      <w:r w:rsidR="00550E6A">
        <w:t xml:space="preserve"> janvier 2025. L</w:t>
      </w:r>
      <w:r w:rsidR="006D33C7">
        <w:t xml:space="preserve">es </w:t>
      </w:r>
      <w:r w:rsidR="00550E6A">
        <w:t>article</w:t>
      </w:r>
      <w:r w:rsidR="006D33C7">
        <w:t>s</w:t>
      </w:r>
      <w:r w:rsidR="00550E6A">
        <w:t xml:space="preserve"> 23</w:t>
      </w:r>
      <w:r w:rsidR="006D33C7">
        <w:t xml:space="preserve"> al. 3</w:t>
      </w:r>
      <w:r w:rsidR="003552CE">
        <w:t xml:space="preserve">, </w:t>
      </w:r>
      <w:r w:rsidR="006D33C7">
        <w:t>34 al. 1 let. b</w:t>
      </w:r>
      <w:r w:rsidR="00550E6A">
        <w:t xml:space="preserve"> </w:t>
      </w:r>
      <w:r w:rsidR="003552CE">
        <w:t xml:space="preserve">et 160 al. 1 let. c </w:t>
      </w:r>
      <w:r w:rsidR="00550E6A">
        <w:t xml:space="preserve">de la </w:t>
      </w:r>
      <w:r w:rsidR="00583B32">
        <w:t>loi sur les impôts cantonaux directs (LICD – RSF 631.1) doi</w:t>
      </w:r>
      <w:r w:rsidR="006D33C7">
        <w:t>ven</w:t>
      </w:r>
      <w:r w:rsidR="00583B32">
        <w:t>t dès lors être adapté</w:t>
      </w:r>
      <w:r w:rsidR="006D33C7">
        <w:t xml:space="preserve">s en conséquence. </w:t>
      </w:r>
      <w:r w:rsidR="00583B32">
        <w:t xml:space="preserve">  </w:t>
      </w:r>
      <w:r w:rsidRPr="009F509F">
        <w:t xml:space="preserve"> </w:t>
      </w:r>
    </w:p>
    <w:p w14:paraId="491726D2" w14:textId="77777777" w:rsidR="00182FEA" w:rsidRDefault="00182FEA" w:rsidP="002825F8">
      <w:pPr>
        <w:pStyle w:val="Corpsdetexte"/>
      </w:pPr>
    </w:p>
    <w:p w14:paraId="0E9D4F0E" w14:textId="3710422A" w:rsidR="002825F8" w:rsidRDefault="002825F8" w:rsidP="002825F8">
      <w:pPr>
        <w:pStyle w:val="Titre2"/>
      </w:pPr>
      <w:bookmarkStart w:id="3" w:name="_Toc159832155"/>
      <w:r>
        <w:t>Imposition réduite du capital dans le cadre de prêts intragroupes</w:t>
      </w:r>
      <w:bookmarkEnd w:id="3"/>
      <w:r>
        <w:t xml:space="preserve"> </w:t>
      </w:r>
    </w:p>
    <w:p w14:paraId="7DC10B60" w14:textId="77777777" w:rsidR="00EF4EC3" w:rsidRDefault="002825F8" w:rsidP="00E9550D">
      <w:pPr>
        <w:pStyle w:val="Corpsdetexte"/>
      </w:pPr>
      <w:r>
        <w:t>Depuis la réforme fiscale et du financement de l’AVS (RFFA), entrée en vigueur au 1</w:t>
      </w:r>
      <w:r w:rsidRPr="0038783C">
        <w:rPr>
          <w:vertAlign w:val="superscript"/>
        </w:rPr>
        <w:t>er</w:t>
      </w:r>
      <w:r w:rsidR="0038783C">
        <w:t xml:space="preserve"> </w:t>
      </w:r>
      <w:r>
        <w:t xml:space="preserve">janvier 2020, la LHID (art. 29 al. 3) offre la possibilité aux cantons de mettre en œuvre une imposition réduite du capital propre afférent </w:t>
      </w:r>
      <w:r w:rsidR="00E9550D">
        <w:t>aux droits de participations, aux brevets et droits comparables ainsi qu’</w:t>
      </w:r>
      <w:r>
        <w:t xml:space="preserve">aux prêts consentis à des sociétés du groupe (prêts intragroupes). </w:t>
      </w:r>
      <w:r w:rsidR="008A57CB">
        <w:t>Lors de</w:t>
      </w:r>
      <w:r w:rsidR="00E9550D">
        <w:t xml:space="preserve"> la RFFA, l</w:t>
      </w:r>
      <w:r>
        <w:t xml:space="preserve">e canton de Fribourg a introduit </w:t>
      </w:r>
      <w:r w:rsidR="00A84DA1">
        <w:t>une</w:t>
      </w:r>
      <w:r>
        <w:t xml:space="preserve"> telle </w:t>
      </w:r>
      <w:r w:rsidR="00A84DA1">
        <w:t>mesure</w:t>
      </w:r>
      <w:r w:rsidR="00F9019C">
        <w:t xml:space="preserve"> </w:t>
      </w:r>
      <w:r w:rsidR="00E9550D">
        <w:t>pour les droits de participations (art. 111 et 112 LICD) et pour les brevets et droits comparables (art. 103a LICD) uniquement</w:t>
      </w:r>
      <w:r w:rsidR="00EF4EC3">
        <w:t xml:space="preserve">. </w:t>
      </w:r>
    </w:p>
    <w:p w14:paraId="0C4B6100" w14:textId="4F675C73" w:rsidR="00AC0F59" w:rsidRDefault="00E97999" w:rsidP="00E9550D">
      <w:pPr>
        <w:pStyle w:val="Corpsdetexte"/>
      </w:pPr>
      <w:r>
        <w:t>Ce</w:t>
      </w:r>
      <w:r w:rsidR="007E36E1">
        <w:t xml:space="preserve">la correspondait aux mesures </w:t>
      </w:r>
      <w:r w:rsidR="00F72480">
        <w:t>prévu</w:t>
      </w:r>
      <w:r w:rsidR="007E36E1">
        <w:t>es</w:t>
      </w:r>
      <w:r w:rsidR="00F72480">
        <w:t xml:space="preserve"> initialement dans le projet fiscal 17</w:t>
      </w:r>
      <w:r w:rsidR="00C90FD4">
        <w:t xml:space="preserve"> (PF17)</w:t>
      </w:r>
      <w:r w:rsidR="00F72480">
        <w:t>.</w:t>
      </w:r>
      <w:r w:rsidR="007E36E1">
        <w:t xml:space="preserve"> </w:t>
      </w:r>
      <w:r w:rsidR="005F463C">
        <w:t xml:space="preserve">Dans la perspective d’obtenir un consensus plus large, </w:t>
      </w:r>
      <w:r w:rsidR="00C5704A">
        <w:t>ce projet a</w:t>
      </w:r>
      <w:r w:rsidR="00335FB2">
        <w:t>vait</w:t>
      </w:r>
      <w:r w:rsidR="00C5704A">
        <w:t xml:space="preserve"> </w:t>
      </w:r>
      <w:r w:rsidR="00DB58D5">
        <w:t xml:space="preserve">été modifié </w:t>
      </w:r>
      <w:r w:rsidR="00C5704A">
        <w:t>sur plusieurs points</w:t>
      </w:r>
      <w:r w:rsidR="005F463C">
        <w:t xml:space="preserve"> (</w:t>
      </w:r>
      <w:r w:rsidR="00C76BA7">
        <w:t xml:space="preserve">et </w:t>
      </w:r>
      <w:r w:rsidR="005F463C">
        <w:t>a</w:t>
      </w:r>
      <w:r w:rsidR="004074F6">
        <w:t>vait par ailleurs</w:t>
      </w:r>
      <w:r w:rsidR="005F463C">
        <w:t xml:space="preserve"> </w:t>
      </w:r>
      <w:r w:rsidR="007056E7">
        <w:t xml:space="preserve">aussi </w:t>
      </w:r>
      <w:r w:rsidR="005F463C">
        <w:t>changé de nom pour devenir RFFA)</w:t>
      </w:r>
      <w:r w:rsidR="00C76BA7">
        <w:t>.</w:t>
      </w:r>
      <w:r w:rsidR="00DB58D5">
        <w:t xml:space="preserve"> Deux changements portaient </w:t>
      </w:r>
      <w:r w:rsidR="00A60075">
        <w:t xml:space="preserve">alors </w:t>
      </w:r>
      <w:r w:rsidR="00DB58D5">
        <w:t xml:space="preserve">sur </w:t>
      </w:r>
      <w:r w:rsidR="00390E8D">
        <w:t xml:space="preserve">l’introduction de la </w:t>
      </w:r>
      <w:r w:rsidR="00E87E62">
        <w:t xml:space="preserve">déduction </w:t>
      </w:r>
      <w:r w:rsidR="00ED6BC2">
        <w:t>pour autofinancement</w:t>
      </w:r>
      <w:r w:rsidR="000E0AC9">
        <w:t xml:space="preserve"> à la condition que le taux d’impôt cantonal/communal/paroissial sur le bénéfice ne soit pas inférieur à 13</w:t>
      </w:r>
      <w:r w:rsidR="00B86C05">
        <w:t xml:space="preserve">.5%, ainsi que </w:t>
      </w:r>
      <w:r w:rsidR="00A20CE5">
        <w:t xml:space="preserve">sur </w:t>
      </w:r>
      <w:r w:rsidR="00B86C05">
        <w:t>l’éligibilité des prêts</w:t>
      </w:r>
      <w:r w:rsidR="00F56063">
        <w:t xml:space="preserve"> intragroupes </w:t>
      </w:r>
      <w:r w:rsidR="00B86C05">
        <w:t xml:space="preserve">pour </w:t>
      </w:r>
      <w:r w:rsidR="00D902CE">
        <w:t>l’imposition réduite du capital.</w:t>
      </w:r>
      <w:r w:rsidR="00F72480">
        <w:t xml:space="preserve"> </w:t>
      </w:r>
    </w:p>
    <w:p w14:paraId="61DF6AB5" w14:textId="771FE776" w:rsidR="00785A24" w:rsidRPr="004256D4" w:rsidRDefault="006002F6" w:rsidP="00AE1195">
      <w:pPr>
        <w:pStyle w:val="Corpsdetexte"/>
      </w:pPr>
      <w:r>
        <w:t xml:space="preserve">Une comparaison intercantonale </w:t>
      </w:r>
      <w:r w:rsidR="00A9146A" w:rsidRPr="00AE1195">
        <w:t xml:space="preserve">permet de constater que </w:t>
      </w:r>
      <w:r w:rsidR="00FA729E">
        <w:t xml:space="preserve">Fribourg </w:t>
      </w:r>
      <w:r w:rsidR="00A9146A" w:rsidRPr="00AE1195">
        <w:t xml:space="preserve">n’est pas en bonne position </w:t>
      </w:r>
      <w:r w:rsidR="00BF0551" w:rsidRPr="00AE1195">
        <w:t xml:space="preserve">au niveau de l’imposition du capital. A noter aussi que </w:t>
      </w:r>
      <w:r w:rsidR="00857E1F" w:rsidRPr="00AE1195">
        <w:t xml:space="preserve">notre canton </w:t>
      </w:r>
      <w:r w:rsidR="00BF0551" w:rsidRPr="004256D4">
        <w:t xml:space="preserve">est le seul à exclure les prêts intragroupes </w:t>
      </w:r>
      <w:r w:rsidR="002E488E" w:rsidRPr="004256D4">
        <w:t>pour l’imposition réduite du capital.</w:t>
      </w:r>
    </w:p>
    <w:p w14:paraId="29D9CBDC" w14:textId="7DAA7754" w:rsidR="00FA70DE" w:rsidRPr="00AE1195" w:rsidRDefault="00547C10" w:rsidP="00FA70DE">
      <w:pPr>
        <w:pStyle w:val="Corpsdetexte"/>
        <w:rPr>
          <w:rFonts w:cstheme="minorHAnsi"/>
        </w:rPr>
      </w:pPr>
      <w:r w:rsidRPr="00AE1195">
        <w:t xml:space="preserve">Le Conseil d’Etat propose </w:t>
      </w:r>
      <w:r w:rsidR="0004140B" w:rsidRPr="00AE1195">
        <w:t>d’étendre l’imposition réduite du capital au prêt intragroupe pour plusieurs raison</w:t>
      </w:r>
      <w:r w:rsidR="008F42E8">
        <w:t>s</w:t>
      </w:r>
      <w:r w:rsidR="00CE1A93" w:rsidRPr="00AE1195">
        <w:t>.</w:t>
      </w:r>
      <w:r w:rsidR="00857E1F" w:rsidRPr="00AE1195">
        <w:t xml:space="preserve"> </w:t>
      </w:r>
      <w:r w:rsidR="00FA70DE" w:rsidRPr="00AE1195">
        <w:t>Tout d’abord, cette mesure permet d’améliorer l’attractivité du canton au niveau de l’impôt sur le capital</w:t>
      </w:r>
      <w:r w:rsidR="00750535">
        <w:t xml:space="preserve">. </w:t>
      </w:r>
      <w:r w:rsidR="000A47E9">
        <w:t>Son</w:t>
      </w:r>
      <w:r w:rsidR="00FA70DE" w:rsidRPr="00AE1195">
        <w:t xml:space="preserve"> co</w:t>
      </w:r>
      <w:r w:rsidR="00FA70DE" w:rsidRPr="00AE1195">
        <w:rPr>
          <w:rFonts w:cstheme="minorHAnsi"/>
        </w:rPr>
        <w:t xml:space="preserve">ût </w:t>
      </w:r>
      <w:r w:rsidR="000A47E9">
        <w:rPr>
          <w:rFonts w:cstheme="minorHAnsi"/>
        </w:rPr>
        <w:t>est estimé au</w:t>
      </w:r>
      <w:r w:rsidR="00FA70DE" w:rsidRPr="00AE1195">
        <w:rPr>
          <w:rFonts w:cstheme="minorHAnsi"/>
        </w:rPr>
        <w:t xml:space="preserve"> chiffre 4 ci-après. </w:t>
      </w:r>
    </w:p>
    <w:p w14:paraId="3DC2BCED" w14:textId="75F91FE4" w:rsidR="00236322" w:rsidRPr="00AE1195" w:rsidRDefault="00857E1F" w:rsidP="00E41938">
      <w:pPr>
        <w:pStyle w:val="Corpsdetexte"/>
        <w:rPr>
          <w:rFonts w:cstheme="minorHAnsi"/>
        </w:rPr>
      </w:pPr>
      <w:r w:rsidRPr="00AE1195">
        <w:rPr>
          <w:rFonts w:cstheme="minorHAnsi"/>
        </w:rPr>
        <w:lastRenderedPageBreak/>
        <w:t>L</w:t>
      </w:r>
      <w:r w:rsidR="005A0CE4" w:rsidRPr="00AE1195">
        <w:rPr>
          <w:rFonts w:cstheme="minorHAnsi"/>
        </w:rPr>
        <w:t xml:space="preserve">a </w:t>
      </w:r>
      <w:r w:rsidR="001109B4">
        <w:rPr>
          <w:rFonts w:cstheme="minorHAnsi"/>
        </w:rPr>
        <w:t>deuxième raison</w:t>
      </w:r>
      <w:r w:rsidR="00FD437B">
        <w:rPr>
          <w:rFonts w:cstheme="minorHAnsi"/>
        </w:rPr>
        <w:t xml:space="preserve"> </w:t>
      </w:r>
      <w:r w:rsidR="00AE1195" w:rsidRPr="00AE1195">
        <w:rPr>
          <w:rFonts w:cstheme="minorHAnsi"/>
        </w:rPr>
        <w:t xml:space="preserve">est à </w:t>
      </w:r>
      <w:r w:rsidR="005A0CE4" w:rsidRPr="00AE1195">
        <w:rPr>
          <w:rFonts w:cstheme="minorHAnsi"/>
        </w:rPr>
        <w:t xml:space="preserve">mettre en rapport avec </w:t>
      </w:r>
      <w:r w:rsidR="007142AE" w:rsidRPr="00AE1195">
        <w:rPr>
          <w:rFonts w:cstheme="minorHAnsi"/>
        </w:rPr>
        <w:t>la construction de la réforme fiscale dans notre canton.</w:t>
      </w:r>
      <w:r w:rsidRPr="00AE1195">
        <w:rPr>
          <w:rFonts w:cstheme="minorHAnsi"/>
        </w:rPr>
        <w:t xml:space="preserve"> </w:t>
      </w:r>
      <w:r w:rsidR="00152189" w:rsidRPr="00AE1195">
        <w:rPr>
          <w:rFonts w:cstheme="minorHAnsi"/>
        </w:rPr>
        <w:t xml:space="preserve">La suppression des statuts fiscaux cantonaux </w:t>
      </w:r>
      <w:r w:rsidRPr="00AE1195">
        <w:rPr>
          <w:rFonts w:cstheme="minorHAnsi"/>
        </w:rPr>
        <w:t xml:space="preserve">était supposée </w:t>
      </w:r>
      <w:r w:rsidR="00152189" w:rsidRPr="00AE1195">
        <w:rPr>
          <w:rFonts w:cstheme="minorHAnsi"/>
        </w:rPr>
        <w:t>engendr</w:t>
      </w:r>
      <w:r w:rsidRPr="00AE1195">
        <w:rPr>
          <w:rFonts w:cstheme="minorHAnsi"/>
        </w:rPr>
        <w:t>er</w:t>
      </w:r>
      <w:r w:rsidR="00152189" w:rsidRPr="00AE1195">
        <w:rPr>
          <w:rFonts w:cstheme="minorHAnsi"/>
        </w:rPr>
        <w:t xml:space="preserve"> une augmentation de l’impôt sur le capital de toutes les sociétés au bénéfice d’un statut cantonal. Dans le cadre des estimations du coût global de cette réforme, on avait alors constaté que l’augmentation de l’impôt sur le capital des </w:t>
      </w:r>
      <w:r w:rsidR="00BD640A" w:rsidRPr="00AE1195">
        <w:rPr>
          <w:rFonts w:cstheme="minorHAnsi"/>
        </w:rPr>
        <w:t>quatre</w:t>
      </w:r>
      <w:r w:rsidR="00152189" w:rsidRPr="00AE1195">
        <w:rPr>
          <w:rFonts w:cstheme="minorHAnsi"/>
        </w:rPr>
        <w:t xml:space="preserve"> plus grandes sociétés </w:t>
      </w:r>
      <w:r w:rsidRPr="00AE1195">
        <w:rPr>
          <w:rFonts w:cstheme="minorHAnsi"/>
        </w:rPr>
        <w:t xml:space="preserve">au bénéfice d’un statut de société </w:t>
      </w:r>
      <w:r w:rsidR="00152189" w:rsidRPr="00AE1195">
        <w:rPr>
          <w:rFonts w:cstheme="minorHAnsi"/>
        </w:rPr>
        <w:t xml:space="preserve">holding devait générer une augmentation des recettes de l’ordre de </w:t>
      </w:r>
      <w:r w:rsidRPr="00AE1195">
        <w:rPr>
          <w:rFonts w:cstheme="minorHAnsi"/>
        </w:rPr>
        <w:t>1</w:t>
      </w:r>
      <w:r w:rsidR="00152189" w:rsidRPr="00AE1195">
        <w:rPr>
          <w:rFonts w:cstheme="minorHAnsi"/>
        </w:rPr>
        <w:t>0.5 millions</w:t>
      </w:r>
      <w:r w:rsidRPr="00AE1195">
        <w:rPr>
          <w:rFonts w:cstheme="minorHAnsi"/>
        </w:rPr>
        <w:t xml:space="preserve"> de francs</w:t>
      </w:r>
      <w:r w:rsidR="00152189" w:rsidRPr="00AE1195">
        <w:rPr>
          <w:rFonts w:cstheme="minorHAnsi"/>
        </w:rPr>
        <w:t xml:space="preserve">. Si l’on se limitait au </w:t>
      </w:r>
      <w:r w:rsidR="00BD640A" w:rsidRPr="00AE1195">
        <w:rPr>
          <w:rFonts w:cstheme="minorHAnsi"/>
        </w:rPr>
        <w:t>trois</w:t>
      </w:r>
      <w:r w:rsidR="00152189" w:rsidRPr="00AE1195">
        <w:rPr>
          <w:rFonts w:cstheme="minorHAnsi"/>
        </w:rPr>
        <w:t xml:space="preserve"> plus grandes, les recettes supplémentaires étaient estimées à 9 millions</w:t>
      </w:r>
      <w:r w:rsidR="00E4576B" w:rsidRPr="00AE1195">
        <w:rPr>
          <w:rFonts w:cstheme="minorHAnsi"/>
        </w:rPr>
        <w:t xml:space="preserve"> de francs</w:t>
      </w:r>
      <w:r w:rsidR="00152189" w:rsidRPr="00AE1195">
        <w:rPr>
          <w:rFonts w:cstheme="minorHAnsi"/>
        </w:rPr>
        <w:t xml:space="preserve">. Ces estimations reposaient sur un taux d’impôt sur le capital tel qu’il est aujourd’hui (i.e. </w:t>
      </w:r>
      <w:r w:rsidR="00E4576B" w:rsidRPr="00AE1195">
        <w:rPr>
          <w:rFonts w:cstheme="minorHAnsi"/>
        </w:rPr>
        <w:t xml:space="preserve">les prêts </w:t>
      </w:r>
      <w:r w:rsidR="00152189" w:rsidRPr="00AE1195">
        <w:rPr>
          <w:rFonts w:cstheme="minorHAnsi"/>
        </w:rPr>
        <w:t xml:space="preserve">intragroupes </w:t>
      </w:r>
      <w:r w:rsidR="00E4576B" w:rsidRPr="00AE1195">
        <w:rPr>
          <w:rFonts w:cstheme="minorHAnsi"/>
        </w:rPr>
        <w:t xml:space="preserve">ne sont pas éligibles </w:t>
      </w:r>
      <w:r w:rsidR="00152189" w:rsidRPr="00AE1195">
        <w:rPr>
          <w:rFonts w:cstheme="minorHAnsi"/>
        </w:rPr>
        <w:t>pour l</w:t>
      </w:r>
      <w:r w:rsidR="00E4576B" w:rsidRPr="00AE1195">
        <w:rPr>
          <w:rFonts w:cstheme="minorHAnsi"/>
        </w:rPr>
        <w:t>’imposition réduite).</w:t>
      </w:r>
      <w:r w:rsidR="00AE1195">
        <w:rPr>
          <w:rFonts w:cstheme="minorHAnsi"/>
        </w:rPr>
        <w:t xml:space="preserve"> </w:t>
      </w:r>
      <w:r w:rsidR="008B08A8" w:rsidRPr="00AE1195">
        <w:rPr>
          <w:rFonts w:cstheme="minorHAnsi"/>
        </w:rPr>
        <w:t>Par mesure de prudence, il a été</w:t>
      </w:r>
      <w:r w:rsidR="00592224" w:rsidRPr="00AE1195">
        <w:rPr>
          <w:rFonts w:cstheme="minorHAnsi"/>
        </w:rPr>
        <w:t xml:space="preserve"> décid</w:t>
      </w:r>
      <w:r w:rsidR="00FF5FA8">
        <w:rPr>
          <w:rFonts w:cstheme="minorHAnsi"/>
        </w:rPr>
        <w:t>é</w:t>
      </w:r>
      <w:r w:rsidR="00592224" w:rsidRPr="00AE1195">
        <w:rPr>
          <w:rFonts w:cstheme="minorHAnsi"/>
        </w:rPr>
        <w:t xml:space="preserve"> de retrancher des recettes supplémentaires un montant de 9 millions de franc</w:t>
      </w:r>
      <w:r w:rsidR="00A8555E" w:rsidRPr="00AE1195">
        <w:rPr>
          <w:rFonts w:cstheme="minorHAnsi"/>
        </w:rPr>
        <w:t>s</w:t>
      </w:r>
      <w:r w:rsidR="00430FD7" w:rsidRPr="00AE1195">
        <w:rPr>
          <w:rFonts w:cstheme="minorHAnsi"/>
        </w:rPr>
        <w:t xml:space="preserve"> (</w:t>
      </w:r>
      <w:r w:rsidR="005907D2">
        <w:rPr>
          <w:rFonts w:cstheme="minorHAnsi"/>
        </w:rPr>
        <w:t>l</w:t>
      </w:r>
      <w:r w:rsidR="00430FD7" w:rsidRPr="00AE1195">
        <w:rPr>
          <w:rFonts w:cstheme="minorHAnsi"/>
        </w:rPr>
        <w:t>imit</w:t>
      </w:r>
      <w:r w:rsidR="00F470A8">
        <w:rPr>
          <w:rFonts w:cstheme="minorHAnsi"/>
        </w:rPr>
        <w:t>ation</w:t>
      </w:r>
      <w:r w:rsidR="00430FD7" w:rsidRPr="00AE1195">
        <w:rPr>
          <w:rFonts w:cstheme="minorHAnsi"/>
        </w:rPr>
        <w:t xml:space="preserve"> aux trois plus grandes</w:t>
      </w:r>
      <w:r w:rsidR="00993011" w:rsidRPr="00AE1195">
        <w:rPr>
          <w:rFonts w:cstheme="minorHAnsi"/>
        </w:rPr>
        <w:t xml:space="preserve"> sociétés)</w:t>
      </w:r>
      <w:r w:rsidR="00A8555E" w:rsidRPr="00AE1195">
        <w:rPr>
          <w:rFonts w:cstheme="minorHAnsi"/>
        </w:rPr>
        <w:t xml:space="preserve">, </w:t>
      </w:r>
      <w:r w:rsidR="00152189" w:rsidRPr="00AE1195">
        <w:rPr>
          <w:rFonts w:cstheme="minorHAnsi"/>
        </w:rPr>
        <w:t>partant de l</w:t>
      </w:r>
      <w:r w:rsidR="00A8555E" w:rsidRPr="00AE1195">
        <w:rPr>
          <w:rFonts w:cstheme="minorHAnsi"/>
        </w:rPr>
        <w:t>’hypothèse</w:t>
      </w:r>
      <w:r w:rsidR="00152189" w:rsidRPr="00AE1195">
        <w:rPr>
          <w:rFonts w:cstheme="minorHAnsi"/>
        </w:rPr>
        <w:t xml:space="preserve"> qu</w:t>
      </w:r>
      <w:r w:rsidR="00007768" w:rsidRPr="00AE1195">
        <w:rPr>
          <w:rFonts w:cstheme="minorHAnsi"/>
        </w:rPr>
        <w:t>’elles allai</w:t>
      </w:r>
      <w:r w:rsidR="00152189" w:rsidRPr="00AE1195">
        <w:rPr>
          <w:rFonts w:cstheme="minorHAnsi"/>
        </w:rPr>
        <w:t xml:space="preserve">ent modifier leurs comportements. </w:t>
      </w:r>
      <w:r w:rsidR="00741774">
        <w:rPr>
          <w:rFonts w:cstheme="minorHAnsi"/>
        </w:rPr>
        <w:t>S</w:t>
      </w:r>
      <w:r w:rsidR="00152189" w:rsidRPr="00AE1195">
        <w:rPr>
          <w:rFonts w:cstheme="minorHAnsi"/>
        </w:rPr>
        <w:t xml:space="preserve">i la situation de ces 9 </w:t>
      </w:r>
      <w:r w:rsidR="00993011" w:rsidRPr="00AE1195">
        <w:rPr>
          <w:rFonts w:cstheme="minorHAnsi"/>
        </w:rPr>
        <w:t>s</w:t>
      </w:r>
      <w:r w:rsidR="00152189" w:rsidRPr="00AE1195">
        <w:rPr>
          <w:rFonts w:cstheme="minorHAnsi"/>
        </w:rPr>
        <w:t>ociétés</w:t>
      </w:r>
      <w:r w:rsidR="00F93D08">
        <w:rPr>
          <w:rFonts w:cstheme="minorHAnsi"/>
        </w:rPr>
        <w:t xml:space="preserve"> est examinée</w:t>
      </w:r>
      <w:r w:rsidR="00152189" w:rsidRPr="00AE1195">
        <w:rPr>
          <w:rFonts w:cstheme="minorHAnsi"/>
        </w:rPr>
        <w:t xml:space="preserve">, </w:t>
      </w:r>
      <w:r w:rsidR="00DB28C4">
        <w:rPr>
          <w:rFonts w:cstheme="minorHAnsi"/>
        </w:rPr>
        <w:t>il est</w:t>
      </w:r>
      <w:r w:rsidR="00152189" w:rsidRPr="00AE1195">
        <w:rPr>
          <w:rFonts w:cstheme="minorHAnsi"/>
        </w:rPr>
        <w:t xml:space="preserve"> constat</w:t>
      </w:r>
      <w:r w:rsidR="00DB28C4">
        <w:rPr>
          <w:rFonts w:cstheme="minorHAnsi"/>
        </w:rPr>
        <w:t>é</w:t>
      </w:r>
      <w:r w:rsidR="00152189" w:rsidRPr="00AE1195">
        <w:rPr>
          <w:rFonts w:cstheme="minorHAnsi"/>
        </w:rPr>
        <w:t xml:space="preserve"> qu</w:t>
      </w:r>
      <w:r w:rsidR="002D2E01">
        <w:rPr>
          <w:rFonts w:cstheme="minorHAnsi"/>
        </w:rPr>
        <w:t xml:space="preserve">’elles ont </w:t>
      </w:r>
      <w:r w:rsidR="004D6D32" w:rsidRPr="00AE1195">
        <w:rPr>
          <w:rFonts w:cstheme="minorHAnsi"/>
        </w:rPr>
        <w:t>quitté</w:t>
      </w:r>
      <w:r w:rsidR="00152189" w:rsidRPr="00AE1195">
        <w:rPr>
          <w:rFonts w:cstheme="minorHAnsi"/>
        </w:rPr>
        <w:t xml:space="preserve"> le canton o</w:t>
      </w:r>
      <w:r w:rsidR="00D42798">
        <w:rPr>
          <w:rFonts w:cstheme="minorHAnsi"/>
        </w:rPr>
        <w:t>u</w:t>
      </w:r>
      <w:r w:rsidR="00152189" w:rsidRPr="00AE1195">
        <w:rPr>
          <w:rFonts w:cstheme="minorHAnsi"/>
        </w:rPr>
        <w:t xml:space="preserve"> se sont réorganisées de façon à </w:t>
      </w:r>
      <w:r w:rsidR="004D6D32" w:rsidRPr="00AE1195">
        <w:rPr>
          <w:rFonts w:cstheme="minorHAnsi"/>
        </w:rPr>
        <w:t xml:space="preserve">réduire </w:t>
      </w:r>
      <w:r w:rsidR="00750F49" w:rsidRPr="00AE1195">
        <w:rPr>
          <w:rFonts w:cstheme="minorHAnsi"/>
        </w:rPr>
        <w:t>l’imposition de leur capital</w:t>
      </w:r>
      <w:r w:rsidR="002D2E01">
        <w:rPr>
          <w:rFonts w:cstheme="minorHAnsi"/>
        </w:rPr>
        <w:t xml:space="preserve"> </w:t>
      </w:r>
      <w:r w:rsidR="00B7316A">
        <w:rPr>
          <w:rFonts w:cstheme="minorHAnsi"/>
        </w:rPr>
        <w:t xml:space="preserve">(essentiellement via une réduction de leurs fonds propres ou en apportant </w:t>
      </w:r>
      <w:r w:rsidR="001C0ABD">
        <w:rPr>
          <w:rFonts w:cstheme="minorHAnsi"/>
        </w:rPr>
        <w:t>des</w:t>
      </w:r>
      <w:r w:rsidR="00B7316A">
        <w:rPr>
          <w:rFonts w:cstheme="minorHAnsi"/>
        </w:rPr>
        <w:t xml:space="preserve"> activité</w:t>
      </w:r>
      <w:r w:rsidR="001C0ABD">
        <w:rPr>
          <w:rFonts w:cstheme="minorHAnsi"/>
        </w:rPr>
        <w:t>s</w:t>
      </w:r>
      <w:r w:rsidR="00B7316A">
        <w:rPr>
          <w:rFonts w:cstheme="minorHAnsi"/>
        </w:rPr>
        <w:t xml:space="preserve"> génératrice</w:t>
      </w:r>
      <w:r w:rsidR="001C0ABD">
        <w:rPr>
          <w:rFonts w:cstheme="minorHAnsi"/>
        </w:rPr>
        <w:t>s</w:t>
      </w:r>
      <w:r w:rsidR="00B7316A">
        <w:rPr>
          <w:rFonts w:cstheme="minorHAnsi"/>
        </w:rPr>
        <w:t xml:space="preserve"> de bénéfice</w:t>
      </w:r>
      <w:r w:rsidR="001C0ABD">
        <w:rPr>
          <w:rFonts w:cstheme="minorHAnsi"/>
        </w:rPr>
        <w:t>s</w:t>
      </w:r>
      <w:r w:rsidR="00B7316A">
        <w:rPr>
          <w:rFonts w:cstheme="minorHAnsi"/>
        </w:rPr>
        <w:t xml:space="preserve"> permettant l’imputation)</w:t>
      </w:r>
      <w:r w:rsidR="00750F49" w:rsidRPr="00AE1195">
        <w:rPr>
          <w:rFonts w:cstheme="minorHAnsi"/>
        </w:rPr>
        <w:t>.</w:t>
      </w:r>
      <w:r w:rsidR="00AE1195">
        <w:rPr>
          <w:rFonts w:cstheme="minorHAnsi"/>
        </w:rPr>
        <w:t xml:space="preserve"> </w:t>
      </w:r>
      <w:r w:rsidR="00236322">
        <w:rPr>
          <w:rFonts w:cstheme="minorHAnsi"/>
        </w:rPr>
        <w:t xml:space="preserve">Pour ce qui concerne les deux plus grandes sociétés, le Conseil d’Etat </w:t>
      </w:r>
      <w:r w:rsidR="00516961">
        <w:rPr>
          <w:rFonts w:cstheme="minorHAnsi"/>
        </w:rPr>
        <w:t>est entré en matière sur</w:t>
      </w:r>
      <w:r w:rsidR="00FF3B98">
        <w:rPr>
          <w:rFonts w:cstheme="minorHAnsi"/>
        </w:rPr>
        <w:t xml:space="preserve"> un allégement fiscal </w:t>
      </w:r>
      <w:r w:rsidR="00236322" w:rsidRPr="00AE1195">
        <w:rPr>
          <w:rFonts w:cstheme="minorHAnsi"/>
        </w:rPr>
        <w:t>sur le capital, limité dans le temps, permettant de corriger l’absence des prêts intragroupes pour l’imposition réduite du capital</w:t>
      </w:r>
      <w:r w:rsidR="00FF3B98">
        <w:rPr>
          <w:rFonts w:cstheme="minorHAnsi"/>
        </w:rPr>
        <w:t xml:space="preserve">. </w:t>
      </w:r>
      <w:r w:rsidR="00AB5755">
        <w:rPr>
          <w:rFonts w:cstheme="minorHAnsi"/>
        </w:rPr>
        <w:t xml:space="preserve">Aussi, l’introduction de la mesure permettra de donner de la </w:t>
      </w:r>
      <w:r w:rsidR="00AB5755" w:rsidRPr="00BC0FEB">
        <w:rPr>
          <w:rFonts w:cstheme="minorHAnsi"/>
        </w:rPr>
        <w:t>sécurité juridique à long terme</w:t>
      </w:r>
      <w:r w:rsidR="00682C49">
        <w:rPr>
          <w:rFonts w:cstheme="minorHAnsi"/>
        </w:rPr>
        <w:t>, entres autres,</w:t>
      </w:r>
      <w:r w:rsidR="00AB5755" w:rsidRPr="00BC0FEB">
        <w:rPr>
          <w:rFonts w:cstheme="minorHAnsi"/>
        </w:rPr>
        <w:t xml:space="preserve"> </w:t>
      </w:r>
      <w:r w:rsidR="00AB5755">
        <w:rPr>
          <w:rFonts w:cstheme="minorHAnsi"/>
        </w:rPr>
        <w:t>à ces</w:t>
      </w:r>
      <w:r w:rsidR="00AB5755" w:rsidRPr="00BC0FEB">
        <w:rPr>
          <w:rFonts w:cstheme="minorHAnsi"/>
        </w:rPr>
        <w:t xml:space="preserve"> deux sociétés</w:t>
      </w:r>
      <w:r w:rsidR="00AB5755">
        <w:rPr>
          <w:rFonts w:cstheme="minorHAnsi"/>
        </w:rPr>
        <w:t>, qui sont</w:t>
      </w:r>
      <w:r w:rsidR="00F04733">
        <w:rPr>
          <w:rFonts w:cstheme="minorHAnsi"/>
        </w:rPr>
        <w:t xml:space="preserve"> aussi des employeurs importants</w:t>
      </w:r>
      <w:r w:rsidR="00F5096D">
        <w:rPr>
          <w:rFonts w:cstheme="minorHAnsi"/>
        </w:rPr>
        <w:t>.</w:t>
      </w:r>
    </w:p>
    <w:p w14:paraId="3B184F37" w14:textId="1DFAE6FD" w:rsidR="00E02DF5" w:rsidRPr="00E02DF5" w:rsidRDefault="00E332DF" w:rsidP="00E02DF5">
      <w:pPr>
        <w:pStyle w:val="Corpsdetexte"/>
      </w:pPr>
      <w:r>
        <w:t xml:space="preserve">   </w:t>
      </w:r>
    </w:p>
    <w:p w14:paraId="5188CE26" w14:textId="7EE6E93A" w:rsidR="00C84E82" w:rsidRPr="009F509F" w:rsidRDefault="00C84E82" w:rsidP="009F509F">
      <w:pPr>
        <w:pStyle w:val="Titre2"/>
      </w:pPr>
      <w:r>
        <w:tab/>
        <w:t xml:space="preserve"> </w:t>
      </w:r>
      <w:bookmarkStart w:id="4" w:name="_Toc159832156"/>
      <w:r w:rsidR="009F509F">
        <w:t>Secret fiscal pour les paroisses</w:t>
      </w:r>
      <w:bookmarkEnd w:id="4"/>
      <w:r w:rsidR="00B94533">
        <w:t xml:space="preserve"> </w:t>
      </w:r>
    </w:p>
    <w:p w14:paraId="20AFF62D" w14:textId="24567BD5" w:rsidR="00EC27D8" w:rsidRDefault="009263EF" w:rsidP="00EC27D8">
      <w:pPr>
        <w:pStyle w:val="Corpsdetexte"/>
      </w:pPr>
      <w:r>
        <w:t>Conformément à l’article 12 de la loi du 2 septembre 1990 sur les rapports entre les Eglises et l’Etat (LEE – RSF 190.1), l</w:t>
      </w:r>
      <w:r w:rsidR="00EC27D8">
        <w:t xml:space="preserve">a législation cantonale </w:t>
      </w:r>
      <w:r>
        <w:t>accorde</w:t>
      </w:r>
      <w:r w:rsidR="00EC27D8">
        <w:t xml:space="preserve"> la souveraineté fiscale aux paroisses du canton de Fribourg. </w:t>
      </w:r>
      <w:r w:rsidR="001B0C7A">
        <w:t>Pour les personnes physiques, l’impôt peut être perçu par les paroisses. Ces dernières peuvent toutefois aussi déléguer la perception à l’Etat ou à une commune (art. 17a al. 1 LEE). Par ailleurs, l</w:t>
      </w:r>
      <w:r w:rsidR="00EC27D8">
        <w:t>a perception de l’impôt ecclésiastique est déléguée à l’Etat pour l’impôt dû par les personnes morales en vertu de l’art</w:t>
      </w:r>
      <w:r>
        <w:t>icle</w:t>
      </w:r>
      <w:r w:rsidR="00EC27D8">
        <w:t xml:space="preserve"> 17a al. 2 LEE. </w:t>
      </w:r>
    </w:p>
    <w:p w14:paraId="304C152D" w14:textId="0BAC1716" w:rsidR="00EC27D8" w:rsidRDefault="009263EF" w:rsidP="00EC27D8">
      <w:pPr>
        <w:pStyle w:val="Corpsdetexte"/>
      </w:pPr>
      <w:r>
        <w:t>A ces fins, le SCC</w:t>
      </w:r>
      <w:r w:rsidR="00EC27D8">
        <w:t xml:space="preserve">, en tant qu’autorité chargée de l’application de la </w:t>
      </w:r>
      <w:r>
        <w:t xml:space="preserve">LICD, </w:t>
      </w:r>
      <w:r w:rsidR="00EC27D8">
        <w:t>communique sur demande des autorités compétentes</w:t>
      </w:r>
      <w:r>
        <w:t xml:space="preserve"> </w:t>
      </w:r>
      <w:r w:rsidR="00EC27D8">
        <w:t xml:space="preserve">les informations nécessaires à la mise en œuvre d’autres disposition fiscales cantonales (art. 141 al. 3 LICD). </w:t>
      </w:r>
      <w:r w:rsidR="00135EA5">
        <w:t>En outre</w:t>
      </w:r>
      <w:r w:rsidR="00EC27D8">
        <w:t>, l’art</w:t>
      </w:r>
      <w:r>
        <w:t xml:space="preserve">icle </w:t>
      </w:r>
      <w:r w:rsidR="00EC27D8">
        <w:t xml:space="preserve">17 al. 1 LEE </w:t>
      </w:r>
      <w:r>
        <w:t>dispose</w:t>
      </w:r>
      <w:r w:rsidR="00EC27D8">
        <w:t xml:space="preserve"> que l’Etat et les communes communiquent les informations nécessaires à la taxation. Pour les cas dans lesquels le canton (ou une commune) perçoit l’impôt ecclésiastique, la paroisse concernée a également le droit d’obtenir le détail des montants taxés et/ou facturés. </w:t>
      </w:r>
    </w:p>
    <w:p w14:paraId="0757C78D" w14:textId="6A9CEC38" w:rsidR="005C7FA3" w:rsidRDefault="005C7FA3" w:rsidP="006B71B2">
      <w:pPr>
        <w:pStyle w:val="Corpsdetexte"/>
      </w:pPr>
      <w:r>
        <w:t xml:space="preserve">Les ecclésiastiques sont soumis au secret professionnel </w:t>
      </w:r>
      <w:r w:rsidR="00135EA5">
        <w:t xml:space="preserve">dans le cadre de leur profession pastorale </w:t>
      </w:r>
      <w:r>
        <w:t xml:space="preserve">et s’exposent aux sanctions de l’article 321 du Code pénal suisse (CP – RS 311.0). </w:t>
      </w:r>
      <w:r w:rsidR="00790E64">
        <w:t>Le</w:t>
      </w:r>
      <w:r>
        <w:t xml:space="preserve"> secret fiscal constitu</w:t>
      </w:r>
      <w:r w:rsidR="00790E64">
        <w:t xml:space="preserve">e toutefois </w:t>
      </w:r>
      <w:r>
        <w:t>un secret de fonction qualifié</w:t>
      </w:r>
      <w:r w:rsidRPr="005C7FA3">
        <w:t xml:space="preserve"> </w:t>
      </w:r>
      <w:r>
        <w:t xml:space="preserve">en ce sens qu’il accorde une protection accrue de la sphère privée des contribuables vis-à-vis de tiers en raison de la nature particulière des relations entre le </w:t>
      </w:r>
      <w:r w:rsidR="006B71B2">
        <w:t xml:space="preserve">ou la </w:t>
      </w:r>
      <w:r>
        <w:t xml:space="preserve">contribuable et l’administration. </w:t>
      </w:r>
    </w:p>
    <w:p w14:paraId="1B14F90D" w14:textId="2BBBCF70" w:rsidR="009F509F" w:rsidRDefault="006B71B2" w:rsidP="000632BB">
      <w:pPr>
        <w:pStyle w:val="Corpsdetexte"/>
      </w:pPr>
      <w:r>
        <w:t xml:space="preserve">Aussi, l’avant-projet prévoit d’ancrer dans la LICD l’obligation qui incombe aux paroisses de respecter le secret fiscal quant aux informations dont elles ont connaissance en leur qualité d’autorité fiscale. </w:t>
      </w:r>
    </w:p>
    <w:p w14:paraId="4570990B" w14:textId="77777777" w:rsidR="002E17B5" w:rsidRDefault="002E17B5" w:rsidP="000632BB">
      <w:pPr>
        <w:pStyle w:val="Corpsdetexte"/>
      </w:pPr>
    </w:p>
    <w:p w14:paraId="57628DE0" w14:textId="77777777" w:rsidR="0035747D" w:rsidRDefault="0035747D" w:rsidP="009F509F">
      <w:pPr>
        <w:pStyle w:val="Titre2"/>
      </w:pPr>
      <w:bookmarkStart w:id="5" w:name="_Toc159832157"/>
      <w:r>
        <w:t>Notification électronique</w:t>
      </w:r>
      <w:bookmarkEnd w:id="5"/>
      <w:r>
        <w:t xml:space="preserve"> </w:t>
      </w:r>
    </w:p>
    <w:p w14:paraId="6E273365" w14:textId="18A193E1" w:rsidR="0035747D" w:rsidRDefault="002C66F1" w:rsidP="00682AC8">
      <w:pPr>
        <w:pStyle w:val="Corpsdetexte"/>
      </w:pPr>
      <w:r>
        <w:t>En</w:t>
      </w:r>
      <w:r w:rsidR="00682AC8">
        <w:t xml:space="preserve"> 2021, le Parlement fédéral a adopté la loi fédérale sur les procédures électroniques en matière d’impôts. </w:t>
      </w:r>
      <w:r w:rsidR="000758C2">
        <w:t>Les</w:t>
      </w:r>
      <w:r w:rsidR="00682AC8">
        <w:t xml:space="preserve"> articles 38b </w:t>
      </w:r>
      <w:r w:rsidR="00636C94">
        <w:t>LHID</w:t>
      </w:r>
      <w:r w:rsidR="00682AC8">
        <w:t xml:space="preserve"> et 104a </w:t>
      </w:r>
      <w:r w:rsidR="00636C94">
        <w:t>LIFD</w:t>
      </w:r>
      <w:r w:rsidR="000758C2">
        <w:t xml:space="preserve"> disposent que les cantons </w:t>
      </w:r>
      <w:r w:rsidR="000758C2" w:rsidRPr="000758C2">
        <w:t>prévoient la possibilité de recourir à des procédures électroniques</w:t>
      </w:r>
      <w:r w:rsidR="00682AC8">
        <w:t xml:space="preserve">. </w:t>
      </w:r>
      <w:r>
        <w:t xml:space="preserve">Au vu du caractère impératif du droit fédéral, le canton de Fribourg doit désormais modifier la LICD. </w:t>
      </w:r>
      <w:r w:rsidR="000758C2">
        <w:t>Disposant</w:t>
      </w:r>
      <w:r w:rsidR="00682AC8">
        <w:t xml:space="preserve"> déjà </w:t>
      </w:r>
      <w:r w:rsidR="000758C2">
        <w:t>de la faculté de dé</w:t>
      </w:r>
      <w:r w:rsidR="00682AC8">
        <w:t xml:space="preserve">poser </w:t>
      </w:r>
      <w:r w:rsidR="000758C2">
        <w:t>leur</w:t>
      </w:r>
      <w:r w:rsidR="00682AC8">
        <w:t xml:space="preserve"> déclaration d’impôt par voie électronique, </w:t>
      </w:r>
      <w:r w:rsidR="000758C2">
        <w:t xml:space="preserve">les contribuables </w:t>
      </w:r>
      <w:r>
        <w:t>auront à l’avenir</w:t>
      </w:r>
      <w:r w:rsidR="000758C2">
        <w:t xml:space="preserve"> </w:t>
      </w:r>
      <w:r w:rsidR="00682AC8">
        <w:t xml:space="preserve">l’opportunité, </w:t>
      </w:r>
      <w:r>
        <w:t>sous réserve de</w:t>
      </w:r>
      <w:r w:rsidR="00682AC8">
        <w:t xml:space="preserve"> </w:t>
      </w:r>
      <w:r w:rsidR="000758C2">
        <w:t>leur</w:t>
      </w:r>
      <w:r w:rsidR="00682AC8">
        <w:t xml:space="preserve"> accord</w:t>
      </w:r>
      <w:r>
        <w:t xml:space="preserve"> préalable</w:t>
      </w:r>
      <w:r w:rsidR="00682AC8">
        <w:t xml:space="preserve">, de </w:t>
      </w:r>
      <w:r>
        <w:t>recevoir</w:t>
      </w:r>
      <w:r w:rsidR="00682AC8">
        <w:t xml:space="preserve"> </w:t>
      </w:r>
      <w:r w:rsidR="000758C2">
        <w:t xml:space="preserve">les décisions </w:t>
      </w:r>
      <w:r w:rsidR="00682AC8">
        <w:t xml:space="preserve">de l’autorité fiscale </w:t>
      </w:r>
      <w:r w:rsidR="000758C2">
        <w:t>sous forme</w:t>
      </w:r>
      <w:r w:rsidR="00682AC8">
        <w:t xml:space="preserve"> électronique.</w:t>
      </w:r>
    </w:p>
    <w:p w14:paraId="56CFCEF8" w14:textId="6E3D1108" w:rsidR="00636C94" w:rsidRDefault="00376106" w:rsidP="00376106">
      <w:pPr>
        <w:pStyle w:val="Corpsdetexte"/>
      </w:pPr>
      <w:r>
        <w:t xml:space="preserve">Le développement et l’extension des prestations fiscales au moyen du </w:t>
      </w:r>
      <w:r w:rsidR="004047C1">
        <w:t>guichet virtuel</w:t>
      </w:r>
      <w:r>
        <w:t xml:space="preserve"> sécurisé de l’Etat </w:t>
      </w:r>
      <w:r w:rsidR="004047C1">
        <w:t>de Fribourg</w:t>
      </w:r>
      <w:r>
        <w:t xml:space="preserve"> interviendront, quant à eux, en fonction de l’avancement technique, des moyens budgétaires et de la priorisation des projets.</w:t>
      </w:r>
      <w:r w:rsidR="00636C94">
        <w:t xml:space="preserve"> </w:t>
      </w:r>
    </w:p>
    <w:p w14:paraId="70597A66" w14:textId="5EF574F9" w:rsidR="00682AC8" w:rsidRPr="0035747D" w:rsidRDefault="00636C94" w:rsidP="000B1404">
      <w:pPr>
        <w:pStyle w:val="Corpsdetexte"/>
      </w:pPr>
      <w:r>
        <w:lastRenderedPageBreak/>
        <w:t>La loi fédérale sur les procédures électroniques en matière d’impôts (art. 38b al. 1 LHID et art. 104a al. 1 LIFD) fait référence à la protection des données puisque dans le cadre des procédures électroniques, les cantons assurent l’authenticité et l’intégrité des données transmises conformément au droit cantonal. Dans le canton de Fribourg, le dépôt de la déclaration d’impôt en ligne et la notification des décisions respectent la législation en matière de protection des données.</w:t>
      </w:r>
      <w:r>
        <w:cr/>
      </w:r>
    </w:p>
    <w:p w14:paraId="3C8B214B" w14:textId="249A8810" w:rsidR="009F509F" w:rsidRDefault="009F509F" w:rsidP="009F509F">
      <w:pPr>
        <w:pStyle w:val="Titre2"/>
      </w:pPr>
      <w:bookmarkStart w:id="6" w:name="_Toc159832158"/>
      <w:r>
        <w:t>Publication dans la Feuille officielle</w:t>
      </w:r>
      <w:bookmarkEnd w:id="6"/>
      <w:r w:rsidR="00B94533">
        <w:t xml:space="preserve"> </w:t>
      </w:r>
    </w:p>
    <w:p w14:paraId="1DD69AAE" w14:textId="7AB31631" w:rsidR="00017B5C" w:rsidRDefault="00017B5C" w:rsidP="00017B5C">
      <w:pPr>
        <w:pStyle w:val="Corpsdetexte"/>
      </w:pPr>
      <w:r>
        <w:t>La</w:t>
      </w:r>
      <w:r w:rsidR="00A603D6">
        <w:t xml:space="preserve"> l</w:t>
      </w:r>
      <w:r w:rsidR="00A603D6" w:rsidRPr="00A603D6">
        <w:t>oi sur la publication des actes législatifs</w:t>
      </w:r>
      <w:r>
        <w:t xml:space="preserve"> et de la Feuille officielle</w:t>
      </w:r>
      <w:r w:rsidR="00A603D6" w:rsidRPr="00A603D6">
        <w:t xml:space="preserve"> (LPAL</w:t>
      </w:r>
      <w:r w:rsidR="00A603D6">
        <w:t xml:space="preserve"> – RSF 124.1</w:t>
      </w:r>
      <w:r w:rsidR="00A603D6" w:rsidRPr="00A603D6">
        <w:t>)</w:t>
      </w:r>
      <w:r>
        <w:t xml:space="preserve"> est entrée en vigueur au 1</w:t>
      </w:r>
      <w:r w:rsidRPr="00017B5C">
        <w:rPr>
          <w:vertAlign w:val="superscript"/>
        </w:rPr>
        <w:t>er</w:t>
      </w:r>
      <w:r>
        <w:t xml:space="preserve"> janvier 2024 à la suite de la motion 2021-GC-116 des députés Nicolas Kolly et Eliane Aebischer qui demandaient la gratuité et l’accès à la Feuille officielle (FO) sur internet à toutes et tous</w:t>
      </w:r>
      <w:r w:rsidR="001947A3">
        <w:t>,</w:t>
      </w:r>
      <w:r>
        <w:t xml:space="preserve"> dans le respect de la législation sur la protection des données.</w:t>
      </w:r>
      <w:r w:rsidR="0047047A">
        <w:t xml:space="preserve"> La FO</w:t>
      </w:r>
      <w:r w:rsidR="0047047A" w:rsidRPr="0047047A">
        <w:t xml:space="preserve"> est </w:t>
      </w:r>
      <w:r w:rsidR="0047047A">
        <w:t xml:space="preserve">ainsi </w:t>
      </w:r>
      <w:r w:rsidR="0047047A" w:rsidRPr="0047047A">
        <w:t>publiée sous forme électronique et peut en outre l'être sous forme imprimée</w:t>
      </w:r>
      <w:r w:rsidR="0047047A">
        <w:t xml:space="preserve">. </w:t>
      </w:r>
      <w:r w:rsidR="007E4BF6">
        <w:t xml:space="preserve"> Les administré-e-s peuvent </w:t>
      </w:r>
      <w:r w:rsidR="0047047A">
        <w:t>néanmoins</w:t>
      </w:r>
      <w:r w:rsidR="007E4BF6">
        <w:t xml:space="preserve"> consulter gratuitement la FO en ligne, le format électronique faisant foi.  </w:t>
      </w:r>
    </w:p>
    <w:p w14:paraId="6C9DAA14" w14:textId="29F767DF" w:rsidR="001947A3" w:rsidRDefault="001947A3" w:rsidP="001947A3">
      <w:pPr>
        <w:pStyle w:val="Corpsdetexte"/>
      </w:pPr>
      <w:r>
        <w:t>L’article 147 al. 2 LICD dispose que l</w:t>
      </w:r>
      <w:r w:rsidRPr="001947A3">
        <w:t xml:space="preserve">orsque le </w:t>
      </w:r>
      <w:r>
        <w:t xml:space="preserve">ou la </w:t>
      </w:r>
      <w:r w:rsidRPr="001947A3">
        <w:t xml:space="preserve">contribuable n'a pas de domicile connu ou qu'il </w:t>
      </w:r>
      <w:r>
        <w:t xml:space="preserve">ou elle </w:t>
      </w:r>
      <w:r w:rsidRPr="001947A3">
        <w:t>se trouve à l'étranger, sans avoir de représentant</w:t>
      </w:r>
      <w:r>
        <w:t>-e</w:t>
      </w:r>
      <w:r w:rsidRPr="001947A3">
        <w:t xml:space="preserve"> en Suisse, les décisions et prononcés lui sont notifiés valablement par publication dans la Feuille officielle</w:t>
      </w:r>
      <w:r>
        <w:t xml:space="preserve">. Or l’analyse effectuée par la Conférence suisse des impôts (CSI) à la suite des arrêts du Tribunal fédéral du 26 janvier 2010 et du 4 octobre 2010 ainsi que de l’arrêt du Tribunal administratif (NE) du 2 juin 2010 </w:t>
      </w:r>
      <w:r w:rsidR="00790E64">
        <w:t xml:space="preserve">précise </w:t>
      </w:r>
      <w:r>
        <w:t xml:space="preserve">que la publication de décisions de taxation ou d’arrêts dans la Feuille officielle est soumise au </w:t>
      </w:r>
      <w:r w:rsidRPr="001947A3">
        <w:t xml:space="preserve">secret fiscal </w:t>
      </w:r>
      <w:r>
        <w:t>au sens de l’article 139 LICD. La CSI en conclut que seuls peuvent être communiqués le nom de l’autorité qui a rendu la décision, ce qu’elle a décidé et les voies de droit à disposition de l’intéressé</w:t>
      </w:r>
      <w:r w:rsidR="00A17DD2">
        <w:t xml:space="preserve">-e, </w:t>
      </w:r>
      <w:r>
        <w:t>les éléments imposables</w:t>
      </w:r>
      <w:r w:rsidR="00A17DD2">
        <w:t xml:space="preserve"> et</w:t>
      </w:r>
      <w:r>
        <w:t xml:space="preserve"> la motivation</w:t>
      </w:r>
      <w:r w:rsidR="00A17DD2">
        <w:t xml:space="preserve"> ne devant en revanche figurer dans la publication dans la FO</w:t>
      </w:r>
      <w:r>
        <w:t>.</w:t>
      </w:r>
    </w:p>
    <w:p w14:paraId="6C966B66" w14:textId="4DDD568E" w:rsidR="00513C7C" w:rsidRDefault="00513C7C" w:rsidP="001947A3">
      <w:pPr>
        <w:pStyle w:val="Corpsdetexte"/>
      </w:pPr>
      <w:r>
        <w:t xml:space="preserve">Aussi, l’avant-projet prévoit de préciser les modalités de la publication dans la Feuille officielle. </w:t>
      </w:r>
    </w:p>
    <w:p w14:paraId="7FCBC756" w14:textId="77777777" w:rsidR="00017B5C" w:rsidRDefault="00017B5C" w:rsidP="00017B5C">
      <w:pPr>
        <w:pStyle w:val="Corpsdetexte"/>
      </w:pPr>
    </w:p>
    <w:p w14:paraId="61384D74" w14:textId="77D45C97" w:rsidR="009F509F" w:rsidRDefault="009F509F" w:rsidP="00017B5C">
      <w:pPr>
        <w:pStyle w:val="Titre2"/>
      </w:pPr>
      <w:bookmarkStart w:id="7" w:name="_Toc159832159"/>
      <w:r>
        <w:t xml:space="preserve">Correction de la numérotation des </w:t>
      </w:r>
      <w:r w:rsidR="00074326">
        <w:t>sous-sections</w:t>
      </w:r>
      <w:bookmarkEnd w:id="7"/>
      <w:r w:rsidR="00B94533">
        <w:t xml:space="preserve"> </w:t>
      </w:r>
    </w:p>
    <w:p w14:paraId="30982495" w14:textId="4CBDED3A" w:rsidR="009F509F" w:rsidRDefault="00893A6E" w:rsidP="000632BB">
      <w:pPr>
        <w:pStyle w:val="Corpsdetexte"/>
      </w:pPr>
      <w:r>
        <w:t>La numérotation des sous-sections consacrées aux délais et à la prescription de la section 5.2. (principes généraux de procédure) doit être corrigée afin de s’inscrire dans la continuité de la numérotation des sous-sections, qui les précèdent. Il s’agit par conséquent de modifications de nature purement formelle.</w:t>
      </w:r>
    </w:p>
    <w:p w14:paraId="48A47004" w14:textId="77777777" w:rsidR="00802B16" w:rsidRDefault="00802B16" w:rsidP="000632BB">
      <w:pPr>
        <w:pStyle w:val="Corpsdetexte"/>
      </w:pPr>
    </w:p>
    <w:p w14:paraId="5B56652B" w14:textId="377429B7" w:rsidR="00802B16" w:rsidRDefault="00802B16" w:rsidP="00802B16">
      <w:pPr>
        <w:pStyle w:val="Titre2"/>
      </w:pPr>
      <w:bookmarkStart w:id="8" w:name="_Toc159832160"/>
      <w:r>
        <w:t>Attestation des caisses de chômage</w:t>
      </w:r>
      <w:bookmarkEnd w:id="8"/>
    </w:p>
    <w:p w14:paraId="52531BA1" w14:textId="77777777" w:rsidR="005C516E" w:rsidRPr="00802B16" w:rsidRDefault="005C516E" w:rsidP="005C516E">
      <w:pPr>
        <w:pStyle w:val="Corpsdetexte"/>
      </w:pPr>
      <w:r>
        <w:t>Si la révision partielle de la loi sur l’assurance-chômage obligatoire et l’indemnité en cas d’insolvabilité (LACI – RS 837.0) du 19 juin 2020 simplifie l’indemnisation du chômage partiel (RHT), allège les formalités administratives des entreprises en la matière et permet la collaboration à l’échelle cantonale entre les services de l’assurance-invalidité et les services chargés de l’application de l’assurance-chômage, elle crée également les bases légales nécessaires en vue des développements actuels et futurs de la communication et de la collaboration avec les autorités, les employeurs et les assurés.</w:t>
      </w:r>
    </w:p>
    <w:p w14:paraId="5957DC22" w14:textId="77777777" w:rsidR="005C516E" w:rsidRDefault="005C516E" w:rsidP="005C516E">
      <w:pPr>
        <w:pStyle w:val="Corpsdetexte"/>
        <w:rPr>
          <w:noProof/>
          <w:lang w:eastAsia="fr-CH"/>
        </w:rPr>
      </w:pPr>
      <w:r>
        <w:rPr>
          <w:noProof/>
          <w:lang w:eastAsia="fr-CH"/>
        </w:rPr>
        <w:t xml:space="preserve">L’article 30 de l’Ordonnance </w:t>
      </w:r>
      <w:r w:rsidRPr="00802B16">
        <w:rPr>
          <w:noProof/>
          <w:lang w:eastAsia="fr-CH"/>
        </w:rPr>
        <w:t>sur l’assurance-chômage obligatoire et l’indemnité en cas d’insolvabilité</w:t>
      </w:r>
      <w:r>
        <w:rPr>
          <w:noProof/>
          <w:lang w:eastAsia="fr-CH"/>
        </w:rPr>
        <w:t xml:space="preserve"> (OACI – RS 837.02) règle le versement de l’indemnité. Il dispose que les caisses de chômage versent généralement l’indemnité à la personne assurée dans le courant du mois qui suit la période de contrôle écoulée et lui en fournit le décompte par écrit, ainsi qu’une attestation, à charge pour elle de la transmettre à l’autorité fiscale. Il précise que, pour autant que les cantons aient prévu la disposition nécessaire, les caisses de chômage transmettent alors cette attestation directement à l’autorité fiscale cantonale, notamment par voie électronique (art. 30 al. 3 OACI en relation avec l’article 97 al. 1 let. c</w:t>
      </w:r>
      <w:r w:rsidRPr="00231122">
        <w:rPr>
          <w:noProof/>
          <w:vertAlign w:val="superscript"/>
          <w:lang w:eastAsia="fr-CH"/>
        </w:rPr>
        <w:t>bis</w:t>
      </w:r>
      <w:r>
        <w:rPr>
          <w:noProof/>
          <w:lang w:eastAsia="fr-CH"/>
        </w:rPr>
        <w:t xml:space="preserve"> et al. 8 LACI). L’article 97a al. 1 let. c</w:t>
      </w:r>
      <w:r w:rsidRPr="00231122">
        <w:rPr>
          <w:noProof/>
          <w:vertAlign w:val="superscript"/>
          <w:lang w:eastAsia="fr-CH"/>
        </w:rPr>
        <w:t>bis</w:t>
      </w:r>
      <w:r>
        <w:rPr>
          <w:noProof/>
          <w:lang w:eastAsia="fr-CH"/>
        </w:rPr>
        <w:t xml:space="preserve"> LACI traite quant à lui de la délivrance de l’attestation des caisses de chômage directement aux autorités fiscales cantonales. </w:t>
      </w:r>
    </w:p>
    <w:p w14:paraId="1AA4ECBB" w14:textId="77777777" w:rsidR="005C516E" w:rsidRDefault="005C516E" w:rsidP="005C516E">
      <w:pPr>
        <w:pStyle w:val="Corpsdetexte"/>
        <w:rPr>
          <w:noProof/>
          <w:lang w:eastAsia="fr-CH"/>
        </w:rPr>
      </w:pPr>
      <w:r>
        <w:rPr>
          <w:noProof/>
          <w:lang w:eastAsia="fr-CH"/>
        </w:rPr>
        <w:t>Grâce à cette nouvelle réglementation, les caisses de chômage pourront ainsi utiliser la procédure unifiée de communication des salaires (PUCS/ELM) pour transmettre leurs décomptes de prestations directement à l’autorité fiscale.</w:t>
      </w:r>
    </w:p>
    <w:p w14:paraId="2BF2A6F1" w14:textId="77777777" w:rsidR="00DE3BAF" w:rsidRPr="00802B16" w:rsidRDefault="00DE3BAF" w:rsidP="005C516E">
      <w:pPr>
        <w:pStyle w:val="Corpsdetexte"/>
        <w:rPr>
          <w:noProof/>
          <w:lang w:eastAsia="fr-CH"/>
        </w:rPr>
      </w:pPr>
    </w:p>
    <w:p w14:paraId="7F46485D" w14:textId="77777777" w:rsidR="00DE3BAF" w:rsidRDefault="00DE3BAF" w:rsidP="00DE3BAF">
      <w:pPr>
        <w:pStyle w:val="Titre2"/>
      </w:pPr>
      <w:bookmarkStart w:id="9" w:name="_Toc159832161"/>
      <w:r>
        <w:t>Constitution d’une garantie en matière d’impôt sur le gain immobilier</w:t>
      </w:r>
      <w:bookmarkEnd w:id="9"/>
      <w:r>
        <w:t xml:space="preserve"> </w:t>
      </w:r>
    </w:p>
    <w:p w14:paraId="46530E2C" w14:textId="77777777" w:rsidR="00DE3BAF" w:rsidRDefault="00DE3BAF" w:rsidP="00DE3BAF">
      <w:pPr>
        <w:pStyle w:val="Corpsdetexte"/>
      </w:pPr>
      <w:r>
        <w:t>Par motion déposée et développée le 10 février 2023</w:t>
      </w:r>
      <w:r w:rsidRPr="00FC1004">
        <w:t xml:space="preserve"> (GC 202</w:t>
      </w:r>
      <w:r>
        <w:t>3</w:t>
      </w:r>
      <w:r w:rsidRPr="00FC1004">
        <w:t>-GC-</w:t>
      </w:r>
      <w:r>
        <w:t>32</w:t>
      </w:r>
      <w:r w:rsidRPr="00FC1004">
        <w:t xml:space="preserve">), les députés </w:t>
      </w:r>
      <w:r>
        <w:t>Claude Brodard</w:t>
      </w:r>
      <w:r w:rsidRPr="00FC1004">
        <w:t xml:space="preserve"> et </w:t>
      </w:r>
      <w:r>
        <w:t>Catherine Beaud</w:t>
      </w:r>
      <w:r w:rsidRPr="00FC1004">
        <w:t xml:space="preserve"> ont demandé au Conseil d’Etat </w:t>
      </w:r>
      <w:r w:rsidRPr="00526964">
        <w:t>de modifier la LICD afin de prévoir une obligation de constituer, auprès</w:t>
      </w:r>
      <w:r>
        <w:t xml:space="preserve"> de</w:t>
      </w:r>
      <w:r w:rsidRPr="00526964">
        <w:t xml:space="preserve"> l’officier public qui instrumente l’acte, une réserve – en pourcentage du prix d’aliénation – lors de ventes immobilières de manière à garantir le paiement de l’impôt sur le gain immobilier. Selon les motionnaires, une telle obligation </w:t>
      </w:r>
      <w:r>
        <w:t>permet</w:t>
      </w:r>
      <w:r w:rsidRPr="00526964">
        <w:t xml:space="preserve"> d’éviter, pour l’acquéreur, une insécurité juridique, qui se concrétise par l’inscription d’une hypothèque légale, en cas de défaut de paiement de l’impôt par le vendeur. L</w:t>
      </w:r>
      <w:r>
        <w:t>a motion précise que l</w:t>
      </w:r>
      <w:r w:rsidRPr="00526964">
        <w:t>’officier public pourra</w:t>
      </w:r>
      <w:r>
        <w:t xml:space="preserve"> </w:t>
      </w:r>
      <w:r w:rsidRPr="00526964">
        <w:t>renoncer à cette consignation en cas de confirmation par l’autorité fiscale cantonale que le remploi total a été revendiqué par le vendeur et admis par ladite autorité. Les motionnaires proposent de s’inspirer des dispositions légales et de la pratique en la matière du canton de Vaud</w:t>
      </w:r>
      <w:r>
        <w:t xml:space="preserve"> en prévoyant</w:t>
      </w:r>
      <w:r w:rsidRPr="00526964">
        <w:t xml:space="preserve"> de consigner un pourcentage du prix de vente à titre de garantie de paiement.</w:t>
      </w:r>
      <w:r>
        <w:t xml:space="preserve"> La motion propose une consignation de 8% du prix de vente pour les aliénations effectuées par des personnes physiques, respectivement entre 5 et 10% en cas de vente par des personnes morales.</w:t>
      </w:r>
      <w:r w:rsidRPr="00526964">
        <w:t xml:space="preserve"> </w:t>
      </w:r>
    </w:p>
    <w:p w14:paraId="7B538785" w14:textId="77777777" w:rsidR="00DE3BAF" w:rsidRPr="00FC1004" w:rsidRDefault="00DE3BAF" w:rsidP="00DE3BAF">
      <w:pPr>
        <w:pStyle w:val="Corpsdetexte"/>
      </w:pPr>
      <w:r w:rsidRPr="00FC1004">
        <w:t xml:space="preserve">Dans sa réponse du </w:t>
      </w:r>
      <w:r>
        <w:t>26</w:t>
      </w:r>
      <w:r w:rsidRPr="00FC1004">
        <w:t xml:space="preserve"> juin </w:t>
      </w:r>
      <w:r>
        <w:t>2023</w:t>
      </w:r>
      <w:r w:rsidRPr="00FC1004">
        <w:t xml:space="preserve">, le Conseil d’Etat </w:t>
      </w:r>
      <w:r>
        <w:t>rappelle les principes et la procédure en matière d’imposition sur les gains immobiliers</w:t>
      </w:r>
      <w:r w:rsidRPr="00FC1004">
        <w:t>.</w:t>
      </w:r>
      <w:r>
        <w:t xml:space="preserve"> </w:t>
      </w:r>
      <w:r w:rsidRPr="00550D07">
        <w:t xml:space="preserve">Il </w:t>
      </w:r>
      <w:r>
        <w:t>relève, d’une part,</w:t>
      </w:r>
      <w:r w:rsidRPr="00550D07">
        <w:t xml:space="preserve"> que la mise en œuvre de cette motion entraînerait une complexification considérable des travaux du Service cantonal des contributions sans toutefois réduire les risques pour les parties à la transaction, plus particulièrement ceux qui pèsent sur l’acheteur</w:t>
      </w:r>
      <w:r>
        <w:t>, dont celui de l’inscription d’une hypothèque légale</w:t>
      </w:r>
      <w:r w:rsidRPr="00550D07">
        <w:t>.</w:t>
      </w:r>
      <w:r>
        <w:t xml:space="preserve"> D’autre part, le montant retenu en garantie par le notaire pourrait s’avérer insuffisant pour couvrir l’impôt dû au titre des gains immobiliers.</w:t>
      </w:r>
      <w:r w:rsidRPr="00FC1004">
        <w:t xml:space="preserve"> Le Conseil d’Etat a dès lors proposé au Grand Conseil de rejeter la motion.</w:t>
      </w:r>
    </w:p>
    <w:p w14:paraId="4E82FBD7" w14:textId="77777777" w:rsidR="00DE3BAF" w:rsidRDefault="00DE3BAF" w:rsidP="00DE3BAF">
      <w:pPr>
        <w:pStyle w:val="Corpsdetexte"/>
      </w:pPr>
      <w:r w:rsidRPr="00FC1004">
        <w:t xml:space="preserve">Le Grand Conseil a adopté la motion le </w:t>
      </w:r>
      <w:r>
        <w:t>6</w:t>
      </w:r>
      <w:r w:rsidRPr="00FC1004">
        <w:t xml:space="preserve"> septembre 202</w:t>
      </w:r>
      <w:r>
        <w:t>3</w:t>
      </w:r>
      <w:r w:rsidRPr="00FC1004">
        <w:t xml:space="preserve">. </w:t>
      </w:r>
    </w:p>
    <w:p w14:paraId="03B3C41D" w14:textId="09C16D71" w:rsidR="009E1AF4" w:rsidRDefault="00C17504" w:rsidP="00C17504">
      <w:pPr>
        <w:pStyle w:val="Titre1"/>
      </w:pPr>
      <w:bookmarkStart w:id="10" w:name="_Toc159832162"/>
      <w:r>
        <w:t>Commentaire des dispositions proposées (LICD)</w:t>
      </w:r>
      <w:bookmarkEnd w:id="10"/>
    </w:p>
    <w:p w14:paraId="4E00115B" w14:textId="77777777" w:rsidR="008E7813" w:rsidRPr="008E7813" w:rsidRDefault="008E7813" w:rsidP="00DC4643">
      <w:pPr>
        <w:pStyle w:val="Corpsdetexte"/>
        <w:rPr>
          <w:i/>
          <w:iCs/>
          <w:noProof/>
          <w:lang w:eastAsia="fr-CH"/>
        </w:rPr>
      </w:pPr>
      <w:r w:rsidRPr="008E7813">
        <w:rPr>
          <w:i/>
          <w:iCs/>
          <w:noProof/>
          <w:lang w:eastAsia="fr-CH"/>
        </w:rPr>
        <w:t xml:space="preserve">Art. 23 al. 3 </w:t>
      </w:r>
    </w:p>
    <w:p w14:paraId="492112F2" w14:textId="64C62AB5" w:rsidR="00A123FE" w:rsidRDefault="009C2C3F" w:rsidP="007C5338">
      <w:pPr>
        <w:pStyle w:val="Corpsdetexte"/>
      </w:pPr>
      <w:r>
        <w:t xml:space="preserve">La disposition ne </w:t>
      </w:r>
      <w:r w:rsidR="00A123FE">
        <w:t>prévoit plus un</w:t>
      </w:r>
      <w:r>
        <w:t xml:space="preserve"> pourcentage fixe </w:t>
      </w:r>
      <w:r w:rsidR="00E368E7">
        <w:t xml:space="preserve">pour déterminer l’assiette de l’impôt </w:t>
      </w:r>
      <w:r w:rsidR="00A123FE">
        <w:t xml:space="preserve">mais précise </w:t>
      </w:r>
      <w:r>
        <w:t>que les prestations des assurances de rentes viagères et celles des rentes viagères et des contrats d’entretien viager sont imposables à concurrence de leur part de</w:t>
      </w:r>
      <w:r w:rsidR="00A123FE">
        <w:t xml:space="preserve"> </w:t>
      </w:r>
      <w:r>
        <w:t>rendement.</w:t>
      </w:r>
      <w:r w:rsidR="007C5338" w:rsidRPr="007C5338">
        <w:t xml:space="preserve"> </w:t>
      </w:r>
      <w:r w:rsidR="007C5338">
        <w:t>Les assurances de rentes viagères, qui étaient jusqu’ici implicitement comprises dans les rentes viagères, sont dorénavant mentionnées expressément. Le calcul de la part de rendement suit des règles différentes pour ces assurances et pour les rentes viagères. L’imposition de la restitution et du rachat n’est pas réglée expressément dans la loi, mais découle de la pratique, qui est conservée.</w:t>
      </w:r>
    </w:p>
    <w:p w14:paraId="008EB0A4" w14:textId="1415AF97" w:rsidR="00E368E7" w:rsidRDefault="007C5338" w:rsidP="007C5338">
      <w:pPr>
        <w:pStyle w:val="Corpsdetexte"/>
      </w:pPr>
      <w:r>
        <w:t xml:space="preserve">D’après la jurisprudence, les rentes viagères temporaires (ou les assurances de rentes viagères temporaires) d’une durée inférieure ou égale à cinq ans doivent être traitées comme des rentes temporaires sur le plan fiscal. L’imposition relève alors de l’article 21 al. 1 let. a, LICD. En revanche, les rentes viagères temporaires d’une durée supérieure à cinq ans sont imposées comme des rentes viagères à vie au sens de l’article 23 al. 3 LICD. Cette distinction se justifie par la position intermédiaire qu’occupent les rentes viagères temporaires, entre les rentes viagères à vie et les rentes temporaires. </w:t>
      </w:r>
    </w:p>
    <w:p w14:paraId="10AE5661" w14:textId="1D39D692" w:rsidR="007C5338" w:rsidRDefault="007C5338" w:rsidP="007C5338">
      <w:pPr>
        <w:pStyle w:val="Corpsdetexte"/>
      </w:pPr>
      <w:r>
        <w:t xml:space="preserve">Les </w:t>
      </w:r>
      <w:r w:rsidRPr="007C5338">
        <w:rPr>
          <w:i/>
          <w:iCs/>
        </w:rPr>
        <w:t>let. a à c</w:t>
      </w:r>
      <w:r>
        <w:t xml:space="preserve"> règlent le calcul de la part de rendement imposable pour les prestations garanties des assurances de rentes viagères suisses (let. a), les prestations excédentaires réalisées sur les assurances de rentes viagères suisses (let. b) ainsi que, pour les rentes viagères, les prestations d’assurances de rentes viagères étrangères et celles de rentes viagères et de contrats d’entretien viager (let. c).</w:t>
      </w:r>
    </w:p>
    <w:p w14:paraId="3717E2A1" w14:textId="5D6DF6F6" w:rsidR="006D33C7" w:rsidRDefault="007C5338" w:rsidP="009C2C3F">
      <w:pPr>
        <w:pStyle w:val="Corpsdetexte"/>
      </w:pPr>
      <w:r>
        <w:t>En substance, l</w:t>
      </w:r>
      <w:r w:rsidR="006D33C7">
        <w:t xml:space="preserve">a </w:t>
      </w:r>
      <w:r w:rsidR="006D33C7" w:rsidRPr="009F509F">
        <w:t xml:space="preserve">part de rendement imposable des prestations garanties des assurances de rentes viagères </w:t>
      </w:r>
      <w:r>
        <w:t>est</w:t>
      </w:r>
      <w:r w:rsidR="006D33C7" w:rsidRPr="009F509F">
        <w:t xml:space="preserve"> calculée au moyen d'une formule qui dépend du taux d'intérêt maximum fixé par l'Autorité fédérale de surveillance des marchés financiers (FINMA). Les éventuelles prestations excédentaires </w:t>
      </w:r>
      <w:r>
        <w:t>sont</w:t>
      </w:r>
      <w:r w:rsidR="006D33C7" w:rsidRPr="009F509F">
        <w:t xml:space="preserve"> imposées à 70%. Pour les rentes viagères et les contrats d'entretien viager, la part de rendement imposable </w:t>
      </w:r>
      <w:r>
        <w:t>est</w:t>
      </w:r>
      <w:r w:rsidR="006D33C7" w:rsidRPr="009F509F">
        <w:t xml:space="preserve"> déterminée sur la base du rendement moyen des obligations de la Confédération à dix ans</w:t>
      </w:r>
      <w:r w:rsidR="006D33C7">
        <w:t>.</w:t>
      </w:r>
    </w:p>
    <w:p w14:paraId="1863C287" w14:textId="3455264D" w:rsidR="00E368E7" w:rsidRPr="00E368E7" w:rsidRDefault="00E368E7" w:rsidP="00DC4643">
      <w:pPr>
        <w:pStyle w:val="Corpsdetexte"/>
      </w:pPr>
      <w:r>
        <w:lastRenderedPageBreak/>
        <w:t xml:space="preserve">La </w:t>
      </w:r>
      <w:r w:rsidRPr="00E368E7">
        <w:t xml:space="preserve">nouvelle </w:t>
      </w:r>
      <w:r>
        <w:t xml:space="preserve">teneur </w:t>
      </w:r>
      <w:r w:rsidRPr="00E368E7">
        <w:t>proposée</w:t>
      </w:r>
      <w:r>
        <w:t xml:space="preserve"> pour l’article 23 al. 3</w:t>
      </w:r>
      <w:r w:rsidRPr="00E368E7">
        <w:t xml:space="preserve"> n’a</w:t>
      </w:r>
      <w:r>
        <w:t xml:space="preserve"> en revanche</w:t>
      </w:r>
      <w:r w:rsidRPr="00E368E7">
        <w:t xml:space="preserve"> aucune incidence sur la méthode d’imposition des rachats et des restitutions en cas de décès découlant de rentes viagères</w:t>
      </w:r>
      <w:r w:rsidR="00280866">
        <w:t>.</w:t>
      </w:r>
    </w:p>
    <w:p w14:paraId="6F95A792" w14:textId="77777777" w:rsidR="004964D5" w:rsidRDefault="004964D5" w:rsidP="00DC4643">
      <w:pPr>
        <w:pStyle w:val="Corpsdetexte"/>
        <w:rPr>
          <w:i/>
          <w:iCs/>
          <w:noProof/>
          <w:lang w:eastAsia="fr-CH"/>
        </w:rPr>
      </w:pPr>
    </w:p>
    <w:p w14:paraId="16B94D47" w14:textId="58EF4E24" w:rsidR="008E7813" w:rsidRPr="007C5338" w:rsidRDefault="008E7813" w:rsidP="00DC4643">
      <w:pPr>
        <w:pStyle w:val="Corpsdetexte"/>
        <w:rPr>
          <w:i/>
          <w:iCs/>
          <w:noProof/>
          <w:lang w:eastAsia="fr-CH"/>
        </w:rPr>
      </w:pPr>
      <w:r w:rsidRPr="007C5338">
        <w:rPr>
          <w:i/>
          <w:iCs/>
          <w:noProof/>
          <w:lang w:eastAsia="fr-CH"/>
        </w:rPr>
        <w:t>Art. 34 al. 1 let. b</w:t>
      </w:r>
    </w:p>
    <w:p w14:paraId="27716D84" w14:textId="1EB85C6C" w:rsidR="00A123FE" w:rsidRPr="00A123FE" w:rsidRDefault="00A123FE" w:rsidP="00A123FE">
      <w:pPr>
        <w:pStyle w:val="Corpsdetexte"/>
        <w:rPr>
          <w:noProof/>
          <w:lang w:eastAsia="fr-CH"/>
        </w:rPr>
      </w:pPr>
      <w:r w:rsidRPr="00A123FE">
        <w:rPr>
          <w:noProof/>
          <w:lang w:eastAsia="fr-CH"/>
        </w:rPr>
        <w:t>Comme auparavant, des solutions coordonnées pour les bénéficiaires de rente et pour les débirentiers s’appliquent aux rentes viagères dans le domaine privé. D’un côté, le bénéficiaire doit, conformément à l’art</w:t>
      </w:r>
      <w:r>
        <w:rPr>
          <w:noProof/>
          <w:lang w:eastAsia="fr-CH"/>
        </w:rPr>
        <w:t>icle</w:t>
      </w:r>
      <w:r w:rsidRPr="00A123FE">
        <w:rPr>
          <w:noProof/>
          <w:lang w:eastAsia="fr-CH"/>
        </w:rPr>
        <w:t xml:space="preserve"> 2</w:t>
      </w:r>
      <w:r>
        <w:rPr>
          <w:noProof/>
          <w:lang w:eastAsia="fr-CH"/>
        </w:rPr>
        <w:t>3</w:t>
      </w:r>
      <w:r w:rsidRPr="00A123FE">
        <w:rPr>
          <w:noProof/>
          <w:lang w:eastAsia="fr-CH"/>
        </w:rPr>
        <w:t xml:space="preserve"> al. 3 let. c, </w:t>
      </w:r>
      <w:r w:rsidR="00D66833" w:rsidRPr="00A123FE">
        <w:rPr>
          <w:noProof/>
          <w:lang w:eastAsia="fr-CH"/>
        </w:rPr>
        <w:t xml:space="preserve">soumettre à l’impôt </w:t>
      </w:r>
      <w:r w:rsidRPr="00A123FE">
        <w:rPr>
          <w:noProof/>
          <w:lang w:eastAsia="fr-CH"/>
        </w:rPr>
        <w:t>la composante de rendement, mais pas la composante de remboursement du capital des rentes.</w:t>
      </w:r>
      <w:r>
        <w:rPr>
          <w:noProof/>
          <w:lang w:eastAsia="fr-CH"/>
        </w:rPr>
        <w:t xml:space="preserve"> </w:t>
      </w:r>
      <w:r w:rsidRPr="00A123FE">
        <w:rPr>
          <w:noProof/>
          <w:lang w:eastAsia="fr-CH"/>
        </w:rPr>
        <w:t>De l’autre, le débirentier privé peut déduire cette composante de rendement de l’impôt sur le revenu.</w:t>
      </w:r>
    </w:p>
    <w:p w14:paraId="5342F425" w14:textId="4FA0A536" w:rsidR="00A123FE" w:rsidRPr="00A123FE" w:rsidRDefault="00A123FE" w:rsidP="00A123FE">
      <w:pPr>
        <w:pStyle w:val="Corpsdetexte"/>
        <w:rPr>
          <w:noProof/>
          <w:lang w:eastAsia="fr-CH"/>
        </w:rPr>
      </w:pPr>
      <w:r w:rsidRPr="00A123FE">
        <w:rPr>
          <w:noProof/>
          <w:lang w:eastAsia="fr-CH"/>
        </w:rPr>
        <w:t xml:space="preserve">Cette réglementation ne s’applique toujours pas aux rentes commerciales qui sont à la charge d’une entreprise, </w:t>
      </w:r>
      <w:r w:rsidR="008E648F">
        <w:rPr>
          <w:noProof/>
          <w:lang w:eastAsia="fr-CH"/>
        </w:rPr>
        <w:t>dans la mesure où</w:t>
      </w:r>
      <w:r w:rsidRPr="00A123FE">
        <w:rPr>
          <w:noProof/>
          <w:lang w:eastAsia="fr-CH"/>
        </w:rPr>
        <w:t xml:space="preserve"> les revenus d’une activité lucrative indépendante sont déterminés selon </w:t>
      </w:r>
      <w:r>
        <w:rPr>
          <w:noProof/>
          <w:lang w:eastAsia="fr-CH"/>
        </w:rPr>
        <w:t>l’article 28</w:t>
      </w:r>
      <w:r w:rsidRPr="00A123FE">
        <w:rPr>
          <w:noProof/>
          <w:lang w:eastAsia="fr-CH"/>
        </w:rPr>
        <w:t>. Par conséquent, la valeur actualisée de la rente doit être inscrite au passif du bilan.</w:t>
      </w:r>
    </w:p>
    <w:p w14:paraId="7DCBF7D2" w14:textId="563F363D" w:rsidR="002F40C4" w:rsidRPr="00A123FE" w:rsidRDefault="00A123FE" w:rsidP="00A123FE">
      <w:pPr>
        <w:pStyle w:val="Corpsdetexte"/>
        <w:rPr>
          <w:noProof/>
          <w:lang w:eastAsia="fr-CH"/>
        </w:rPr>
      </w:pPr>
      <w:r w:rsidRPr="00A123FE">
        <w:rPr>
          <w:noProof/>
          <w:lang w:eastAsia="fr-CH"/>
        </w:rPr>
        <w:t>La déductibilité des charges durables ne change pas</w:t>
      </w:r>
      <w:r>
        <w:rPr>
          <w:noProof/>
          <w:lang w:eastAsia="fr-CH"/>
        </w:rPr>
        <w:t>.</w:t>
      </w:r>
    </w:p>
    <w:p w14:paraId="35F17C9F" w14:textId="77777777" w:rsidR="00F32A63" w:rsidRDefault="00F32A63" w:rsidP="00DC4643">
      <w:pPr>
        <w:pStyle w:val="Corpsdetexte"/>
        <w:rPr>
          <w:noProof/>
          <w:lang w:eastAsia="fr-CH"/>
        </w:rPr>
      </w:pPr>
    </w:p>
    <w:p w14:paraId="0E741283" w14:textId="2CFEB542" w:rsidR="008E7813" w:rsidRDefault="008E7813" w:rsidP="00DC4643">
      <w:pPr>
        <w:pStyle w:val="Corpsdetexte"/>
        <w:rPr>
          <w:i/>
          <w:iCs/>
          <w:noProof/>
          <w:lang w:eastAsia="fr-CH"/>
        </w:rPr>
      </w:pPr>
      <w:r>
        <w:rPr>
          <w:i/>
          <w:iCs/>
          <w:noProof/>
          <w:lang w:eastAsia="fr-CH"/>
        </w:rPr>
        <w:t>Art. 12</w:t>
      </w:r>
      <w:r w:rsidR="001C29C4">
        <w:rPr>
          <w:i/>
          <w:iCs/>
          <w:noProof/>
          <w:lang w:eastAsia="fr-CH"/>
        </w:rPr>
        <w:t>1 al. 2</w:t>
      </w:r>
    </w:p>
    <w:p w14:paraId="0B1BC118" w14:textId="1EE5A50D" w:rsidR="002F40C4" w:rsidRPr="002F40C4" w:rsidRDefault="001C29C4" w:rsidP="00DC4643">
      <w:pPr>
        <w:pStyle w:val="Corpsdetexte"/>
        <w:rPr>
          <w:noProof/>
          <w:lang w:eastAsia="fr-CH"/>
        </w:rPr>
      </w:pPr>
      <w:r>
        <w:rPr>
          <w:noProof/>
          <w:lang w:eastAsia="fr-CH"/>
        </w:rPr>
        <w:t>Conformément à la possibilité offerte</w:t>
      </w:r>
      <w:r w:rsidRPr="001C29C4">
        <w:rPr>
          <w:noProof/>
          <w:lang w:eastAsia="fr-CH"/>
        </w:rPr>
        <w:t xml:space="preserve"> </w:t>
      </w:r>
      <w:r>
        <w:rPr>
          <w:noProof/>
          <w:lang w:eastAsia="fr-CH"/>
        </w:rPr>
        <w:t xml:space="preserve">aux cantons, par l’article 29 al. 3 LHID, de prévoir </w:t>
      </w:r>
      <w:r w:rsidRPr="001C29C4">
        <w:rPr>
          <w:noProof/>
          <w:lang w:eastAsia="fr-CH"/>
        </w:rPr>
        <w:t xml:space="preserve">une réduction d’impôt pour le capital propre afférent </w:t>
      </w:r>
      <w:r>
        <w:rPr>
          <w:noProof/>
          <w:lang w:eastAsia="fr-CH"/>
        </w:rPr>
        <w:t>aux</w:t>
      </w:r>
      <w:r w:rsidRPr="001C29C4">
        <w:rPr>
          <w:noProof/>
          <w:lang w:eastAsia="fr-CH"/>
        </w:rPr>
        <w:t xml:space="preserve"> prêts consentis à des sociétés du groupe</w:t>
      </w:r>
      <w:r>
        <w:rPr>
          <w:noProof/>
          <w:lang w:eastAsia="fr-CH"/>
        </w:rPr>
        <w:t>, cette disposition introduit</w:t>
      </w:r>
      <w:r w:rsidRPr="001C29C4">
        <w:rPr>
          <w:noProof/>
          <w:lang w:eastAsia="fr-CH"/>
        </w:rPr>
        <w:t xml:space="preserve"> une imposition réduite de 0.01% du capital propre imposable applicable aux prêts intragroupes.</w:t>
      </w:r>
      <w:r w:rsidR="005220BD">
        <w:rPr>
          <w:noProof/>
          <w:lang w:eastAsia="fr-CH"/>
        </w:rPr>
        <w:t xml:space="preserve"> </w:t>
      </w:r>
    </w:p>
    <w:p w14:paraId="63636498" w14:textId="77777777" w:rsidR="004964D5" w:rsidRDefault="004964D5" w:rsidP="00DC4643">
      <w:pPr>
        <w:pStyle w:val="Corpsdetexte"/>
        <w:rPr>
          <w:i/>
          <w:iCs/>
          <w:noProof/>
          <w:lang w:eastAsia="fr-CH"/>
        </w:rPr>
      </w:pPr>
    </w:p>
    <w:p w14:paraId="3AC89EEB" w14:textId="77777777" w:rsidR="003E380E" w:rsidRDefault="003E380E" w:rsidP="00DC4643">
      <w:pPr>
        <w:pStyle w:val="Corpsdetexte"/>
        <w:rPr>
          <w:i/>
          <w:iCs/>
          <w:noProof/>
          <w:lang w:eastAsia="fr-CH"/>
        </w:rPr>
      </w:pPr>
    </w:p>
    <w:p w14:paraId="50419DA7" w14:textId="0C34DF33" w:rsidR="008E7813" w:rsidRPr="00C61304" w:rsidRDefault="008E7813" w:rsidP="00DC4643">
      <w:pPr>
        <w:pStyle w:val="Corpsdetexte"/>
        <w:rPr>
          <w:i/>
          <w:iCs/>
          <w:noProof/>
          <w:lang w:eastAsia="fr-CH"/>
        </w:rPr>
      </w:pPr>
      <w:r w:rsidRPr="00C61304">
        <w:rPr>
          <w:i/>
          <w:iCs/>
          <w:noProof/>
          <w:lang w:eastAsia="fr-CH"/>
        </w:rPr>
        <w:t>Art. 139</w:t>
      </w:r>
      <w:r w:rsidR="00074554" w:rsidRPr="00C61304">
        <w:rPr>
          <w:i/>
          <w:iCs/>
          <w:noProof/>
          <w:lang w:eastAsia="fr-CH"/>
        </w:rPr>
        <w:t xml:space="preserve"> al. 3 (nouveau)</w:t>
      </w:r>
    </w:p>
    <w:p w14:paraId="19AEC95F" w14:textId="77777777" w:rsidR="00134E62" w:rsidRDefault="00E66F0A" w:rsidP="00DC4643">
      <w:pPr>
        <w:pStyle w:val="Corpsdetexte"/>
        <w:rPr>
          <w:noProof/>
          <w:lang w:eastAsia="fr-CH"/>
        </w:rPr>
      </w:pPr>
      <w:r>
        <w:rPr>
          <w:noProof/>
          <w:lang w:eastAsia="fr-CH"/>
        </w:rPr>
        <w:t>Conformément à l’article 12 LEE, les paroisses – lesquelles se définissent comme les</w:t>
      </w:r>
      <w:r w:rsidR="000B335C" w:rsidRPr="000B335C">
        <w:rPr>
          <w:noProof/>
          <w:lang w:eastAsia="fr-CH"/>
        </w:rPr>
        <w:t xml:space="preserve"> Eglises reconnues </w:t>
      </w:r>
      <w:r w:rsidRPr="00E66F0A">
        <w:rPr>
          <w:noProof/>
          <w:lang w:eastAsia="fr-CH"/>
        </w:rPr>
        <w:t xml:space="preserve">de droit public par la Constitution cantonale </w:t>
      </w:r>
      <w:r>
        <w:rPr>
          <w:noProof/>
          <w:lang w:eastAsia="fr-CH"/>
        </w:rPr>
        <w:t>organisées</w:t>
      </w:r>
      <w:r w:rsidR="000B335C" w:rsidRPr="000B335C">
        <w:rPr>
          <w:noProof/>
          <w:lang w:eastAsia="fr-CH"/>
        </w:rPr>
        <w:t xml:space="preserve"> en corporations ecclésiastiques au niveau paroissial</w:t>
      </w:r>
      <w:r>
        <w:rPr>
          <w:noProof/>
          <w:lang w:eastAsia="fr-CH"/>
        </w:rPr>
        <w:t xml:space="preserve"> (art. 3 al. 1 LEE) - </w:t>
      </w:r>
      <w:r w:rsidRPr="00E66F0A">
        <w:rPr>
          <w:noProof/>
          <w:lang w:eastAsia="fr-CH"/>
        </w:rPr>
        <w:t>peuvent prélever des impôt</w:t>
      </w:r>
      <w:r>
        <w:rPr>
          <w:noProof/>
          <w:lang w:eastAsia="fr-CH"/>
        </w:rPr>
        <w:t>s</w:t>
      </w:r>
      <w:r w:rsidRPr="00E66F0A">
        <w:t xml:space="preserve"> </w:t>
      </w:r>
      <w:r w:rsidRPr="00E66F0A">
        <w:rPr>
          <w:noProof/>
          <w:lang w:eastAsia="fr-CH"/>
        </w:rPr>
        <w:t>pour subvenir à l'accomplissement de leurs tâches et assumer leurs obligations financières</w:t>
      </w:r>
      <w:r>
        <w:rPr>
          <w:noProof/>
          <w:lang w:eastAsia="fr-CH"/>
        </w:rPr>
        <w:t>.</w:t>
      </w:r>
      <w:r w:rsidR="00134E62">
        <w:rPr>
          <w:noProof/>
          <w:lang w:eastAsia="fr-CH"/>
        </w:rPr>
        <w:t xml:space="preserve"> </w:t>
      </w:r>
      <w:r>
        <w:rPr>
          <w:noProof/>
          <w:lang w:eastAsia="fr-CH"/>
        </w:rPr>
        <w:t xml:space="preserve">Dans ce contexte, </w:t>
      </w:r>
      <w:r w:rsidR="00134E62">
        <w:rPr>
          <w:noProof/>
          <w:lang w:eastAsia="fr-CH"/>
        </w:rPr>
        <w:t xml:space="preserve">en leur qualité d’autorité fiscale, </w:t>
      </w:r>
      <w:r>
        <w:rPr>
          <w:noProof/>
          <w:lang w:eastAsia="fr-CH"/>
        </w:rPr>
        <w:t xml:space="preserve">elles </w:t>
      </w:r>
      <w:r w:rsidR="00134E62">
        <w:rPr>
          <w:noProof/>
          <w:lang w:eastAsia="fr-CH"/>
        </w:rPr>
        <w:t xml:space="preserve">doivent garder le secret sur les faits ainsi que </w:t>
      </w:r>
      <w:r w:rsidR="00134E62" w:rsidRPr="00134E62">
        <w:rPr>
          <w:noProof/>
          <w:lang w:eastAsia="fr-CH"/>
        </w:rPr>
        <w:t>tous les renseignements portés à l</w:t>
      </w:r>
      <w:r w:rsidR="00134E62">
        <w:rPr>
          <w:noProof/>
          <w:lang w:eastAsia="fr-CH"/>
        </w:rPr>
        <w:t>eur</w:t>
      </w:r>
      <w:r w:rsidR="00134E62" w:rsidRPr="00134E62">
        <w:rPr>
          <w:noProof/>
          <w:lang w:eastAsia="fr-CH"/>
        </w:rPr>
        <w:t xml:space="preserve"> connaissance</w:t>
      </w:r>
      <w:r w:rsidR="00134E62">
        <w:rPr>
          <w:noProof/>
          <w:lang w:eastAsia="fr-CH"/>
        </w:rPr>
        <w:t xml:space="preserve"> dans l’accomplissement de leurs tâches. </w:t>
      </w:r>
    </w:p>
    <w:p w14:paraId="2E4096D3" w14:textId="1711042D" w:rsidR="000B335C" w:rsidRPr="000B335C" w:rsidRDefault="00134E62" w:rsidP="00DC4643">
      <w:pPr>
        <w:pStyle w:val="Corpsdetexte"/>
        <w:rPr>
          <w:noProof/>
          <w:lang w:eastAsia="fr-CH"/>
        </w:rPr>
      </w:pPr>
      <w:r>
        <w:rPr>
          <w:noProof/>
          <w:lang w:eastAsia="fr-CH"/>
        </w:rPr>
        <w:t xml:space="preserve">A l’instar du secret fiscal auxquelles sont soumises les autorités fiscales communales (art. 1 al. 4 de la loi sur les impôts communaux </w:t>
      </w:r>
      <w:r w:rsidR="00074554">
        <w:rPr>
          <w:noProof/>
          <w:lang w:eastAsia="fr-CH"/>
        </w:rPr>
        <w:t>(</w:t>
      </w:r>
      <w:r>
        <w:rPr>
          <w:noProof/>
          <w:lang w:eastAsia="fr-CH"/>
        </w:rPr>
        <w:t>LICo</w:t>
      </w:r>
      <w:r w:rsidR="00074554">
        <w:rPr>
          <w:noProof/>
          <w:lang w:eastAsia="fr-CH"/>
        </w:rPr>
        <w:t xml:space="preserve"> – RSF 632.1) qui renvoie à l’article 139 LICD), </w:t>
      </w:r>
      <w:r w:rsidR="006F76C4">
        <w:rPr>
          <w:noProof/>
          <w:lang w:eastAsia="fr-CH"/>
        </w:rPr>
        <w:t>l’article 139 al. 3</w:t>
      </w:r>
      <w:r w:rsidR="00074554">
        <w:rPr>
          <w:noProof/>
          <w:lang w:eastAsia="fr-CH"/>
        </w:rPr>
        <w:t xml:space="preserve"> ancre dans la législation l’obligation incombant aux paroisses </w:t>
      </w:r>
      <w:r w:rsidR="00074554" w:rsidRPr="00074554">
        <w:rPr>
          <w:noProof/>
          <w:lang w:eastAsia="fr-CH"/>
        </w:rPr>
        <w:t xml:space="preserve">de garder </w:t>
      </w:r>
      <w:r w:rsidR="00074554">
        <w:rPr>
          <w:noProof/>
          <w:lang w:eastAsia="fr-CH"/>
        </w:rPr>
        <w:t>secret</w:t>
      </w:r>
      <w:r w:rsidR="00074554" w:rsidRPr="00074554">
        <w:rPr>
          <w:noProof/>
          <w:lang w:eastAsia="fr-CH"/>
        </w:rPr>
        <w:t xml:space="preserve"> tous les documents et renseignements qui leur sont remis en vue du prélèvement d’impôt</w:t>
      </w:r>
      <w:r w:rsidR="00074554">
        <w:rPr>
          <w:noProof/>
          <w:lang w:eastAsia="fr-CH"/>
        </w:rPr>
        <w:t>s</w:t>
      </w:r>
      <w:r w:rsidR="00F51A21">
        <w:rPr>
          <w:noProof/>
          <w:lang w:eastAsia="fr-CH"/>
        </w:rPr>
        <w:t xml:space="preserve">. Actuellement, le secret fiscal des paroisses n’est en effet pas expressément prévu ni de manière directe, ni par renvoi dans la </w:t>
      </w:r>
      <w:r w:rsidR="006F76C4">
        <w:rPr>
          <w:noProof/>
          <w:lang w:eastAsia="fr-CH"/>
        </w:rPr>
        <w:t xml:space="preserve">loi </w:t>
      </w:r>
      <w:r w:rsidR="00F51A21" w:rsidRPr="00F51A21">
        <w:rPr>
          <w:noProof/>
          <w:lang w:eastAsia="fr-CH"/>
        </w:rPr>
        <w:t>concernant les rapports entre les Eglises et l'Etat</w:t>
      </w:r>
      <w:r w:rsidR="00F51A21">
        <w:rPr>
          <w:noProof/>
          <w:lang w:eastAsia="fr-CH"/>
        </w:rPr>
        <w:t>.</w:t>
      </w:r>
    </w:p>
    <w:p w14:paraId="46FAAFAA" w14:textId="77777777" w:rsidR="004964D5" w:rsidRDefault="004964D5" w:rsidP="00DC4643">
      <w:pPr>
        <w:pStyle w:val="Corpsdetexte"/>
        <w:rPr>
          <w:i/>
          <w:iCs/>
          <w:noProof/>
          <w:lang w:eastAsia="fr-CH"/>
        </w:rPr>
      </w:pPr>
    </w:p>
    <w:p w14:paraId="0CBD7D6C" w14:textId="24B92372" w:rsidR="0035747D" w:rsidRDefault="0035747D" w:rsidP="00DC4643">
      <w:pPr>
        <w:pStyle w:val="Corpsdetexte"/>
        <w:rPr>
          <w:i/>
          <w:iCs/>
          <w:noProof/>
          <w:lang w:eastAsia="fr-CH"/>
        </w:rPr>
      </w:pPr>
      <w:r>
        <w:rPr>
          <w:i/>
          <w:iCs/>
          <w:noProof/>
          <w:lang w:eastAsia="fr-CH"/>
        </w:rPr>
        <w:t>Art. 147 al. 1</w:t>
      </w:r>
    </w:p>
    <w:p w14:paraId="66147BE5" w14:textId="3E9E25C1" w:rsidR="0035747D" w:rsidRDefault="00D41D8F" w:rsidP="00DC4643">
      <w:pPr>
        <w:pStyle w:val="Corpsdetexte"/>
        <w:rPr>
          <w:noProof/>
          <w:lang w:eastAsia="fr-CH"/>
        </w:rPr>
      </w:pPr>
      <w:r>
        <w:rPr>
          <w:noProof/>
          <w:lang w:eastAsia="fr-CH"/>
        </w:rPr>
        <w:t>La disposition est modifiée de telle sorte à prévoir la possibilité, avec l’accord du contribuable, d’une notification des décisions de taxation, y compris les décisions sur réclamation et prononcés d’amende, par voie électronique.</w:t>
      </w:r>
    </w:p>
    <w:p w14:paraId="066AA298" w14:textId="77777777" w:rsidR="0035747D" w:rsidRPr="0035747D" w:rsidRDefault="0035747D" w:rsidP="00DC4643">
      <w:pPr>
        <w:pStyle w:val="Corpsdetexte"/>
        <w:rPr>
          <w:noProof/>
          <w:lang w:eastAsia="fr-CH"/>
        </w:rPr>
      </w:pPr>
    </w:p>
    <w:p w14:paraId="7F01BF24" w14:textId="7716F67A" w:rsidR="008E7813" w:rsidRDefault="008E7813" w:rsidP="00DC4643">
      <w:pPr>
        <w:pStyle w:val="Corpsdetexte"/>
        <w:rPr>
          <w:i/>
          <w:iCs/>
          <w:noProof/>
          <w:lang w:eastAsia="fr-CH"/>
        </w:rPr>
      </w:pPr>
      <w:r>
        <w:rPr>
          <w:i/>
          <w:iCs/>
          <w:noProof/>
          <w:lang w:eastAsia="fr-CH"/>
        </w:rPr>
        <w:t>Art. 147</w:t>
      </w:r>
      <w:r w:rsidR="002108D8">
        <w:rPr>
          <w:i/>
          <w:iCs/>
          <w:noProof/>
          <w:lang w:eastAsia="fr-CH"/>
        </w:rPr>
        <w:t xml:space="preserve"> al. 3 (nouveau)</w:t>
      </w:r>
    </w:p>
    <w:p w14:paraId="6A9F535D" w14:textId="7533C2EF" w:rsidR="002108D8" w:rsidRDefault="00BE195B" w:rsidP="00DC4643">
      <w:pPr>
        <w:pStyle w:val="Corpsdetexte"/>
        <w:rPr>
          <w:noProof/>
          <w:lang w:eastAsia="fr-CH"/>
        </w:rPr>
      </w:pPr>
      <w:r>
        <w:rPr>
          <w:noProof/>
          <w:lang w:eastAsia="fr-CH"/>
        </w:rPr>
        <w:t xml:space="preserve">Cette disposition précise les éléments qui doivent figurer dans le cadre de publications </w:t>
      </w:r>
      <w:r w:rsidR="005220BD">
        <w:rPr>
          <w:noProof/>
          <w:lang w:eastAsia="fr-CH"/>
        </w:rPr>
        <w:t xml:space="preserve">dans la Feuille officielle </w:t>
      </w:r>
      <w:r>
        <w:rPr>
          <w:noProof/>
          <w:lang w:eastAsia="fr-CH"/>
        </w:rPr>
        <w:t xml:space="preserve">de décisions de taxation, de prononcés d’amende ou de toutes autres décisions rendues par </w:t>
      </w:r>
      <w:r w:rsidR="005220BD">
        <w:rPr>
          <w:noProof/>
          <w:lang w:eastAsia="fr-CH"/>
        </w:rPr>
        <w:t>l’autorité fiscale</w:t>
      </w:r>
      <w:r>
        <w:rPr>
          <w:noProof/>
          <w:lang w:eastAsia="fr-CH"/>
        </w:rPr>
        <w:t xml:space="preserve"> afin</w:t>
      </w:r>
      <w:r w:rsidR="005220BD">
        <w:rPr>
          <w:noProof/>
          <w:lang w:eastAsia="fr-CH"/>
        </w:rPr>
        <w:t xml:space="preserve"> </w:t>
      </w:r>
      <w:r>
        <w:rPr>
          <w:noProof/>
          <w:lang w:eastAsia="fr-CH"/>
        </w:rPr>
        <w:t xml:space="preserve">que le secret fiscal au sens de l’article 139 LICD soit respecté. </w:t>
      </w:r>
    </w:p>
    <w:p w14:paraId="24EF00D3" w14:textId="77777777" w:rsidR="0029690E" w:rsidRDefault="00DE3BAF" w:rsidP="00DC4643">
      <w:pPr>
        <w:pStyle w:val="Corpsdetexte"/>
        <w:rPr>
          <w:noProof/>
          <w:lang w:eastAsia="fr-CH"/>
        </w:rPr>
      </w:pPr>
      <w:r>
        <w:rPr>
          <w:noProof/>
          <w:lang w:eastAsia="fr-CH"/>
        </w:rPr>
        <w:t>Conformément à l’article 136 LICD, le Service cantonal des contributions est l’autorité de taxation des impôts institués par la loi sur les impôts cantonaux directs. Aussi, les publications dans la Feuille officielle précisent que le SCC a rendu une décision</w:t>
      </w:r>
      <w:r w:rsidR="00C93F55">
        <w:rPr>
          <w:noProof/>
          <w:lang w:eastAsia="fr-CH"/>
        </w:rPr>
        <w:t>, sans toutefois désigner le secteur (par ex. inspection fiscale, taxation, etc.) dont elle émane</w:t>
      </w:r>
      <w:r>
        <w:rPr>
          <w:noProof/>
          <w:lang w:eastAsia="fr-CH"/>
        </w:rPr>
        <w:t>.</w:t>
      </w:r>
      <w:r w:rsidR="00C93F55">
        <w:rPr>
          <w:noProof/>
          <w:lang w:eastAsia="fr-CH"/>
        </w:rPr>
        <w:t xml:space="preserve"> </w:t>
      </w:r>
    </w:p>
    <w:p w14:paraId="607911D7" w14:textId="0DB3843F" w:rsidR="00C93F55" w:rsidRDefault="00C93F55" w:rsidP="00DC4643">
      <w:pPr>
        <w:pStyle w:val="Corpsdetexte"/>
        <w:rPr>
          <w:noProof/>
          <w:lang w:eastAsia="fr-CH"/>
        </w:rPr>
      </w:pPr>
      <w:r>
        <w:rPr>
          <w:noProof/>
          <w:lang w:eastAsia="fr-CH"/>
        </w:rPr>
        <w:lastRenderedPageBreak/>
        <w:t>Il est en outre fait mention du type d’impôt concerné (par. ex. impôt sur le revenu et la fortune</w:t>
      </w:r>
      <w:r w:rsidR="0029690E">
        <w:rPr>
          <w:noProof/>
          <w:lang w:eastAsia="fr-CH"/>
        </w:rPr>
        <w:t xml:space="preserve">), de </w:t>
      </w:r>
      <w:r>
        <w:rPr>
          <w:noProof/>
          <w:lang w:eastAsia="fr-CH"/>
        </w:rPr>
        <w:t>la ou les périodes fiscales dont il est question</w:t>
      </w:r>
      <w:r w:rsidR="0029690E">
        <w:rPr>
          <w:noProof/>
          <w:lang w:eastAsia="fr-CH"/>
        </w:rPr>
        <w:t>, ainsi que des voies de droit</w:t>
      </w:r>
      <w:r>
        <w:rPr>
          <w:noProof/>
          <w:lang w:eastAsia="fr-CH"/>
        </w:rPr>
        <w:t xml:space="preserve">. </w:t>
      </w:r>
    </w:p>
    <w:p w14:paraId="28AA8EF4" w14:textId="6FBB6EA2" w:rsidR="00DE3BAF" w:rsidRDefault="00C93F55" w:rsidP="00DC4643">
      <w:pPr>
        <w:pStyle w:val="Corpsdetexte"/>
        <w:rPr>
          <w:noProof/>
          <w:lang w:eastAsia="fr-CH"/>
        </w:rPr>
      </w:pPr>
      <w:r>
        <w:rPr>
          <w:noProof/>
          <w:lang w:eastAsia="fr-CH"/>
        </w:rPr>
        <w:t xml:space="preserve">Le ou la contribuable est par ailleurs informé-e qu’un exemplaire complet de la décision est </w:t>
      </w:r>
      <w:r w:rsidR="0029690E">
        <w:rPr>
          <w:noProof/>
          <w:lang w:eastAsia="fr-CH"/>
        </w:rPr>
        <w:t>disponible auprès du SCC.</w:t>
      </w:r>
      <w:r>
        <w:rPr>
          <w:noProof/>
          <w:lang w:eastAsia="fr-CH"/>
        </w:rPr>
        <w:t xml:space="preserve"> </w:t>
      </w:r>
      <w:r w:rsidR="00DE3BAF">
        <w:rPr>
          <w:noProof/>
          <w:lang w:eastAsia="fr-CH"/>
        </w:rPr>
        <w:t xml:space="preserve"> </w:t>
      </w:r>
    </w:p>
    <w:p w14:paraId="071D909F" w14:textId="77777777" w:rsidR="004964D5" w:rsidRDefault="004964D5" w:rsidP="00DC4643">
      <w:pPr>
        <w:pStyle w:val="Corpsdetexte"/>
        <w:rPr>
          <w:i/>
          <w:iCs/>
          <w:noProof/>
          <w:lang w:eastAsia="fr-CH"/>
        </w:rPr>
      </w:pPr>
    </w:p>
    <w:p w14:paraId="31E56C89" w14:textId="1A31E4A7" w:rsidR="008E7813" w:rsidRDefault="008E7813" w:rsidP="00DC4643">
      <w:pPr>
        <w:pStyle w:val="Corpsdetexte"/>
        <w:rPr>
          <w:i/>
          <w:iCs/>
          <w:noProof/>
          <w:lang w:eastAsia="fr-CH"/>
        </w:rPr>
      </w:pPr>
      <w:r>
        <w:rPr>
          <w:i/>
          <w:iCs/>
          <w:noProof/>
          <w:lang w:eastAsia="fr-CH"/>
        </w:rPr>
        <w:t>Section 5.2.</w:t>
      </w:r>
    </w:p>
    <w:p w14:paraId="7EF95834" w14:textId="233AF53E" w:rsidR="00614546" w:rsidRDefault="00614546" w:rsidP="00DC4643">
      <w:pPr>
        <w:pStyle w:val="Corpsdetexte"/>
        <w:rPr>
          <w:noProof/>
          <w:lang w:eastAsia="fr-CH"/>
        </w:rPr>
      </w:pPr>
      <w:r>
        <w:rPr>
          <w:noProof/>
          <w:lang w:eastAsia="fr-CH"/>
        </w:rPr>
        <w:t xml:space="preserve">La numérotation actuelle des sous-sections 4.2.4. (délais) et 4.2.5. (prescription) est corrigée en suivant celle des sous-sections qui précèdent.  </w:t>
      </w:r>
    </w:p>
    <w:p w14:paraId="01A7B500" w14:textId="77777777" w:rsidR="00802B16" w:rsidRDefault="00802B16" w:rsidP="00DC4643">
      <w:pPr>
        <w:pStyle w:val="Corpsdetexte"/>
        <w:rPr>
          <w:noProof/>
          <w:lang w:eastAsia="fr-CH"/>
        </w:rPr>
      </w:pPr>
    </w:p>
    <w:p w14:paraId="7B46D00A" w14:textId="34C45AEE" w:rsidR="00F10484" w:rsidRPr="0035747D" w:rsidRDefault="00F10484" w:rsidP="00DC4643">
      <w:pPr>
        <w:pStyle w:val="Corpsdetexte"/>
        <w:rPr>
          <w:i/>
          <w:iCs/>
          <w:noProof/>
          <w:lang w:eastAsia="fr-CH"/>
        </w:rPr>
      </w:pPr>
      <w:r w:rsidRPr="0035747D">
        <w:rPr>
          <w:i/>
          <w:iCs/>
          <w:noProof/>
          <w:lang w:eastAsia="fr-CH"/>
        </w:rPr>
        <w:t>160 al. 1 let. c</w:t>
      </w:r>
    </w:p>
    <w:p w14:paraId="6403EE76" w14:textId="3D56C55F" w:rsidR="00F10484" w:rsidRDefault="00F10484" w:rsidP="00F10484">
      <w:pPr>
        <w:pStyle w:val="Corpsdetexte"/>
        <w:rPr>
          <w:noProof/>
          <w:lang w:eastAsia="fr-CH"/>
        </w:rPr>
      </w:pPr>
      <w:r>
        <w:rPr>
          <w:noProof/>
          <w:lang w:eastAsia="fr-CH"/>
        </w:rPr>
        <w:t>Cette disposition régit l’obligation, pour des tiers, de fournir des attestations au contribuable. Le droit en vigueur prévoit que les assureurs remettent au contribuable une attestation sur la valeur de rachat des assurances et sur les prestations payées ou dues en vertu de contrats d’assurance (cf. art. 160 al. 1 let. c LICD). La disposition englobe les prestations des assurances de rentes viagères soumises à la LCA, mais leur future imposition implique que les assureurs attestent des informations supplémentaires qui ne figurent pas encore à l’article 160 al. 1 let. c LICD. Pour les assurances de rentes viagères soumises à la LCA, l’assureur doit indiquer, en plus, l’année de conclusion de l’assurance, le montant de la rente viagère garantie, la part totale de rendement imposable au sens de l’article 23 al. 3 ainsi que, séparément, les prestations excédentaires et la part de rendement de ces prestations au sens de l’article 23 al. 3 let. b LICD. L’article 160 al. 1 let. c LICD est complété en conséquence.</w:t>
      </w:r>
    </w:p>
    <w:p w14:paraId="758429C8" w14:textId="34EDB272" w:rsidR="00802B16" w:rsidRDefault="00802B16" w:rsidP="00DC4643">
      <w:pPr>
        <w:pStyle w:val="Corpsdetexte"/>
        <w:rPr>
          <w:i/>
          <w:iCs/>
          <w:noProof/>
          <w:lang w:eastAsia="fr-CH"/>
        </w:rPr>
      </w:pPr>
      <w:r w:rsidRPr="0035747D">
        <w:rPr>
          <w:i/>
          <w:iCs/>
          <w:noProof/>
          <w:lang w:eastAsia="fr-CH"/>
        </w:rPr>
        <w:t>Art. 162 al. 1 let. f (nouveau)</w:t>
      </w:r>
    </w:p>
    <w:p w14:paraId="5939213E" w14:textId="35AFBD93" w:rsidR="00DF0E1A" w:rsidRDefault="005C516E" w:rsidP="005C516E">
      <w:pPr>
        <w:pStyle w:val="Corpsdetexte"/>
        <w:rPr>
          <w:noProof/>
          <w:lang w:eastAsia="fr-CH"/>
        </w:rPr>
      </w:pPr>
      <w:r>
        <w:rPr>
          <w:noProof/>
          <w:lang w:eastAsia="fr-CH"/>
        </w:rPr>
        <w:t>A la liste des tiers devant fournir une attestation directement à l'autorité de taxation pour chaque période fiscale sont ajoutées les attestations des indemnités versées par les caisses de chômage cela afin de les autoriser, conformément à l’art. 97 al. 1 let. c</w:t>
      </w:r>
      <w:r w:rsidRPr="0035747D">
        <w:rPr>
          <w:noProof/>
          <w:vertAlign w:val="superscript"/>
          <w:lang w:eastAsia="fr-CH"/>
        </w:rPr>
        <w:t>bis</w:t>
      </w:r>
      <w:r>
        <w:rPr>
          <w:noProof/>
          <w:lang w:eastAsia="fr-CH"/>
        </w:rPr>
        <w:t xml:space="preserve"> LACI, à transmettre lesdites attestations directement à l’autorité de taxation.</w:t>
      </w:r>
    </w:p>
    <w:p w14:paraId="6F5BC504" w14:textId="00998130" w:rsidR="00DF0E1A" w:rsidRPr="007C5338" w:rsidRDefault="00DF0E1A" w:rsidP="00DF0E1A">
      <w:pPr>
        <w:pStyle w:val="Corpsdetexte"/>
        <w:rPr>
          <w:i/>
          <w:iCs/>
          <w:noProof/>
          <w:lang w:eastAsia="fr-CH"/>
        </w:rPr>
      </w:pPr>
      <w:r w:rsidRPr="007C5338">
        <w:rPr>
          <w:i/>
          <w:iCs/>
          <w:noProof/>
          <w:lang w:eastAsia="fr-CH"/>
        </w:rPr>
        <w:t xml:space="preserve">Art. </w:t>
      </w:r>
      <w:r>
        <w:rPr>
          <w:i/>
          <w:iCs/>
          <w:noProof/>
          <w:lang w:eastAsia="fr-CH"/>
        </w:rPr>
        <w:t>217</w:t>
      </w:r>
      <w:r w:rsidRPr="007C5338">
        <w:rPr>
          <w:i/>
          <w:iCs/>
          <w:noProof/>
          <w:lang w:eastAsia="fr-CH"/>
        </w:rPr>
        <w:t>a (nouveau)</w:t>
      </w:r>
    </w:p>
    <w:p w14:paraId="2EA22231" w14:textId="77777777" w:rsidR="00DF0E1A" w:rsidRDefault="00DF0E1A" w:rsidP="00DF0E1A">
      <w:pPr>
        <w:pStyle w:val="Corpsdetexte"/>
        <w:rPr>
          <w:noProof/>
          <w:lang w:eastAsia="fr-CH"/>
        </w:rPr>
      </w:pPr>
      <w:r w:rsidRPr="002D6A3D">
        <w:rPr>
          <w:noProof/>
          <w:lang w:eastAsia="fr-CH"/>
        </w:rPr>
        <w:t>Cette disposition introduit une o</w:t>
      </w:r>
      <w:r>
        <w:rPr>
          <w:noProof/>
          <w:lang w:eastAsia="fr-CH"/>
        </w:rPr>
        <w:t xml:space="preserve">bligation, pour l’officier public (notaire), de consigner 8% du produit de l’aliénation pour garantir le paiement sur les gains immobiliers qu’ils concernent des immeubles privés ou commerciaux. </w:t>
      </w:r>
    </w:p>
    <w:p w14:paraId="1D066F78" w14:textId="2C9DAB60" w:rsidR="00DF0E1A" w:rsidRDefault="00DF0E1A" w:rsidP="00DF0E1A">
      <w:pPr>
        <w:pStyle w:val="Corpsdetexte"/>
        <w:rPr>
          <w:noProof/>
          <w:lang w:eastAsia="fr-CH"/>
        </w:rPr>
      </w:pPr>
      <w:r>
        <w:rPr>
          <w:noProof/>
          <w:lang w:eastAsia="fr-CH"/>
        </w:rPr>
        <w:t>Les auteurs de la motion mise en œuvre par la présente disposition proposaient une réserve de 8% du prix de vente pour les aliénations par des personnes physiques et entre 5% et 10% en cas de vente par des personnes morales. Sur la base des données relatives à l’imposition sur les gains immobiliers (IGI) réalisés en 2023, dans 23.8% des transferts immobiliers (soit 1'224 dossiers), il n’y a pas eu d’IGI. Le taux médian d’imposition s’est élevé à 4.94%. En outre, en retenant une consignation de 8% comme proposé par les motionnaires</w:t>
      </w:r>
      <w:r w:rsidR="005826EC">
        <w:rPr>
          <w:noProof/>
          <w:lang w:eastAsia="fr-CH"/>
        </w:rPr>
        <w:t xml:space="preserve"> pour les personnes physiques</w:t>
      </w:r>
      <w:r>
        <w:rPr>
          <w:noProof/>
          <w:lang w:eastAsia="fr-CH"/>
        </w:rPr>
        <w:t xml:space="preserve">, quelque 68% des taxations seraient couvertes par le montant consigné, c’est-à-dire plus de deux tiers des transactions immobilières. </w:t>
      </w:r>
    </w:p>
    <w:p w14:paraId="0146E737" w14:textId="43588D84" w:rsidR="005826EC" w:rsidRDefault="005826EC" w:rsidP="00DF0E1A">
      <w:pPr>
        <w:pStyle w:val="Corpsdetexte"/>
        <w:rPr>
          <w:noProof/>
          <w:lang w:eastAsia="fr-CH"/>
        </w:rPr>
      </w:pPr>
      <w:r>
        <w:rPr>
          <w:noProof/>
          <w:lang w:eastAsia="fr-CH"/>
        </w:rPr>
        <w:t>Le même pourcentage de consignation est prévu pour les personnes physiques et les personnes morales. En effet, le SCC ne dispose pas de données lui permettant d’effectuer des simulations de l’impôt dû par les personnes morales sur les ventes immobilières. Le taux de 8% retenu dans le présent avant-projet s’inscrit de surcroît dans la fourchette proposée par les motionnaires.</w:t>
      </w:r>
    </w:p>
    <w:p w14:paraId="1AEF14E1" w14:textId="77777777" w:rsidR="00DF0E1A" w:rsidRDefault="00DF0E1A" w:rsidP="00DF0E1A">
      <w:pPr>
        <w:pStyle w:val="Corpsdetexte"/>
        <w:rPr>
          <w:noProof/>
          <w:lang w:eastAsia="fr-CH"/>
        </w:rPr>
      </w:pPr>
      <w:r>
        <w:rPr>
          <w:noProof/>
          <w:lang w:eastAsia="fr-CH"/>
        </w:rPr>
        <w:t>Il convient par ailleurs de relever que, c</w:t>
      </w:r>
      <w:r w:rsidRPr="00DA7E34">
        <w:rPr>
          <w:noProof/>
          <w:lang w:eastAsia="fr-CH"/>
        </w:rPr>
        <w:t>onformément à la procédure du SCC</w:t>
      </w:r>
      <w:r>
        <w:rPr>
          <w:noProof/>
          <w:lang w:eastAsia="fr-CH"/>
        </w:rPr>
        <w:t xml:space="preserve"> en la matière</w:t>
      </w:r>
      <w:r w:rsidRPr="00DA7E34">
        <w:rPr>
          <w:noProof/>
          <w:lang w:eastAsia="fr-CH"/>
        </w:rPr>
        <w:t xml:space="preserve">, </w:t>
      </w:r>
      <w:r>
        <w:rPr>
          <w:noProof/>
          <w:lang w:eastAsia="fr-CH"/>
        </w:rPr>
        <w:t xml:space="preserve">à défaut de paiement de l’IGI au terme de l’échéance de 30 jours, </w:t>
      </w:r>
      <w:r w:rsidRPr="00DA7E34">
        <w:rPr>
          <w:noProof/>
          <w:lang w:eastAsia="fr-CH"/>
        </w:rPr>
        <w:t>les notaires, les fiduciaires et les contribuables</w:t>
      </w:r>
      <w:r>
        <w:rPr>
          <w:noProof/>
          <w:lang w:eastAsia="fr-CH"/>
        </w:rPr>
        <w:t xml:space="preserve"> sont rendus attentifs au prochain dépôt d’une requête d’inscription d’hypothèque légale en cas de non-paiement. Ce rappel a pour objectif de limiter le nombre d’hypothèques légales. Ainsi, en 2023, seules 17 hypothèques légales ont été inscrites au total au registre foncier. </w:t>
      </w:r>
    </w:p>
    <w:p w14:paraId="6100BDC0" w14:textId="77777777" w:rsidR="00DF0E1A" w:rsidRDefault="00DF0E1A" w:rsidP="00DF0E1A">
      <w:pPr>
        <w:pStyle w:val="Corpsdetexte"/>
        <w:rPr>
          <w:noProof/>
          <w:lang w:eastAsia="fr-CH"/>
        </w:rPr>
      </w:pPr>
      <w:r>
        <w:rPr>
          <w:noProof/>
          <w:lang w:eastAsia="fr-CH"/>
        </w:rPr>
        <w:t xml:space="preserve">L’article dispose que les règles en matière de violation des obligations de procédure sont applicables. De plus, le droit d’inscrire une hypothèque légale pour le montant d’impôt impayé est réservé. </w:t>
      </w:r>
    </w:p>
    <w:p w14:paraId="747C498F" w14:textId="77777777" w:rsidR="00DF0E1A" w:rsidRDefault="00DF0E1A" w:rsidP="00DF0E1A">
      <w:pPr>
        <w:pStyle w:val="Corpsdetexte"/>
        <w:rPr>
          <w:noProof/>
          <w:lang w:eastAsia="fr-CH"/>
        </w:rPr>
      </w:pPr>
      <w:r>
        <w:rPr>
          <w:noProof/>
          <w:lang w:eastAsia="fr-CH"/>
        </w:rPr>
        <w:lastRenderedPageBreak/>
        <w:t>En outre, la disposition prévoit que les aliénations effectuées en application des dispositions de la loi fédérale du 11 avril 1889</w:t>
      </w:r>
      <w:r w:rsidRPr="00E95149">
        <w:t xml:space="preserve"> </w:t>
      </w:r>
      <w:r w:rsidRPr="00E95149">
        <w:rPr>
          <w:noProof/>
          <w:lang w:eastAsia="fr-CH"/>
        </w:rPr>
        <w:t>sur la poursuite pour dettes et la faillite</w:t>
      </w:r>
      <w:r>
        <w:rPr>
          <w:noProof/>
          <w:lang w:eastAsia="fr-CH"/>
        </w:rPr>
        <w:t xml:space="preserve"> (LP – RS 281.1) ne sont pas soumises à la consignation.  En revanche, dans ces cas, l’impôt sur le revenu ou sur le bénéfice ou l’impôt sur les gains immobiliers est, le cas échéant, garanti par une hypothèque légale privilégiée, conformément aux dispositions de l’article 836 du Code civil suisse du 10 décembre 1907 (CC – RS 210).</w:t>
      </w:r>
    </w:p>
    <w:p w14:paraId="42F7F001" w14:textId="760AE7DD" w:rsidR="00C17504" w:rsidRDefault="000C7519" w:rsidP="000C7519">
      <w:pPr>
        <w:pStyle w:val="Titre1"/>
      </w:pPr>
      <w:bookmarkStart w:id="11" w:name="_Toc159832163"/>
      <w:r>
        <w:t>Incidences de la révision</w:t>
      </w:r>
      <w:bookmarkEnd w:id="11"/>
    </w:p>
    <w:p w14:paraId="66358E90" w14:textId="50FD1F22" w:rsidR="000C7519" w:rsidRDefault="000C7519" w:rsidP="000C7519">
      <w:pPr>
        <w:pStyle w:val="Titre2"/>
      </w:pPr>
      <w:bookmarkStart w:id="12" w:name="_Toc159832164"/>
      <w:r>
        <w:t>Incidences sur les recettes fiscales</w:t>
      </w:r>
      <w:bookmarkEnd w:id="12"/>
    </w:p>
    <w:p w14:paraId="05DE04CC" w14:textId="13622148" w:rsidR="004A69AA" w:rsidRDefault="004A69AA" w:rsidP="004A69AA">
      <w:pPr>
        <w:pStyle w:val="Titre3"/>
      </w:pPr>
      <w:bookmarkStart w:id="13" w:name="_Toc159832165"/>
      <w:bookmarkStart w:id="14" w:name="_Hlk95398982"/>
      <w:r>
        <w:t>Flexibilisation de l’imposition des rentes viagères</w:t>
      </w:r>
      <w:bookmarkEnd w:id="13"/>
    </w:p>
    <w:p w14:paraId="1BFBBD55" w14:textId="16373BA7" w:rsidR="00F05E3D" w:rsidRPr="00F05E3D" w:rsidRDefault="00F05E3D" w:rsidP="00F05E3D">
      <w:r>
        <w:t xml:space="preserve">Le SCC ne dispose pas de données sur les recettes fiscales provenant des rentes viagères, des assurances de rentes viagères et des contrats d’entretien viager. </w:t>
      </w:r>
      <w:r w:rsidR="0084765D">
        <w:t>Dans le cadre des travaux menés par la Confédération dans le cadre de la flexibilisation de l’imposition des rentes viagères au niveau fédéral</w:t>
      </w:r>
      <w:r w:rsidR="0084765D">
        <w:rPr>
          <w:rStyle w:val="Appelnotedebasdep"/>
        </w:rPr>
        <w:footnoteReference w:id="1"/>
      </w:r>
      <w:r w:rsidR="0084765D">
        <w:t xml:space="preserve">, les pertes de recettes fiscales </w:t>
      </w:r>
      <w:r w:rsidR="00F73E9D">
        <w:t>liées à cette réforme</w:t>
      </w:r>
      <w:r w:rsidR="0084765D">
        <w:t xml:space="preserve"> sont estimées à </w:t>
      </w:r>
      <w:r w:rsidR="00F73E9D">
        <w:t>44.1</w:t>
      </w:r>
      <w:r w:rsidR="0084765D">
        <w:t xml:space="preserve">44 millions de francs. </w:t>
      </w:r>
      <w:r w:rsidR="00760C1B">
        <w:t xml:space="preserve">Considérant que </w:t>
      </w:r>
      <w:r w:rsidR="00F73E9D">
        <w:t>selon les statistiques de l’AFC</w:t>
      </w:r>
      <w:r w:rsidR="00F73E9D">
        <w:rPr>
          <w:rStyle w:val="Appelnotedebasdep"/>
        </w:rPr>
        <w:footnoteReference w:id="2"/>
      </w:r>
      <w:r w:rsidR="00F73E9D">
        <w:t xml:space="preserve"> les recettes fiscales du canton de Fribourg représentent 2,6% des recettes fiscales suisses totales, la diminution des rentrées liées à la modification de l’imposition des rentes viagères peut être estimée à 1.15 millions de francs.</w:t>
      </w:r>
    </w:p>
    <w:p w14:paraId="722BBF98" w14:textId="7A429567" w:rsidR="004A69AA" w:rsidRDefault="004A69AA" w:rsidP="00B035A9">
      <w:pPr>
        <w:pStyle w:val="Titre3"/>
        <w:rPr>
          <w:rFonts w:cstheme="majorHAnsi"/>
        </w:rPr>
      </w:pPr>
      <w:bookmarkStart w:id="15" w:name="_Toc159832166"/>
      <w:r>
        <w:rPr>
          <w:rFonts w:cstheme="majorHAnsi"/>
        </w:rPr>
        <w:t xml:space="preserve">Imposition </w:t>
      </w:r>
      <w:r w:rsidRPr="00B035A9">
        <w:t>réduite</w:t>
      </w:r>
      <w:r>
        <w:rPr>
          <w:rFonts w:cstheme="majorHAnsi"/>
        </w:rPr>
        <w:t xml:space="preserve"> du capital </w:t>
      </w:r>
      <w:r w:rsidR="00B035A9">
        <w:rPr>
          <w:rFonts w:cstheme="majorHAnsi"/>
        </w:rPr>
        <w:t>dans le cadre de prêts intragroupes</w:t>
      </w:r>
      <w:bookmarkEnd w:id="15"/>
    </w:p>
    <w:p w14:paraId="6402464D" w14:textId="1A3E408D" w:rsidR="00A85A3B" w:rsidRDefault="00B035A9" w:rsidP="00A85A3B">
      <w:r>
        <w:t xml:space="preserve">Dans la mesure où les prêts intragroupes ne peuvent être identifiés </w:t>
      </w:r>
      <w:r w:rsidR="00AC4F1C">
        <w:t xml:space="preserve">dans </w:t>
      </w:r>
      <w:r>
        <w:t xml:space="preserve">la déclaration d’impôt, ceux-ci n’étant pas pertinents aux fins de la taxation, les coûts engendrés par l’introduction </w:t>
      </w:r>
      <w:r w:rsidR="00FB37DE" w:rsidRPr="00FB37DE">
        <w:t>des prêts intragroupes dans le calcul de l’imposition différenciée du capital</w:t>
      </w:r>
      <w:r w:rsidR="00FB37DE">
        <w:t xml:space="preserve"> ont été estimés </w:t>
      </w:r>
      <w:r w:rsidR="004964D5">
        <w:t xml:space="preserve">sur la base des données 2021 de 157 sociétés dont le capital imposable était supérieur à 30 millions de francs. La diminution des recettes fiscales est ainsi évaluée </w:t>
      </w:r>
      <w:r w:rsidR="00AC4F1C">
        <w:t>entre 1.9 millions et 2.9 millions de francs</w:t>
      </w:r>
      <w:r w:rsidR="00FB37DE">
        <w:t>.</w:t>
      </w:r>
      <w:r w:rsidR="00B1052F">
        <w:t xml:space="preserve"> </w:t>
      </w:r>
    </w:p>
    <w:bookmarkEnd w:id="14"/>
    <w:p w14:paraId="726AF8BA" w14:textId="77777777" w:rsidR="00A85A3B" w:rsidRPr="00A85A3B" w:rsidRDefault="00A85A3B" w:rsidP="00A85A3B">
      <w:pPr>
        <w:pStyle w:val="Corpsdetexte"/>
      </w:pPr>
    </w:p>
    <w:p w14:paraId="35476664" w14:textId="47BB208C" w:rsidR="000C7519" w:rsidRDefault="000C7519" w:rsidP="000C7519">
      <w:pPr>
        <w:pStyle w:val="Titre2"/>
      </w:pPr>
      <w:bookmarkStart w:id="16" w:name="_Toc159832167"/>
      <w:r>
        <w:t>Incidences informatiques</w:t>
      </w:r>
      <w:bookmarkEnd w:id="16"/>
    </w:p>
    <w:p w14:paraId="6E8B0772" w14:textId="5DC0EF6F" w:rsidR="00A85A3B" w:rsidRPr="00A85A3B" w:rsidRDefault="00A85A3B" w:rsidP="00A85A3B">
      <w:pPr>
        <w:pStyle w:val="Corpsdetexte"/>
      </w:pPr>
      <w:r>
        <w:t>Les dispositions proposées dans le présent avant-projet ne nécessitent pas de développements informatiques</w:t>
      </w:r>
      <w:r w:rsidR="00636C94">
        <w:t xml:space="preserve"> particuliers</w:t>
      </w:r>
      <w:r>
        <w:t xml:space="preserve">. </w:t>
      </w:r>
      <w:r w:rsidR="004047C1">
        <w:t xml:space="preserve">La notification des décisions du SCC par voie électronique s’inscrit dans le développement du guichet virtuel de l’Etat de Fribourg.  </w:t>
      </w:r>
    </w:p>
    <w:p w14:paraId="565E72B6" w14:textId="0ACB9644" w:rsidR="000C7519" w:rsidRDefault="000C7519" w:rsidP="000C7519">
      <w:pPr>
        <w:pStyle w:val="Titre1"/>
      </w:pPr>
      <w:bookmarkStart w:id="17" w:name="_Toc159832168"/>
      <w:r>
        <w:t>Aspects juridiques</w:t>
      </w:r>
      <w:bookmarkEnd w:id="17"/>
    </w:p>
    <w:p w14:paraId="763D24C6" w14:textId="0DEC937D" w:rsidR="00526964" w:rsidRDefault="008C6D2B" w:rsidP="008C6D2B">
      <w:pPr>
        <w:pStyle w:val="Corpsdetexte"/>
      </w:pPr>
      <w:r>
        <w:t xml:space="preserve">La révision a pour objectif, d’une part, de mettre en œuvre des modifications légales introduites au niveau fédéral ainsi </w:t>
      </w:r>
      <w:r>
        <w:rPr>
          <w:noProof/>
          <w:lang w:eastAsia="fr-CH"/>
        </w:rPr>
        <w:t>qu’une</w:t>
      </w:r>
      <w:r>
        <w:t xml:space="preserve"> motion adoptée par le Grand Conseil en septembre 2023</w:t>
      </w:r>
      <w:r w:rsidR="00526964" w:rsidRPr="0049389D">
        <w:t xml:space="preserve">. </w:t>
      </w:r>
      <w:r>
        <w:t xml:space="preserve">D’autre part, elle vise à ancrer davantage le secret fiscal dans la LICD. </w:t>
      </w:r>
    </w:p>
    <w:p w14:paraId="4B5207FB" w14:textId="77777777" w:rsidR="004964D5" w:rsidRPr="0049389D" w:rsidRDefault="004964D5" w:rsidP="008C6D2B">
      <w:pPr>
        <w:pStyle w:val="Corpsdetexte"/>
      </w:pPr>
    </w:p>
    <w:p w14:paraId="0C6E3262" w14:textId="531BFFE9" w:rsidR="000C7519" w:rsidRDefault="000C7519" w:rsidP="000C7519">
      <w:pPr>
        <w:pStyle w:val="Titre2"/>
      </w:pPr>
      <w:bookmarkStart w:id="18" w:name="_Toc159832169"/>
      <w:r>
        <w:t>Référendum</w:t>
      </w:r>
      <w:bookmarkEnd w:id="18"/>
    </w:p>
    <w:p w14:paraId="4D9372B9" w14:textId="0A51FBAA" w:rsidR="00526964" w:rsidRDefault="00526964" w:rsidP="00526964">
      <w:pPr>
        <w:pStyle w:val="Corpsdetexte"/>
        <w:rPr>
          <w:noProof/>
          <w:lang w:eastAsia="fr-CH"/>
        </w:rPr>
      </w:pPr>
      <w:r w:rsidRPr="0049389D">
        <w:rPr>
          <w:noProof/>
          <w:lang w:eastAsia="fr-CH"/>
        </w:rPr>
        <w:t>La question du référendum financier est réglée aux articles 45 et 46 de la Constitution cantonale. L’article 45</w:t>
      </w:r>
      <w:r w:rsidR="006F76C4">
        <w:rPr>
          <w:noProof/>
          <w:lang w:eastAsia="fr-CH"/>
        </w:rPr>
        <w:t xml:space="preserve"> al. 1 let. b</w:t>
      </w:r>
      <w:r w:rsidRPr="0049389D">
        <w:rPr>
          <w:noProof/>
          <w:lang w:eastAsia="fr-CH"/>
        </w:rPr>
        <w:t xml:space="preserve"> prévoit que les actes du Grand Conseil entraînant une dépense nette nouvelle supérieure à 1% du total des dépenses des derniers comptes arrêtés par le Grand Conseil sont soumis au référendum financer obligatoire. L’article 46 </w:t>
      </w:r>
      <w:r w:rsidR="006F76C4">
        <w:rPr>
          <w:noProof/>
          <w:lang w:eastAsia="fr-CH"/>
        </w:rPr>
        <w:t xml:space="preserve">al. 1 let. b </w:t>
      </w:r>
      <w:r w:rsidRPr="0049389D">
        <w:rPr>
          <w:noProof/>
          <w:lang w:eastAsia="fr-CH"/>
        </w:rPr>
        <w:t xml:space="preserve">prévoit que les actes du Grand </w:t>
      </w:r>
      <w:r w:rsidRPr="00030574">
        <w:rPr>
          <w:noProof/>
          <w:lang w:eastAsia="fr-CH"/>
        </w:rPr>
        <w:t xml:space="preserve">Conseil entraînant une dépenses nette nouvelle supérieure à 0.25% du total des dépenses des derniers comptes font l’objet d’un référendum financier facultatif. </w:t>
      </w:r>
      <w:r w:rsidR="003B59B3" w:rsidRPr="00030574">
        <w:rPr>
          <w:noProof/>
          <w:lang w:eastAsia="fr-CH"/>
        </w:rPr>
        <w:t xml:space="preserve">Ni la Constitution cantonale, ni la législation cantonale ne prévoient de référendum financier pour les projets </w:t>
      </w:r>
      <w:r w:rsidR="00575BC0" w:rsidRPr="00030574">
        <w:rPr>
          <w:noProof/>
          <w:lang w:eastAsia="fr-CH"/>
        </w:rPr>
        <w:t xml:space="preserve">qui donnent lieu à des réductions de recettes mais n’entraînent pas </w:t>
      </w:r>
      <w:r w:rsidR="003B59B3" w:rsidRPr="00030574">
        <w:rPr>
          <w:noProof/>
          <w:lang w:eastAsia="fr-CH"/>
        </w:rPr>
        <w:t>de nouvelles dépenses</w:t>
      </w:r>
      <w:r w:rsidR="00575BC0" w:rsidRPr="00030574">
        <w:rPr>
          <w:noProof/>
          <w:lang w:eastAsia="fr-CH"/>
        </w:rPr>
        <w:t xml:space="preserve">. </w:t>
      </w:r>
      <w:r w:rsidR="003B59B3" w:rsidRPr="00030574">
        <w:rPr>
          <w:noProof/>
          <w:lang w:eastAsia="fr-CH"/>
        </w:rPr>
        <w:t xml:space="preserve">Le présent avant-projet induit une diminution de recettes </w:t>
      </w:r>
      <w:r w:rsidR="003B59B3" w:rsidRPr="00030574">
        <w:rPr>
          <w:noProof/>
          <w:lang w:eastAsia="fr-CH"/>
        </w:rPr>
        <w:lastRenderedPageBreak/>
        <w:t>fiscales</w:t>
      </w:r>
      <w:r w:rsidR="00575BC0" w:rsidRPr="00030574">
        <w:rPr>
          <w:noProof/>
          <w:lang w:eastAsia="fr-CH"/>
        </w:rPr>
        <w:t xml:space="preserve"> mais</w:t>
      </w:r>
      <w:r w:rsidR="003B59B3" w:rsidRPr="00030574">
        <w:rPr>
          <w:noProof/>
          <w:lang w:eastAsia="fr-CH"/>
        </w:rPr>
        <w:t xml:space="preserve"> pas de nouvelles dépenses. De ce fait, il n’est</w:t>
      </w:r>
      <w:r w:rsidR="003B59B3" w:rsidRPr="00575BC0">
        <w:rPr>
          <w:noProof/>
          <w:lang w:eastAsia="fr-CH"/>
        </w:rPr>
        <w:t xml:space="preserve"> pas soumis au référendum financier. En revanche, il est soumis au référendum législatif.</w:t>
      </w:r>
    </w:p>
    <w:p w14:paraId="55845DC6" w14:textId="77777777" w:rsidR="003B59B3" w:rsidRPr="00526964" w:rsidRDefault="003B59B3" w:rsidP="00526964">
      <w:pPr>
        <w:pStyle w:val="Corpsdetexte"/>
      </w:pPr>
    </w:p>
    <w:p w14:paraId="3F20799C" w14:textId="789AAF60" w:rsidR="000C7519" w:rsidRDefault="000C7519" w:rsidP="000C7519">
      <w:pPr>
        <w:pStyle w:val="Titre2"/>
      </w:pPr>
      <w:bookmarkStart w:id="19" w:name="_Toc159832170"/>
      <w:r>
        <w:t>Développement durable</w:t>
      </w:r>
      <w:bookmarkEnd w:id="19"/>
    </w:p>
    <w:p w14:paraId="42FEAE76" w14:textId="1E6C8B23" w:rsidR="00526964" w:rsidRPr="0049389D" w:rsidRDefault="00526964" w:rsidP="00526964">
      <w:pPr>
        <w:pStyle w:val="Corpsdetexte"/>
      </w:pPr>
      <w:r w:rsidRPr="0049389D">
        <w:t xml:space="preserve">La révision </w:t>
      </w:r>
      <w:r w:rsidR="003B59B3">
        <w:t>n’a pas d’impact sur le développement durable.</w:t>
      </w:r>
      <w:r w:rsidRPr="0049389D">
        <w:t xml:space="preserve"> </w:t>
      </w:r>
    </w:p>
    <w:p w14:paraId="1F70BC90" w14:textId="77777777" w:rsidR="00526964" w:rsidRPr="00526964" w:rsidRDefault="00526964" w:rsidP="00526964">
      <w:pPr>
        <w:pStyle w:val="Corpsdetexte"/>
      </w:pPr>
    </w:p>
    <w:sectPr w:rsidR="00526964" w:rsidRPr="00526964" w:rsidSect="00360569">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701" w:right="851" w:bottom="851" w:left="851" w:header="510" w:footer="652" w:gutter="284"/>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5B887" w14:textId="77777777" w:rsidR="00360569" w:rsidRDefault="00360569">
      <w:pPr>
        <w:spacing w:before="0" w:after="0" w:line="240" w:lineRule="auto"/>
      </w:pPr>
      <w:r>
        <w:separator/>
      </w:r>
    </w:p>
  </w:endnote>
  <w:endnote w:type="continuationSeparator" w:id="0">
    <w:p w14:paraId="2BFCEA2B" w14:textId="77777777" w:rsidR="00360569" w:rsidRDefault="0036056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BE414" w14:textId="77777777" w:rsidR="009E1AF4" w:rsidRDefault="009E1AF4" w:rsidP="00AD2B58">
    <w:pPr>
      <w:pStyle w:val="Pieddepage"/>
    </w:pPr>
    <w:r w:rsidRPr="00913B6D">
      <w:fldChar w:fldCharType="begin"/>
    </w:r>
    <w:r w:rsidRPr="00913B6D">
      <w:instrText xml:space="preserve"> PAGE  \* Arabic  \* MERGEFORMAT </w:instrText>
    </w:r>
    <w:r w:rsidRPr="00913B6D">
      <w:fldChar w:fldCharType="separate"/>
    </w:r>
    <w:r>
      <w:rPr>
        <w:noProof/>
      </w:rPr>
      <w:t>4</w:t>
    </w:r>
    <w:r w:rsidRPr="00913B6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37513" w14:textId="77777777" w:rsidR="009E1AF4" w:rsidRDefault="009E1AF4" w:rsidP="009E7B88">
    <w:pPr>
      <w:pStyle w:val="Pieddepage"/>
      <w:jc w:val="right"/>
    </w:pPr>
    <w:r w:rsidRPr="003226C3">
      <w:fldChar w:fldCharType="begin"/>
    </w:r>
    <w:r w:rsidRPr="003226C3">
      <w:instrText xml:space="preserve"> PAGE  \* Arabic  \* MERGEFORMAT </w:instrText>
    </w:r>
    <w:r w:rsidRPr="003226C3">
      <w:fldChar w:fldCharType="separate"/>
    </w:r>
    <w:r>
      <w:rPr>
        <w:noProof/>
      </w:rPr>
      <w:t>5</w:t>
    </w:r>
    <w:r w:rsidRPr="003226C3">
      <w:fldChar w:fldCharType="end"/>
    </w:r>
  </w:p>
  <w:p w14:paraId="158F32FF" w14:textId="77777777" w:rsidR="009E1AF4" w:rsidRDefault="009E1AF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153AD" w14:textId="77777777" w:rsidR="009E1AF4" w:rsidRDefault="009E1AF4" w:rsidP="009E7B88">
    <w:pPr>
      <w:pStyle w:val="Pieddepage"/>
      <w:jc w:val="right"/>
    </w:pPr>
    <w:r w:rsidRPr="003226C3">
      <w:fldChar w:fldCharType="begin"/>
    </w:r>
    <w:r w:rsidRPr="003226C3">
      <w:instrText xml:space="preserve"> PAGE  \* Arabic  \* MERGEFORMAT </w:instrText>
    </w:r>
    <w:r w:rsidRPr="003226C3">
      <w:fldChar w:fldCharType="separate"/>
    </w:r>
    <w:r>
      <w:rPr>
        <w:noProof/>
      </w:rPr>
      <w:t>3</w:t>
    </w:r>
    <w:r w:rsidRPr="003226C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402A6" w14:textId="77777777" w:rsidR="00360569" w:rsidRDefault="00360569" w:rsidP="00AA5F90">
      <w:r>
        <w:separator/>
      </w:r>
    </w:p>
  </w:footnote>
  <w:footnote w:type="continuationSeparator" w:id="0">
    <w:p w14:paraId="367560FC" w14:textId="77777777" w:rsidR="00360569" w:rsidRPr="00427DDB" w:rsidRDefault="00360569" w:rsidP="00427DDB">
      <w:pPr>
        <w:spacing w:line="240" w:lineRule="auto"/>
        <w:rPr>
          <w:rFonts w:asciiTheme="majorHAnsi" w:hAnsiTheme="majorHAnsi" w:cstheme="majorHAnsi"/>
          <w:b/>
          <w:sz w:val="16"/>
          <w:szCs w:val="16"/>
        </w:rPr>
      </w:pPr>
      <w:r w:rsidRPr="00A70C97">
        <w:rPr>
          <w:rFonts w:asciiTheme="majorHAnsi" w:hAnsiTheme="majorHAnsi" w:cstheme="majorHAnsi"/>
          <w:b/>
          <w:sz w:val="16"/>
          <w:szCs w:val="16"/>
        </w:rPr>
        <w:t>—</w:t>
      </w:r>
    </w:p>
  </w:footnote>
  <w:footnote w:id="1">
    <w:p w14:paraId="047E8208" w14:textId="49D48C70" w:rsidR="0084765D" w:rsidRPr="00E41938" w:rsidRDefault="0084765D">
      <w:pPr>
        <w:pStyle w:val="Notedebasdepage"/>
        <w:rPr>
          <w:lang w:val="en-US"/>
        </w:rPr>
      </w:pPr>
      <w:r>
        <w:rPr>
          <w:rStyle w:val="Appelnotedebasdep"/>
        </w:rPr>
        <w:footnoteRef/>
      </w:r>
      <w:r w:rsidRPr="00E41938">
        <w:rPr>
          <w:lang w:val="en-US"/>
        </w:rPr>
        <w:t xml:space="preserve"> </w:t>
      </w:r>
      <w:hyperlink r:id="rId1" w:history="1">
        <w:r w:rsidRPr="00E41938">
          <w:rPr>
            <w:rStyle w:val="Lienhypertexte"/>
            <w:lang w:val="en-US"/>
          </w:rPr>
          <w:t>https://www.newsd.admin.ch/newsd/message/attachments/69192.pdf</w:t>
        </w:r>
      </w:hyperlink>
      <w:r w:rsidRPr="00E41938">
        <w:rPr>
          <w:lang w:val="en-US"/>
        </w:rPr>
        <w:t>, pt. 5.1. p. 25</w:t>
      </w:r>
    </w:p>
  </w:footnote>
  <w:footnote w:id="2">
    <w:p w14:paraId="5F4B42E4" w14:textId="1F305E37" w:rsidR="00F73E9D" w:rsidRPr="00E41938" w:rsidRDefault="00F73E9D">
      <w:pPr>
        <w:pStyle w:val="Notedebasdepage"/>
        <w:rPr>
          <w:lang w:val="en-US"/>
        </w:rPr>
      </w:pPr>
      <w:r>
        <w:rPr>
          <w:rStyle w:val="Appelnotedebasdep"/>
        </w:rPr>
        <w:footnoteRef/>
      </w:r>
      <w:r w:rsidRPr="00E41938">
        <w:rPr>
          <w:lang w:val="en-US"/>
        </w:rPr>
        <w:t xml:space="preserve"> https://www.estv.admin.ch/dam/estv/fr/dokumente/estv/steuerstatistiken/fiskaleinnahmen-bund/statistik-fiskaleinnahmen-bund-2022-fr.xlsx.download.xlsx/statistik-fiskaleinnahmen-bund-2022-fr.xlsx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4361C" w14:textId="77777777" w:rsidR="009E1AF4" w:rsidRPr="00C125C0" w:rsidRDefault="009E1AF4" w:rsidP="00110EA9">
    <w:pPr>
      <w:pBdr>
        <w:bottom w:val="single" w:sz="4" w:space="1" w:color="auto"/>
      </w:pBd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5DC3A" w14:textId="77777777" w:rsidR="009E1AF4" w:rsidRPr="00C125C0" w:rsidRDefault="009E1AF4" w:rsidP="00110EA9">
    <w:pPr>
      <w:pBdr>
        <w:bottom w:val="single" w:sz="4" w:space="1" w:color="auto"/>
      </w:pBdr>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auEtatFR1"/>
      <w:tblW w:w="9923" w:type="dxa"/>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4678"/>
      <w:gridCol w:w="5245"/>
    </w:tblGrid>
    <w:tr w:rsidR="003B634C" w14:paraId="12198695" w14:textId="77777777" w:rsidTr="003B634C">
      <w:trPr>
        <w:cnfStyle w:val="100000000000" w:firstRow="1" w:lastRow="0" w:firstColumn="0" w:lastColumn="0" w:oddVBand="0" w:evenVBand="0" w:oddHBand="0" w:evenHBand="0" w:firstRowFirstColumn="0" w:firstRowLastColumn="0" w:lastRowFirstColumn="0" w:lastRowLastColumn="0"/>
        <w:trHeight w:val="1353"/>
      </w:trPr>
      <w:tc>
        <w:tcPr>
          <w:cnfStyle w:val="001000000000" w:firstRow="0" w:lastRow="0" w:firstColumn="1" w:lastColumn="0" w:oddVBand="0" w:evenVBand="0" w:oddHBand="0" w:evenHBand="0" w:firstRowFirstColumn="0" w:firstRowLastColumn="0" w:lastRowFirstColumn="0" w:lastRowLastColumn="0"/>
          <w:tcW w:w="467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E795025" w14:textId="77777777" w:rsidR="009E1AF4" w:rsidRPr="00FD0818" w:rsidRDefault="009E1AF4" w:rsidP="00FD0818">
          <w:pPr>
            <w:keepNext/>
            <w:keepLines/>
            <w:spacing w:line="460" w:lineRule="atLeast"/>
            <w:contextualSpacing/>
            <w:rPr>
              <w:rFonts w:asciiTheme="majorHAnsi" w:eastAsiaTheme="majorEastAsia" w:hAnsiTheme="majorHAnsi" w:cstheme="majorBidi"/>
              <w:color w:val="auto"/>
              <w:kern w:val="32"/>
              <w:sz w:val="16"/>
              <w:szCs w:val="52"/>
            </w:rPr>
          </w:pPr>
          <w:r w:rsidRPr="00FD0818">
            <w:rPr>
              <w:rFonts w:asciiTheme="majorHAnsi" w:eastAsiaTheme="majorEastAsia" w:hAnsiTheme="majorHAnsi" w:cstheme="majorBidi"/>
              <w:noProof/>
              <w:kern w:val="32"/>
              <w:sz w:val="16"/>
              <w:szCs w:val="52"/>
              <w:lang w:eastAsia="fr-CH"/>
            </w:rPr>
            <w:drawing>
              <wp:anchor distT="0" distB="0" distL="114300" distR="114300" simplePos="0" relativeHeight="251658240" behindDoc="0" locked="0" layoutInCell="1" allowOverlap="1" wp14:anchorId="6E5C347C" wp14:editId="62565A61">
                <wp:simplePos x="0" y="0"/>
                <wp:positionH relativeFrom="page">
                  <wp:posOffset>0</wp:posOffset>
                </wp:positionH>
                <wp:positionV relativeFrom="page">
                  <wp:posOffset>8890</wp:posOffset>
                </wp:positionV>
                <wp:extent cx="935990" cy="795866"/>
                <wp:effectExtent l="25400" t="0" r="3810" b="0"/>
                <wp:wrapNone/>
                <wp:docPr id="11" name="Image 11"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r_300.jpg"/>
                        <pic:cNvPicPr/>
                      </pic:nvPicPr>
                      <pic:blipFill>
                        <a:blip r:embed="rId1"/>
                        <a:stretch>
                          <a:fillRect/>
                        </a:stretch>
                      </pic:blipFill>
                      <pic:spPr>
                        <a:xfrm>
                          <a:off x="0" y="0"/>
                          <a:ext cx="935990" cy="795867"/>
                        </a:xfrm>
                        <a:prstGeom prst="rect">
                          <a:avLst/>
                        </a:prstGeom>
                      </pic:spPr>
                    </pic:pic>
                  </a:graphicData>
                </a:graphic>
              </wp:anchor>
            </w:drawing>
          </w:r>
        </w:p>
      </w:tc>
      <w:tc>
        <w:tcPr>
          <w:tcW w:w="524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F048C49" w14:textId="77777777" w:rsidR="009E1AF4" w:rsidRPr="00FD0818" w:rsidRDefault="009E1AF4" w:rsidP="00FD0818">
          <w:pPr>
            <w:keepNext/>
            <w:keepLines/>
            <w:spacing w:before="0" w:beforeAutospacing="0" w:after="0" w:afterAutospacing="0" w:line="220" w:lineRule="atLeast"/>
            <w:contextualSpacing/>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color w:val="auto"/>
              <w:kern w:val="32"/>
              <w:sz w:val="16"/>
              <w:szCs w:val="52"/>
            </w:rPr>
          </w:pPr>
          <w:r w:rsidRPr="00277187">
            <w:rPr>
              <w:rFonts w:asciiTheme="majorHAnsi" w:eastAsiaTheme="majorEastAsia" w:hAnsiTheme="majorHAnsi" w:cstheme="majorBidi"/>
              <w:bCs/>
              <w:color w:val="auto"/>
              <w:kern w:val="32"/>
              <w:sz w:val="16"/>
              <w:szCs w:val="52"/>
            </w:rPr>
            <w:t>Direction des finances</w:t>
          </w:r>
          <w:r w:rsidRPr="00FD0818">
            <w:rPr>
              <w:rFonts w:asciiTheme="majorHAnsi" w:eastAsiaTheme="majorEastAsia" w:hAnsiTheme="majorHAnsi" w:cstheme="majorBidi"/>
              <w:b w:val="0"/>
              <w:color w:val="auto"/>
              <w:kern w:val="32"/>
              <w:sz w:val="16"/>
              <w:szCs w:val="52"/>
            </w:rPr>
            <w:t xml:space="preserve"> </w:t>
          </w:r>
          <w:r>
            <w:rPr>
              <w:rFonts w:asciiTheme="majorHAnsi" w:eastAsiaTheme="majorEastAsia" w:hAnsiTheme="majorHAnsi" w:cstheme="majorBidi"/>
              <w:b w:val="0"/>
              <w:bCs/>
              <w:color w:val="auto"/>
              <w:kern w:val="32"/>
              <w:sz w:val="16"/>
              <w:szCs w:val="52"/>
            </w:rPr>
            <w:t>DFIN</w:t>
          </w:r>
        </w:p>
        <w:p w14:paraId="3C869547" w14:textId="77777777" w:rsidR="009E1AF4" w:rsidRPr="000433E6" w:rsidRDefault="009E1AF4" w:rsidP="00FD0818">
          <w:pPr>
            <w:keepNext/>
            <w:keepLines/>
            <w:spacing w:before="0" w:beforeAutospacing="0" w:after="0" w:afterAutospacing="0" w:line="220" w:lineRule="atLeast"/>
            <w:contextualSpacing/>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color w:val="auto"/>
              <w:kern w:val="32"/>
              <w:sz w:val="16"/>
              <w:szCs w:val="52"/>
            </w:rPr>
          </w:pPr>
          <w:r w:rsidRPr="000433E6">
            <w:rPr>
              <w:rFonts w:asciiTheme="majorHAnsi" w:eastAsiaTheme="majorEastAsia" w:hAnsiTheme="majorHAnsi" w:cstheme="majorBidi"/>
              <w:bCs/>
              <w:color w:val="auto"/>
              <w:kern w:val="32"/>
              <w:sz w:val="16"/>
              <w:szCs w:val="52"/>
            </w:rPr>
            <w:t xml:space="preserve">Finanzdirektion </w:t>
          </w:r>
          <w:r>
            <w:rPr>
              <w:rFonts w:asciiTheme="majorHAnsi" w:eastAsiaTheme="majorEastAsia" w:hAnsiTheme="majorHAnsi" w:cstheme="majorBidi"/>
              <w:b w:val="0"/>
              <w:bCs/>
              <w:color w:val="auto"/>
              <w:kern w:val="32"/>
              <w:sz w:val="16"/>
              <w:szCs w:val="52"/>
            </w:rPr>
            <w:t>FIND</w:t>
          </w:r>
        </w:p>
      </w:tc>
    </w:tr>
  </w:tbl>
  <w:p w14:paraId="784CC809" w14:textId="77777777" w:rsidR="009E1AF4" w:rsidRPr="000433E6" w:rsidRDefault="009E1A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09C3"/>
    <w:multiLevelType w:val="hybridMultilevel"/>
    <w:tmpl w:val="D97CE200"/>
    <w:lvl w:ilvl="0" w:tplc="871CBF70">
      <w:numFmt w:val="bullet"/>
      <w:lvlText w:val=""/>
      <w:lvlJc w:val="left"/>
      <w:pPr>
        <w:ind w:left="1065" w:hanging="705"/>
      </w:pPr>
      <w:rPr>
        <w:rFonts w:ascii="Wingdings" w:eastAsiaTheme="minorHAnsi" w:hAnsi="Wingdings" w:cstheme="minorBidi" w:hint="default"/>
      </w:rPr>
    </w:lvl>
    <w:lvl w:ilvl="1" w:tplc="D7A8BFF4" w:tentative="1">
      <w:start w:val="1"/>
      <w:numFmt w:val="bullet"/>
      <w:lvlText w:val="o"/>
      <w:lvlJc w:val="left"/>
      <w:pPr>
        <w:ind w:left="1440" w:hanging="360"/>
      </w:pPr>
      <w:rPr>
        <w:rFonts w:ascii="Courier New" w:hAnsi="Courier New" w:cs="Courier New" w:hint="default"/>
      </w:rPr>
    </w:lvl>
    <w:lvl w:ilvl="2" w:tplc="66682F3C" w:tentative="1">
      <w:start w:val="1"/>
      <w:numFmt w:val="bullet"/>
      <w:lvlText w:val=""/>
      <w:lvlJc w:val="left"/>
      <w:pPr>
        <w:ind w:left="2160" w:hanging="360"/>
      </w:pPr>
      <w:rPr>
        <w:rFonts w:ascii="Wingdings" w:hAnsi="Wingdings" w:hint="default"/>
      </w:rPr>
    </w:lvl>
    <w:lvl w:ilvl="3" w:tplc="8746FB32" w:tentative="1">
      <w:start w:val="1"/>
      <w:numFmt w:val="bullet"/>
      <w:lvlText w:val=""/>
      <w:lvlJc w:val="left"/>
      <w:pPr>
        <w:ind w:left="2880" w:hanging="360"/>
      </w:pPr>
      <w:rPr>
        <w:rFonts w:ascii="Symbol" w:hAnsi="Symbol" w:hint="default"/>
      </w:rPr>
    </w:lvl>
    <w:lvl w:ilvl="4" w:tplc="46BE61E4" w:tentative="1">
      <w:start w:val="1"/>
      <w:numFmt w:val="bullet"/>
      <w:lvlText w:val="o"/>
      <w:lvlJc w:val="left"/>
      <w:pPr>
        <w:ind w:left="3600" w:hanging="360"/>
      </w:pPr>
      <w:rPr>
        <w:rFonts w:ascii="Courier New" w:hAnsi="Courier New" w:cs="Courier New" w:hint="default"/>
      </w:rPr>
    </w:lvl>
    <w:lvl w:ilvl="5" w:tplc="E82C7498" w:tentative="1">
      <w:start w:val="1"/>
      <w:numFmt w:val="bullet"/>
      <w:lvlText w:val=""/>
      <w:lvlJc w:val="left"/>
      <w:pPr>
        <w:ind w:left="4320" w:hanging="360"/>
      </w:pPr>
      <w:rPr>
        <w:rFonts w:ascii="Wingdings" w:hAnsi="Wingdings" w:hint="default"/>
      </w:rPr>
    </w:lvl>
    <w:lvl w:ilvl="6" w:tplc="46047120" w:tentative="1">
      <w:start w:val="1"/>
      <w:numFmt w:val="bullet"/>
      <w:lvlText w:val=""/>
      <w:lvlJc w:val="left"/>
      <w:pPr>
        <w:ind w:left="5040" w:hanging="360"/>
      </w:pPr>
      <w:rPr>
        <w:rFonts w:ascii="Symbol" w:hAnsi="Symbol" w:hint="default"/>
      </w:rPr>
    </w:lvl>
    <w:lvl w:ilvl="7" w:tplc="6AFEF7B8" w:tentative="1">
      <w:start w:val="1"/>
      <w:numFmt w:val="bullet"/>
      <w:lvlText w:val="o"/>
      <w:lvlJc w:val="left"/>
      <w:pPr>
        <w:ind w:left="5760" w:hanging="360"/>
      </w:pPr>
      <w:rPr>
        <w:rFonts w:ascii="Courier New" w:hAnsi="Courier New" w:cs="Courier New" w:hint="default"/>
      </w:rPr>
    </w:lvl>
    <w:lvl w:ilvl="8" w:tplc="D3F62658" w:tentative="1">
      <w:start w:val="1"/>
      <w:numFmt w:val="bullet"/>
      <w:lvlText w:val=""/>
      <w:lvlJc w:val="left"/>
      <w:pPr>
        <w:ind w:left="6480" w:hanging="360"/>
      </w:pPr>
      <w:rPr>
        <w:rFonts w:ascii="Wingdings" w:hAnsi="Wingdings" w:hint="default"/>
      </w:rPr>
    </w:lvl>
  </w:abstractNum>
  <w:abstractNum w:abstractNumId="1" w15:restartNumberingAfterBreak="0">
    <w:nsid w:val="01072A26"/>
    <w:multiLevelType w:val="multilevel"/>
    <w:tmpl w:val="9114329C"/>
    <w:numStyleLink w:val="EtatFRAnnexe"/>
  </w:abstractNum>
  <w:abstractNum w:abstractNumId="2" w15:restartNumberingAfterBreak="0">
    <w:nsid w:val="08C93A9E"/>
    <w:multiLevelType w:val="multilevel"/>
    <w:tmpl w:val="4B1A8D58"/>
    <w:numStyleLink w:val="EtatFRTitre"/>
  </w:abstractNum>
  <w:abstractNum w:abstractNumId="3" w15:restartNumberingAfterBreak="0">
    <w:nsid w:val="0D971D9D"/>
    <w:multiLevelType w:val="multilevel"/>
    <w:tmpl w:val="6E089A12"/>
    <w:name w:val="SITel Liste numérotée"/>
    <w:numStyleLink w:val="EtatFRNumrotation"/>
  </w:abstractNum>
  <w:abstractNum w:abstractNumId="4" w15:restartNumberingAfterBreak="0">
    <w:nsid w:val="0EA62DB8"/>
    <w:multiLevelType w:val="multilevel"/>
    <w:tmpl w:val="C812CDBA"/>
    <w:numStyleLink w:val="EtatFRPuces"/>
  </w:abstractNum>
  <w:abstractNum w:abstractNumId="5" w15:restartNumberingAfterBreak="0">
    <w:nsid w:val="0F9E5C00"/>
    <w:multiLevelType w:val="multilevel"/>
    <w:tmpl w:val="9114329C"/>
    <w:styleLink w:val="EtatFRAnnexe"/>
    <w:lvl w:ilvl="0">
      <w:start w:val="1"/>
      <w:numFmt w:val="decimal"/>
      <w:pStyle w:val="Annexe1"/>
      <w:lvlText w:val="A%1"/>
      <w:lvlJc w:val="left"/>
      <w:pPr>
        <w:ind w:left="567" w:hanging="567"/>
      </w:pPr>
      <w:rPr>
        <w:rFonts w:hint="default"/>
      </w:rPr>
    </w:lvl>
    <w:lvl w:ilvl="1">
      <w:start w:val="1"/>
      <w:numFmt w:val="decimal"/>
      <w:pStyle w:val="Annexe2"/>
      <w:lvlText w:val="A%1.%2"/>
      <w:lvlJc w:val="left"/>
      <w:pPr>
        <w:ind w:left="794" w:hanging="794"/>
      </w:pPr>
      <w:rPr>
        <w:rFonts w:hint="default"/>
      </w:rPr>
    </w:lvl>
    <w:lvl w:ilvl="2">
      <w:start w:val="1"/>
      <w:numFmt w:val="decimal"/>
      <w:pStyle w:val="Annexe3"/>
      <w:lvlText w:val="A%1.%2.%3"/>
      <w:lvlJc w:val="left"/>
      <w:pPr>
        <w:ind w:left="1021" w:hanging="1021"/>
      </w:pPr>
      <w:rPr>
        <w:rFonts w:hint="default"/>
      </w:rPr>
    </w:lvl>
    <w:lvl w:ilvl="3">
      <w:start w:val="1"/>
      <w:numFmt w:val="decimal"/>
      <w:pStyle w:val="Annexe4"/>
      <w:lvlText w:val="A%1.%2.%3.%4"/>
      <w:lvlJc w:val="left"/>
      <w:pPr>
        <w:ind w:left="1247" w:hanging="1247"/>
      </w:pPr>
      <w:rPr>
        <w:rFonts w:hint="default"/>
      </w:rPr>
    </w:lvl>
    <w:lvl w:ilvl="4">
      <w:start w:val="1"/>
      <w:numFmt w:val="decimal"/>
      <w:pStyle w:val="Annexe5"/>
      <w:lvlText w:val="A%1.%2.%3.%4.%5"/>
      <w:lvlJc w:val="left"/>
      <w:pPr>
        <w:ind w:left="1474" w:hanging="1474"/>
      </w:pPr>
      <w:rPr>
        <w:rFonts w:hint="default"/>
      </w:rPr>
    </w:lvl>
    <w:lvl w:ilvl="5">
      <w:start w:val="1"/>
      <w:numFmt w:val="decimal"/>
      <w:pStyle w:val="Annexe6"/>
      <w:lvlText w:val="A%1.%2.%3.%4.%5.%6"/>
      <w:lvlJc w:val="left"/>
      <w:pPr>
        <w:ind w:left="1701" w:hanging="1701"/>
      </w:pPr>
      <w:rPr>
        <w:rFonts w:hint="default"/>
      </w:rPr>
    </w:lvl>
    <w:lvl w:ilvl="6">
      <w:start w:val="1"/>
      <w:numFmt w:val="decimal"/>
      <w:pStyle w:val="Annexe7"/>
      <w:lvlText w:val="A%1.%2.%3.%4.%5.%6.%7"/>
      <w:lvlJc w:val="left"/>
      <w:pPr>
        <w:ind w:left="1928" w:hanging="1928"/>
      </w:pPr>
      <w:rPr>
        <w:rFonts w:hint="default"/>
      </w:rPr>
    </w:lvl>
    <w:lvl w:ilvl="7">
      <w:start w:val="1"/>
      <w:numFmt w:val="decimal"/>
      <w:pStyle w:val="Annexe8"/>
      <w:lvlText w:val="A%1.%2.%3.%4.%5.%6.%7.%8"/>
      <w:lvlJc w:val="left"/>
      <w:pPr>
        <w:ind w:left="2155" w:hanging="2155"/>
      </w:pPr>
      <w:rPr>
        <w:rFonts w:hint="default"/>
      </w:rPr>
    </w:lvl>
    <w:lvl w:ilvl="8">
      <w:start w:val="1"/>
      <w:numFmt w:val="decimal"/>
      <w:pStyle w:val="Annexe9"/>
      <w:lvlText w:val="A%1.%2.%3.%4.%5.%6.%7.%8.%9"/>
      <w:lvlJc w:val="left"/>
      <w:pPr>
        <w:ind w:left="2381" w:hanging="2381"/>
      </w:pPr>
      <w:rPr>
        <w:rFonts w:hint="default"/>
      </w:rPr>
    </w:lvl>
  </w:abstractNum>
  <w:abstractNum w:abstractNumId="6" w15:restartNumberingAfterBreak="0">
    <w:nsid w:val="11EB2A1A"/>
    <w:multiLevelType w:val="multilevel"/>
    <w:tmpl w:val="6E089A12"/>
    <w:styleLink w:val="EtatFRNumrotation"/>
    <w:lvl w:ilvl="0">
      <w:start w:val="1"/>
      <w:numFmt w:val="decimal"/>
      <w:pStyle w:val="Listenumros"/>
      <w:lvlText w:val="%1."/>
      <w:lvlJc w:val="left"/>
      <w:pPr>
        <w:ind w:left="397" w:hanging="397"/>
      </w:pPr>
      <w:rPr>
        <w:rFonts w:hint="default"/>
      </w:rPr>
    </w:lvl>
    <w:lvl w:ilvl="1">
      <w:start w:val="1"/>
      <w:numFmt w:val="decimal"/>
      <w:pStyle w:val="Listenumros2"/>
      <w:lvlText w:val="%2."/>
      <w:lvlJc w:val="left"/>
      <w:pPr>
        <w:ind w:left="794" w:hanging="397"/>
      </w:pPr>
      <w:rPr>
        <w:rFonts w:hint="default"/>
        <w:color w:val="auto"/>
      </w:rPr>
    </w:lvl>
    <w:lvl w:ilvl="2">
      <w:start w:val="1"/>
      <w:numFmt w:val="decimal"/>
      <w:pStyle w:val="Listenumros3"/>
      <w:lvlText w:val="%3."/>
      <w:lvlJc w:val="left"/>
      <w:pPr>
        <w:ind w:left="1191" w:hanging="397"/>
      </w:pPr>
      <w:rPr>
        <w:rFonts w:hint="default"/>
        <w:color w:val="auto"/>
      </w:rPr>
    </w:lvl>
    <w:lvl w:ilvl="3">
      <w:start w:val="1"/>
      <w:numFmt w:val="decimal"/>
      <w:pStyle w:val="Listenumros4"/>
      <w:lvlText w:val="%4."/>
      <w:lvlJc w:val="left"/>
      <w:pPr>
        <w:ind w:left="1588" w:hanging="397"/>
      </w:pPr>
      <w:rPr>
        <w:rFonts w:hint="default"/>
        <w:color w:val="auto"/>
      </w:rPr>
    </w:lvl>
    <w:lvl w:ilvl="4">
      <w:start w:val="1"/>
      <w:numFmt w:val="decimal"/>
      <w:pStyle w:val="Listenumros5"/>
      <w:lvlText w:val="%5."/>
      <w:lvlJc w:val="left"/>
      <w:pPr>
        <w:ind w:left="1985" w:hanging="397"/>
      </w:pPr>
      <w:rPr>
        <w:rFonts w:hint="default"/>
        <w:color w:val="auto"/>
      </w:rPr>
    </w:lvl>
    <w:lvl w:ilvl="5">
      <w:start w:val="1"/>
      <w:numFmt w:val="decimal"/>
      <w:pStyle w:val="Listenumros6"/>
      <w:lvlText w:val="%6."/>
      <w:lvlJc w:val="left"/>
      <w:pPr>
        <w:ind w:left="2382" w:hanging="397"/>
      </w:pPr>
      <w:rPr>
        <w:rFonts w:hint="default"/>
        <w:color w:val="auto"/>
      </w:rPr>
    </w:lvl>
    <w:lvl w:ilvl="6">
      <w:start w:val="1"/>
      <w:numFmt w:val="decimal"/>
      <w:pStyle w:val="Listenumros7"/>
      <w:lvlText w:val="%7."/>
      <w:lvlJc w:val="left"/>
      <w:pPr>
        <w:ind w:left="2779" w:hanging="397"/>
      </w:pPr>
      <w:rPr>
        <w:rFonts w:hint="default"/>
        <w:color w:val="auto"/>
      </w:rPr>
    </w:lvl>
    <w:lvl w:ilvl="7">
      <w:start w:val="1"/>
      <w:numFmt w:val="decimal"/>
      <w:pStyle w:val="Listenumros8"/>
      <w:lvlText w:val="%8."/>
      <w:lvlJc w:val="left"/>
      <w:pPr>
        <w:ind w:left="3176" w:hanging="397"/>
      </w:pPr>
      <w:rPr>
        <w:rFonts w:hint="default"/>
        <w:color w:val="auto"/>
      </w:rPr>
    </w:lvl>
    <w:lvl w:ilvl="8">
      <w:start w:val="1"/>
      <w:numFmt w:val="decimal"/>
      <w:pStyle w:val="Listenumros9"/>
      <w:lvlText w:val="%9."/>
      <w:lvlJc w:val="left"/>
      <w:pPr>
        <w:ind w:left="3573" w:hanging="397"/>
      </w:pPr>
      <w:rPr>
        <w:rFonts w:hint="default"/>
        <w:color w:val="auto"/>
      </w:rPr>
    </w:lvl>
  </w:abstractNum>
  <w:abstractNum w:abstractNumId="7" w15:restartNumberingAfterBreak="0">
    <w:nsid w:val="133D2F5D"/>
    <w:multiLevelType w:val="multilevel"/>
    <w:tmpl w:val="4B1A8D58"/>
    <w:styleLink w:val="EtatFRTitre"/>
    <w:lvl w:ilvl="0">
      <w:start w:val="1"/>
      <w:numFmt w:val="decimal"/>
      <w:pStyle w:val="Titre1"/>
      <w:lvlText w:val="%1"/>
      <w:lvlJc w:val="left"/>
      <w:pPr>
        <w:ind w:left="397" w:hanging="397"/>
      </w:pPr>
      <w:rPr>
        <w:rFonts w:hint="default"/>
      </w:rPr>
    </w:lvl>
    <w:lvl w:ilvl="1">
      <w:start w:val="1"/>
      <w:numFmt w:val="decimal"/>
      <w:pStyle w:val="Titre2"/>
      <w:lvlText w:val="%1.%2"/>
      <w:lvlJc w:val="left"/>
      <w:pPr>
        <w:ind w:left="624" w:hanging="624"/>
      </w:pPr>
      <w:rPr>
        <w:rFonts w:hint="default"/>
      </w:rPr>
    </w:lvl>
    <w:lvl w:ilvl="2">
      <w:start w:val="1"/>
      <w:numFmt w:val="decimal"/>
      <w:pStyle w:val="Titre3"/>
      <w:lvlText w:val="%1.%2.%3"/>
      <w:lvlJc w:val="left"/>
      <w:pPr>
        <w:ind w:left="851" w:hanging="851"/>
      </w:pPr>
      <w:rPr>
        <w:rFonts w:hint="default"/>
      </w:rPr>
    </w:lvl>
    <w:lvl w:ilvl="3">
      <w:start w:val="1"/>
      <w:numFmt w:val="decimal"/>
      <w:pStyle w:val="Titre4"/>
      <w:lvlText w:val="%1.%2.%3.%4"/>
      <w:lvlJc w:val="left"/>
      <w:pPr>
        <w:ind w:left="1077" w:hanging="1077"/>
      </w:pPr>
      <w:rPr>
        <w:rFonts w:hint="default"/>
      </w:rPr>
    </w:lvl>
    <w:lvl w:ilvl="4">
      <w:start w:val="1"/>
      <w:numFmt w:val="decimal"/>
      <w:pStyle w:val="Titre5"/>
      <w:lvlText w:val="%1.%2.%3.%4.%5"/>
      <w:lvlJc w:val="left"/>
      <w:pPr>
        <w:ind w:left="1304" w:hanging="1304"/>
      </w:pPr>
      <w:rPr>
        <w:rFonts w:hint="default"/>
      </w:rPr>
    </w:lvl>
    <w:lvl w:ilvl="5">
      <w:start w:val="1"/>
      <w:numFmt w:val="decimal"/>
      <w:pStyle w:val="Titre6"/>
      <w:lvlText w:val="%1.%2.%3.%4.%5.%6"/>
      <w:lvlJc w:val="left"/>
      <w:pPr>
        <w:ind w:left="1531" w:hanging="1531"/>
      </w:pPr>
      <w:rPr>
        <w:rFonts w:hint="default"/>
      </w:rPr>
    </w:lvl>
    <w:lvl w:ilvl="6">
      <w:start w:val="1"/>
      <w:numFmt w:val="decimal"/>
      <w:pStyle w:val="Titre7"/>
      <w:lvlText w:val="%1.%2.%3.%4.%5.%6.%7"/>
      <w:lvlJc w:val="left"/>
      <w:pPr>
        <w:ind w:left="1758" w:hanging="1758"/>
      </w:pPr>
      <w:rPr>
        <w:rFonts w:hint="default"/>
      </w:rPr>
    </w:lvl>
    <w:lvl w:ilvl="7">
      <w:start w:val="1"/>
      <w:numFmt w:val="decimal"/>
      <w:pStyle w:val="Titre8"/>
      <w:lvlText w:val="%1.%2.%3.%4.%5.%6.%7.%8"/>
      <w:lvlJc w:val="left"/>
      <w:pPr>
        <w:ind w:left="1985" w:hanging="1985"/>
      </w:pPr>
      <w:rPr>
        <w:rFonts w:hint="default"/>
      </w:rPr>
    </w:lvl>
    <w:lvl w:ilvl="8">
      <w:start w:val="1"/>
      <w:numFmt w:val="decimal"/>
      <w:pStyle w:val="Titre9"/>
      <w:lvlText w:val="%1.%2.%3.%4.%5.%6.%7.%8.%9"/>
      <w:lvlJc w:val="left"/>
      <w:pPr>
        <w:ind w:left="2211" w:hanging="2211"/>
      </w:pPr>
      <w:rPr>
        <w:rFonts w:hint="default"/>
      </w:rPr>
    </w:lvl>
  </w:abstractNum>
  <w:abstractNum w:abstractNumId="8" w15:restartNumberingAfterBreak="0">
    <w:nsid w:val="17194120"/>
    <w:multiLevelType w:val="hybridMultilevel"/>
    <w:tmpl w:val="B3462A3C"/>
    <w:lvl w:ilvl="0" w:tplc="0AC48390">
      <w:numFmt w:val="bullet"/>
      <w:lvlText w:val="-"/>
      <w:lvlJc w:val="left"/>
      <w:pPr>
        <w:ind w:left="720" w:hanging="360"/>
      </w:pPr>
      <w:rPr>
        <w:rFonts w:ascii="Times New Roman" w:eastAsiaTheme="minorHAnsi"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1B066739"/>
    <w:multiLevelType w:val="multilevel"/>
    <w:tmpl w:val="02280202"/>
    <w:styleLink w:val="EtatFRNumrotationhirarchique"/>
    <w:lvl w:ilvl="0">
      <w:start w:val="1"/>
      <w:numFmt w:val="decimal"/>
      <w:pStyle w:val="Listecontinue1"/>
      <w:lvlText w:val="%1."/>
      <w:lvlJc w:val="left"/>
      <w:pPr>
        <w:ind w:left="397" w:hanging="397"/>
      </w:pPr>
      <w:rPr>
        <w:rFonts w:hint="default"/>
      </w:rPr>
    </w:lvl>
    <w:lvl w:ilvl="1">
      <w:start w:val="1"/>
      <w:numFmt w:val="decimal"/>
      <w:pStyle w:val="Listecontinue2"/>
      <w:lvlText w:val="%1.%2"/>
      <w:lvlJc w:val="left"/>
      <w:pPr>
        <w:ind w:left="964" w:hanging="567"/>
      </w:pPr>
      <w:rPr>
        <w:rFonts w:hint="default"/>
      </w:rPr>
    </w:lvl>
    <w:lvl w:ilvl="2">
      <w:start w:val="1"/>
      <w:numFmt w:val="decimal"/>
      <w:pStyle w:val="Listecontinue3"/>
      <w:lvlText w:val="%1.%2.%3"/>
      <w:lvlJc w:val="left"/>
      <w:pPr>
        <w:ind w:left="1531" w:hanging="737"/>
      </w:pPr>
      <w:rPr>
        <w:rFonts w:hint="default"/>
      </w:rPr>
    </w:lvl>
    <w:lvl w:ilvl="3">
      <w:start w:val="1"/>
      <w:numFmt w:val="decimal"/>
      <w:pStyle w:val="Listecontinue4"/>
      <w:lvlText w:val="%1.%2.%3.%4"/>
      <w:lvlJc w:val="left"/>
      <w:pPr>
        <w:ind w:left="2098" w:hanging="907"/>
      </w:pPr>
      <w:rPr>
        <w:rFonts w:hint="default"/>
      </w:rPr>
    </w:lvl>
    <w:lvl w:ilvl="4">
      <w:start w:val="1"/>
      <w:numFmt w:val="decimal"/>
      <w:pStyle w:val="Listecontinue5"/>
      <w:lvlText w:val="%1.%2.%3.%4.%5"/>
      <w:lvlJc w:val="left"/>
      <w:pPr>
        <w:ind w:left="2665" w:hanging="1077"/>
      </w:pPr>
      <w:rPr>
        <w:rFonts w:hint="default"/>
      </w:rPr>
    </w:lvl>
    <w:lvl w:ilvl="5">
      <w:start w:val="1"/>
      <w:numFmt w:val="decimal"/>
      <w:pStyle w:val="Listecontinue6"/>
      <w:lvlText w:val="%1.%2.%3.%4.%5.%6"/>
      <w:lvlJc w:val="left"/>
      <w:pPr>
        <w:ind w:left="3232" w:hanging="1247"/>
      </w:pPr>
      <w:rPr>
        <w:rFonts w:hint="default"/>
      </w:rPr>
    </w:lvl>
    <w:lvl w:ilvl="6">
      <w:start w:val="1"/>
      <w:numFmt w:val="decimal"/>
      <w:pStyle w:val="Listecontinue7"/>
      <w:lvlText w:val="%1.%2.%3.%4.%5.%6.%7"/>
      <w:lvlJc w:val="left"/>
      <w:pPr>
        <w:ind w:left="3799" w:hanging="1417"/>
      </w:pPr>
      <w:rPr>
        <w:rFonts w:hint="default"/>
      </w:rPr>
    </w:lvl>
    <w:lvl w:ilvl="7">
      <w:start w:val="1"/>
      <w:numFmt w:val="decimal"/>
      <w:pStyle w:val="Listecontinue8"/>
      <w:lvlText w:val="%1.%2.%3.%4.%5.%6.%7.%8"/>
      <w:lvlJc w:val="left"/>
      <w:pPr>
        <w:ind w:left="4366" w:hanging="1587"/>
      </w:pPr>
      <w:rPr>
        <w:rFonts w:hint="default"/>
      </w:rPr>
    </w:lvl>
    <w:lvl w:ilvl="8">
      <w:start w:val="1"/>
      <w:numFmt w:val="decimal"/>
      <w:pStyle w:val="Listecontinue9"/>
      <w:lvlText w:val="%1.%2.%3.%4.%5.%6.%7.%8.%9"/>
      <w:lvlJc w:val="left"/>
      <w:pPr>
        <w:ind w:left="4933" w:hanging="1757"/>
      </w:pPr>
      <w:rPr>
        <w:rFonts w:hint="default"/>
      </w:rPr>
    </w:lvl>
  </w:abstractNum>
  <w:abstractNum w:abstractNumId="10" w15:restartNumberingAfterBreak="0">
    <w:nsid w:val="1BCA4211"/>
    <w:multiLevelType w:val="hybridMultilevel"/>
    <w:tmpl w:val="9D042E2E"/>
    <w:lvl w:ilvl="0" w:tplc="5D26D286">
      <w:start w:val="1"/>
      <w:numFmt w:val="lowerLetter"/>
      <w:pStyle w:val="Listealphabtique"/>
      <w:lvlText w:val="%1)"/>
      <w:lvlJc w:val="left"/>
      <w:pPr>
        <w:ind w:left="720" w:hanging="360"/>
      </w:pPr>
      <w:rPr>
        <w:rFonts w:hint="default"/>
      </w:rPr>
    </w:lvl>
    <w:lvl w:ilvl="1" w:tplc="185CECD6" w:tentative="1">
      <w:start w:val="1"/>
      <w:numFmt w:val="lowerLetter"/>
      <w:lvlText w:val="%2."/>
      <w:lvlJc w:val="left"/>
      <w:pPr>
        <w:ind w:left="1440" w:hanging="360"/>
      </w:pPr>
    </w:lvl>
    <w:lvl w:ilvl="2" w:tplc="8FE008C8" w:tentative="1">
      <w:start w:val="1"/>
      <w:numFmt w:val="lowerRoman"/>
      <w:lvlText w:val="%3."/>
      <w:lvlJc w:val="right"/>
      <w:pPr>
        <w:ind w:left="2160" w:hanging="180"/>
      </w:pPr>
    </w:lvl>
    <w:lvl w:ilvl="3" w:tplc="3C1097AC" w:tentative="1">
      <w:start w:val="1"/>
      <w:numFmt w:val="decimal"/>
      <w:lvlText w:val="%4."/>
      <w:lvlJc w:val="left"/>
      <w:pPr>
        <w:ind w:left="2880" w:hanging="360"/>
      </w:pPr>
    </w:lvl>
    <w:lvl w:ilvl="4" w:tplc="270C7F3C" w:tentative="1">
      <w:start w:val="1"/>
      <w:numFmt w:val="lowerLetter"/>
      <w:lvlText w:val="%5."/>
      <w:lvlJc w:val="left"/>
      <w:pPr>
        <w:ind w:left="3600" w:hanging="360"/>
      </w:pPr>
    </w:lvl>
    <w:lvl w:ilvl="5" w:tplc="8116928E" w:tentative="1">
      <w:start w:val="1"/>
      <w:numFmt w:val="lowerRoman"/>
      <w:lvlText w:val="%6."/>
      <w:lvlJc w:val="right"/>
      <w:pPr>
        <w:ind w:left="4320" w:hanging="180"/>
      </w:pPr>
    </w:lvl>
    <w:lvl w:ilvl="6" w:tplc="BDCE0BC0" w:tentative="1">
      <w:start w:val="1"/>
      <w:numFmt w:val="decimal"/>
      <w:lvlText w:val="%7."/>
      <w:lvlJc w:val="left"/>
      <w:pPr>
        <w:ind w:left="5040" w:hanging="360"/>
      </w:pPr>
    </w:lvl>
    <w:lvl w:ilvl="7" w:tplc="0F662AB6" w:tentative="1">
      <w:start w:val="1"/>
      <w:numFmt w:val="lowerLetter"/>
      <w:lvlText w:val="%8."/>
      <w:lvlJc w:val="left"/>
      <w:pPr>
        <w:ind w:left="5760" w:hanging="360"/>
      </w:pPr>
    </w:lvl>
    <w:lvl w:ilvl="8" w:tplc="1272FAF2" w:tentative="1">
      <w:start w:val="1"/>
      <w:numFmt w:val="lowerRoman"/>
      <w:lvlText w:val="%9."/>
      <w:lvlJc w:val="right"/>
      <w:pPr>
        <w:ind w:left="6480" w:hanging="180"/>
      </w:pPr>
    </w:lvl>
  </w:abstractNum>
  <w:abstractNum w:abstractNumId="11" w15:restartNumberingAfterBreak="0">
    <w:nsid w:val="1D045D63"/>
    <w:multiLevelType w:val="hybridMultilevel"/>
    <w:tmpl w:val="CAC44AC4"/>
    <w:lvl w:ilvl="0" w:tplc="BC942CA0">
      <w:start w:val="1"/>
      <w:numFmt w:val="bullet"/>
      <w:pStyle w:val="Paragraphedeliste"/>
      <w:lvlText w:val="&gt;"/>
      <w:lvlJc w:val="left"/>
      <w:pPr>
        <w:ind w:left="1117" w:hanging="360"/>
      </w:pPr>
      <w:rPr>
        <w:rFonts w:ascii="Arial" w:hAnsi="Arial" w:hint="default"/>
      </w:rPr>
    </w:lvl>
    <w:lvl w:ilvl="1" w:tplc="5C8AA524">
      <w:start w:val="1"/>
      <w:numFmt w:val="bullet"/>
      <w:lvlText w:val="o"/>
      <w:lvlJc w:val="left"/>
      <w:pPr>
        <w:ind w:left="1837" w:hanging="360"/>
      </w:pPr>
      <w:rPr>
        <w:rFonts w:ascii="Courier New" w:hAnsi="Courier New" w:cs="Courier New" w:hint="default"/>
      </w:rPr>
    </w:lvl>
    <w:lvl w:ilvl="2" w:tplc="C77675F2" w:tentative="1">
      <w:start w:val="1"/>
      <w:numFmt w:val="bullet"/>
      <w:lvlText w:val=""/>
      <w:lvlJc w:val="left"/>
      <w:pPr>
        <w:ind w:left="2557" w:hanging="360"/>
      </w:pPr>
      <w:rPr>
        <w:rFonts w:ascii="Wingdings" w:hAnsi="Wingdings" w:hint="default"/>
      </w:rPr>
    </w:lvl>
    <w:lvl w:ilvl="3" w:tplc="2612D5A6" w:tentative="1">
      <w:start w:val="1"/>
      <w:numFmt w:val="bullet"/>
      <w:lvlText w:val=""/>
      <w:lvlJc w:val="left"/>
      <w:pPr>
        <w:ind w:left="3277" w:hanging="360"/>
      </w:pPr>
      <w:rPr>
        <w:rFonts w:ascii="Symbol" w:hAnsi="Symbol" w:hint="default"/>
      </w:rPr>
    </w:lvl>
    <w:lvl w:ilvl="4" w:tplc="CA42F0F4" w:tentative="1">
      <w:start w:val="1"/>
      <w:numFmt w:val="bullet"/>
      <w:lvlText w:val="o"/>
      <w:lvlJc w:val="left"/>
      <w:pPr>
        <w:ind w:left="3997" w:hanging="360"/>
      </w:pPr>
      <w:rPr>
        <w:rFonts w:ascii="Courier New" w:hAnsi="Courier New" w:cs="Courier New" w:hint="default"/>
      </w:rPr>
    </w:lvl>
    <w:lvl w:ilvl="5" w:tplc="777E9248" w:tentative="1">
      <w:start w:val="1"/>
      <w:numFmt w:val="bullet"/>
      <w:lvlText w:val=""/>
      <w:lvlJc w:val="left"/>
      <w:pPr>
        <w:ind w:left="4717" w:hanging="360"/>
      </w:pPr>
      <w:rPr>
        <w:rFonts w:ascii="Wingdings" w:hAnsi="Wingdings" w:hint="default"/>
      </w:rPr>
    </w:lvl>
    <w:lvl w:ilvl="6" w:tplc="765E50D4" w:tentative="1">
      <w:start w:val="1"/>
      <w:numFmt w:val="bullet"/>
      <w:lvlText w:val=""/>
      <w:lvlJc w:val="left"/>
      <w:pPr>
        <w:ind w:left="5437" w:hanging="360"/>
      </w:pPr>
      <w:rPr>
        <w:rFonts w:ascii="Symbol" w:hAnsi="Symbol" w:hint="default"/>
      </w:rPr>
    </w:lvl>
    <w:lvl w:ilvl="7" w:tplc="35102620" w:tentative="1">
      <w:start w:val="1"/>
      <w:numFmt w:val="bullet"/>
      <w:lvlText w:val="o"/>
      <w:lvlJc w:val="left"/>
      <w:pPr>
        <w:ind w:left="6157" w:hanging="360"/>
      </w:pPr>
      <w:rPr>
        <w:rFonts w:ascii="Courier New" w:hAnsi="Courier New" w:cs="Courier New" w:hint="default"/>
      </w:rPr>
    </w:lvl>
    <w:lvl w:ilvl="8" w:tplc="1A4C3C4A" w:tentative="1">
      <w:start w:val="1"/>
      <w:numFmt w:val="bullet"/>
      <w:lvlText w:val=""/>
      <w:lvlJc w:val="left"/>
      <w:pPr>
        <w:ind w:left="6877" w:hanging="360"/>
      </w:pPr>
      <w:rPr>
        <w:rFonts w:ascii="Wingdings" w:hAnsi="Wingdings" w:hint="default"/>
      </w:rPr>
    </w:lvl>
  </w:abstractNum>
  <w:abstractNum w:abstractNumId="12" w15:restartNumberingAfterBreak="0">
    <w:nsid w:val="1E554843"/>
    <w:multiLevelType w:val="multilevel"/>
    <w:tmpl w:val="6E089A12"/>
    <w:name w:val="SITel Liste numérotée2"/>
    <w:numStyleLink w:val="EtatFRNumrotation"/>
  </w:abstractNum>
  <w:abstractNum w:abstractNumId="13" w15:restartNumberingAfterBreak="0">
    <w:nsid w:val="244946CA"/>
    <w:multiLevelType w:val="multilevel"/>
    <w:tmpl w:val="6E089A12"/>
    <w:name w:val="SITel Liste numérotée22"/>
    <w:numStyleLink w:val="EtatFRNumrotation"/>
  </w:abstractNum>
  <w:abstractNum w:abstractNumId="14" w15:restartNumberingAfterBreak="0">
    <w:nsid w:val="26BC24A9"/>
    <w:multiLevelType w:val="multilevel"/>
    <w:tmpl w:val="6E089A12"/>
    <w:name w:val="SITel Liste numérotée3"/>
    <w:numStyleLink w:val="EtatFRNumrotation"/>
  </w:abstractNum>
  <w:abstractNum w:abstractNumId="15" w15:restartNumberingAfterBreak="0">
    <w:nsid w:val="2F9769F1"/>
    <w:multiLevelType w:val="multilevel"/>
    <w:tmpl w:val="C812CDBA"/>
    <w:styleLink w:val="EtatFRPuces"/>
    <w:lvl w:ilvl="0">
      <w:start w:val="1"/>
      <w:numFmt w:val="bullet"/>
      <w:pStyle w:val="Listepuces1"/>
      <w:lvlText w:val="&gt;"/>
      <w:lvlJc w:val="left"/>
      <w:pPr>
        <w:ind w:left="397" w:hanging="397"/>
      </w:pPr>
      <w:rPr>
        <w:rFonts w:ascii="Arial" w:hAnsi="Arial" w:hint="default"/>
        <w:color w:val="auto"/>
      </w:rPr>
    </w:lvl>
    <w:lvl w:ilvl="1">
      <w:start w:val="1"/>
      <w:numFmt w:val="bullet"/>
      <w:pStyle w:val="Listepuces2"/>
      <w:lvlText w:val="&gt;"/>
      <w:lvlJc w:val="left"/>
      <w:pPr>
        <w:ind w:left="794" w:hanging="397"/>
      </w:pPr>
      <w:rPr>
        <w:rFonts w:ascii="Arial" w:hAnsi="Arial" w:hint="default"/>
        <w:color w:val="auto"/>
      </w:rPr>
    </w:lvl>
    <w:lvl w:ilvl="2">
      <w:start w:val="1"/>
      <w:numFmt w:val="bullet"/>
      <w:pStyle w:val="Listepuces3"/>
      <w:lvlText w:val="&gt;"/>
      <w:lvlJc w:val="left"/>
      <w:pPr>
        <w:ind w:left="1191" w:hanging="397"/>
      </w:pPr>
      <w:rPr>
        <w:rFonts w:ascii="Arial" w:hAnsi="Arial" w:hint="default"/>
        <w:color w:val="auto"/>
      </w:rPr>
    </w:lvl>
    <w:lvl w:ilvl="3">
      <w:start w:val="1"/>
      <w:numFmt w:val="bullet"/>
      <w:pStyle w:val="Listepuces4"/>
      <w:lvlText w:val="&gt;"/>
      <w:lvlJc w:val="left"/>
      <w:pPr>
        <w:ind w:left="1588" w:hanging="397"/>
      </w:pPr>
      <w:rPr>
        <w:rFonts w:ascii="Arial" w:hAnsi="Arial" w:hint="default"/>
        <w:color w:val="auto"/>
      </w:rPr>
    </w:lvl>
    <w:lvl w:ilvl="4">
      <w:start w:val="1"/>
      <w:numFmt w:val="bullet"/>
      <w:pStyle w:val="Listepuces5"/>
      <w:lvlText w:val="&gt;"/>
      <w:lvlJc w:val="left"/>
      <w:pPr>
        <w:ind w:left="1985" w:hanging="397"/>
      </w:pPr>
      <w:rPr>
        <w:rFonts w:ascii="Arial" w:hAnsi="Arial" w:hint="default"/>
        <w:color w:val="auto"/>
      </w:rPr>
    </w:lvl>
    <w:lvl w:ilvl="5">
      <w:start w:val="1"/>
      <w:numFmt w:val="bullet"/>
      <w:pStyle w:val="Listepuces6"/>
      <w:lvlText w:val="&gt;"/>
      <w:lvlJc w:val="left"/>
      <w:pPr>
        <w:ind w:left="2382" w:hanging="397"/>
      </w:pPr>
      <w:rPr>
        <w:rFonts w:ascii="Arial" w:hAnsi="Arial" w:hint="default"/>
        <w:color w:val="auto"/>
      </w:rPr>
    </w:lvl>
    <w:lvl w:ilvl="6">
      <w:start w:val="1"/>
      <w:numFmt w:val="bullet"/>
      <w:pStyle w:val="Listepuces7"/>
      <w:lvlText w:val="&gt;"/>
      <w:lvlJc w:val="left"/>
      <w:pPr>
        <w:ind w:left="2779" w:hanging="397"/>
      </w:pPr>
      <w:rPr>
        <w:rFonts w:ascii="Arial" w:hAnsi="Arial" w:hint="default"/>
        <w:color w:val="auto"/>
      </w:rPr>
    </w:lvl>
    <w:lvl w:ilvl="7">
      <w:start w:val="1"/>
      <w:numFmt w:val="bullet"/>
      <w:pStyle w:val="Listepuces8"/>
      <w:lvlText w:val="&gt;"/>
      <w:lvlJc w:val="left"/>
      <w:pPr>
        <w:ind w:left="3176" w:hanging="397"/>
      </w:pPr>
      <w:rPr>
        <w:rFonts w:ascii="Arial" w:hAnsi="Arial" w:hint="default"/>
        <w:color w:val="auto"/>
      </w:rPr>
    </w:lvl>
    <w:lvl w:ilvl="8">
      <w:start w:val="1"/>
      <w:numFmt w:val="bullet"/>
      <w:pStyle w:val="Listepuces9"/>
      <w:lvlText w:val="&gt;"/>
      <w:lvlJc w:val="left"/>
      <w:pPr>
        <w:ind w:left="3573" w:hanging="397"/>
      </w:pPr>
      <w:rPr>
        <w:rFonts w:ascii="Arial" w:hAnsi="Arial" w:hint="default"/>
        <w:color w:val="auto"/>
      </w:rPr>
    </w:lvl>
  </w:abstractNum>
  <w:abstractNum w:abstractNumId="16" w15:restartNumberingAfterBreak="0">
    <w:nsid w:val="382A5316"/>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F6A7442"/>
    <w:multiLevelType w:val="multilevel"/>
    <w:tmpl w:val="C812CDBA"/>
    <w:numStyleLink w:val="EtatFRPuces"/>
  </w:abstractNum>
  <w:abstractNum w:abstractNumId="18" w15:restartNumberingAfterBreak="0">
    <w:nsid w:val="3FF139E0"/>
    <w:multiLevelType w:val="multilevel"/>
    <w:tmpl w:val="6E089A12"/>
    <w:numStyleLink w:val="EtatFRNumrotation"/>
  </w:abstractNum>
  <w:abstractNum w:abstractNumId="19" w15:restartNumberingAfterBreak="0">
    <w:nsid w:val="4AD33EFC"/>
    <w:multiLevelType w:val="multilevel"/>
    <w:tmpl w:val="02280202"/>
    <w:numStyleLink w:val="EtatFRNumrotationhirarchique"/>
  </w:abstractNum>
  <w:abstractNum w:abstractNumId="20" w15:restartNumberingAfterBreak="0">
    <w:nsid w:val="4BCD3DA7"/>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F4A0AF0"/>
    <w:multiLevelType w:val="hybridMultilevel"/>
    <w:tmpl w:val="4AE81502"/>
    <w:lvl w:ilvl="0" w:tplc="10526F90">
      <w:start w:val="1"/>
      <w:numFmt w:val="lowerLetter"/>
      <w:lvlText w:val="%1)"/>
      <w:lvlJc w:val="left"/>
      <w:pPr>
        <w:ind w:left="720" w:hanging="360"/>
      </w:pPr>
      <w:rPr>
        <w:rFonts w:hint="default"/>
      </w:rPr>
    </w:lvl>
    <w:lvl w:ilvl="1" w:tplc="6E1ED062" w:tentative="1">
      <w:start w:val="1"/>
      <w:numFmt w:val="lowerLetter"/>
      <w:lvlText w:val="%2."/>
      <w:lvlJc w:val="left"/>
      <w:pPr>
        <w:ind w:left="1440" w:hanging="360"/>
      </w:pPr>
    </w:lvl>
    <w:lvl w:ilvl="2" w:tplc="D4D8F564" w:tentative="1">
      <w:start w:val="1"/>
      <w:numFmt w:val="lowerRoman"/>
      <w:lvlText w:val="%3."/>
      <w:lvlJc w:val="right"/>
      <w:pPr>
        <w:ind w:left="2160" w:hanging="180"/>
      </w:pPr>
    </w:lvl>
    <w:lvl w:ilvl="3" w:tplc="881CF920" w:tentative="1">
      <w:start w:val="1"/>
      <w:numFmt w:val="decimal"/>
      <w:lvlText w:val="%4."/>
      <w:lvlJc w:val="left"/>
      <w:pPr>
        <w:ind w:left="2880" w:hanging="360"/>
      </w:pPr>
    </w:lvl>
    <w:lvl w:ilvl="4" w:tplc="CD7A6542" w:tentative="1">
      <w:start w:val="1"/>
      <w:numFmt w:val="lowerLetter"/>
      <w:lvlText w:val="%5."/>
      <w:lvlJc w:val="left"/>
      <w:pPr>
        <w:ind w:left="3600" w:hanging="360"/>
      </w:pPr>
    </w:lvl>
    <w:lvl w:ilvl="5" w:tplc="3000F884" w:tentative="1">
      <w:start w:val="1"/>
      <w:numFmt w:val="lowerRoman"/>
      <w:lvlText w:val="%6."/>
      <w:lvlJc w:val="right"/>
      <w:pPr>
        <w:ind w:left="4320" w:hanging="180"/>
      </w:pPr>
    </w:lvl>
    <w:lvl w:ilvl="6" w:tplc="87507ACC" w:tentative="1">
      <w:start w:val="1"/>
      <w:numFmt w:val="decimal"/>
      <w:lvlText w:val="%7."/>
      <w:lvlJc w:val="left"/>
      <w:pPr>
        <w:ind w:left="5040" w:hanging="360"/>
      </w:pPr>
    </w:lvl>
    <w:lvl w:ilvl="7" w:tplc="834A2150" w:tentative="1">
      <w:start w:val="1"/>
      <w:numFmt w:val="lowerLetter"/>
      <w:lvlText w:val="%8."/>
      <w:lvlJc w:val="left"/>
      <w:pPr>
        <w:ind w:left="5760" w:hanging="360"/>
      </w:pPr>
    </w:lvl>
    <w:lvl w:ilvl="8" w:tplc="412231DE" w:tentative="1">
      <w:start w:val="1"/>
      <w:numFmt w:val="lowerRoman"/>
      <w:lvlText w:val="%9."/>
      <w:lvlJc w:val="right"/>
      <w:pPr>
        <w:ind w:left="6480" w:hanging="180"/>
      </w:pPr>
    </w:lvl>
  </w:abstractNum>
  <w:abstractNum w:abstractNumId="22" w15:restartNumberingAfterBreak="0">
    <w:nsid w:val="6D8E3644"/>
    <w:multiLevelType w:val="multilevel"/>
    <w:tmpl w:val="C812CDBA"/>
    <w:numStyleLink w:val="EtatFRPuces"/>
  </w:abstractNum>
  <w:abstractNum w:abstractNumId="23" w15:restartNumberingAfterBreak="0">
    <w:nsid w:val="74BE68D6"/>
    <w:multiLevelType w:val="multilevel"/>
    <w:tmpl w:val="6E089A12"/>
    <w:numStyleLink w:val="EtatFRNumrotation"/>
  </w:abstractNum>
  <w:abstractNum w:abstractNumId="24" w15:restartNumberingAfterBreak="0">
    <w:nsid w:val="7A072877"/>
    <w:multiLevelType w:val="multilevel"/>
    <w:tmpl w:val="6E089A12"/>
    <w:numStyleLink w:val="EtatFRNumrotation"/>
  </w:abstractNum>
  <w:abstractNum w:abstractNumId="25" w15:restartNumberingAfterBreak="0">
    <w:nsid w:val="7B2916EA"/>
    <w:multiLevelType w:val="multilevel"/>
    <w:tmpl w:val="C812CDBA"/>
    <w:numStyleLink w:val="EtatFRPuces"/>
  </w:abstractNum>
  <w:num w:numId="1" w16cid:durableId="1135100774">
    <w:abstractNumId w:val="7"/>
  </w:num>
  <w:num w:numId="2" w16cid:durableId="1051884021">
    <w:abstractNumId w:val="5"/>
  </w:num>
  <w:num w:numId="3" w16cid:durableId="1973904516">
    <w:abstractNumId w:val="11"/>
  </w:num>
  <w:num w:numId="4" w16cid:durableId="286398882">
    <w:abstractNumId w:val="15"/>
  </w:num>
  <w:num w:numId="5" w16cid:durableId="854267273">
    <w:abstractNumId w:val="6"/>
  </w:num>
  <w:num w:numId="6" w16cid:durableId="20210548">
    <w:abstractNumId w:val="9"/>
  </w:num>
  <w:num w:numId="7" w16cid:durableId="1315572684">
    <w:abstractNumId w:val="18"/>
  </w:num>
  <w:num w:numId="8" w16cid:durableId="2042045023">
    <w:abstractNumId w:val="4"/>
  </w:num>
  <w:num w:numId="9" w16cid:durableId="1097407574">
    <w:abstractNumId w:val="2"/>
  </w:num>
  <w:num w:numId="10" w16cid:durableId="1716200159">
    <w:abstractNumId w:val="1"/>
  </w:num>
  <w:num w:numId="11" w16cid:durableId="388917265">
    <w:abstractNumId w:val="19"/>
  </w:num>
  <w:num w:numId="12" w16cid:durableId="129330192">
    <w:abstractNumId w:val="24"/>
  </w:num>
  <w:num w:numId="13" w16cid:durableId="1091394770">
    <w:abstractNumId w:val="23"/>
  </w:num>
  <w:num w:numId="14" w16cid:durableId="632714560">
    <w:abstractNumId w:val="22"/>
  </w:num>
  <w:num w:numId="15" w16cid:durableId="1600528478">
    <w:abstractNumId w:val="20"/>
  </w:num>
  <w:num w:numId="16" w16cid:durableId="821458712">
    <w:abstractNumId w:val="16"/>
  </w:num>
  <w:num w:numId="17" w16cid:durableId="436868575">
    <w:abstractNumId w:val="17"/>
  </w:num>
  <w:num w:numId="18" w16cid:durableId="1415782191">
    <w:abstractNumId w:val="0"/>
  </w:num>
  <w:num w:numId="19" w16cid:durableId="714431080">
    <w:abstractNumId w:val="25"/>
  </w:num>
  <w:num w:numId="20" w16cid:durableId="80224674">
    <w:abstractNumId w:val="21"/>
  </w:num>
  <w:num w:numId="21" w16cid:durableId="2043631761">
    <w:abstractNumId w:val="10"/>
  </w:num>
  <w:num w:numId="22" w16cid:durableId="967124618">
    <w:abstractNumId w:val="11"/>
  </w:num>
  <w:num w:numId="23" w16cid:durableId="1381779802">
    <w:abstractNumId w:val="2"/>
  </w:num>
  <w:num w:numId="24" w16cid:durableId="1870147625">
    <w:abstractNumId w:val="2"/>
  </w:num>
  <w:num w:numId="25" w16cid:durableId="1814639514">
    <w:abstractNumId w:val="2"/>
  </w:num>
  <w:num w:numId="26" w16cid:durableId="1191844405">
    <w:abstractNumId w:val="2"/>
  </w:num>
  <w:num w:numId="27" w16cid:durableId="27148965">
    <w:abstractNumId w:val="2"/>
  </w:num>
  <w:num w:numId="28" w16cid:durableId="1959753552">
    <w:abstractNumId w:val="2"/>
  </w:num>
  <w:num w:numId="29" w16cid:durableId="1886022449">
    <w:abstractNumId w:val="2"/>
  </w:num>
  <w:num w:numId="30" w16cid:durableId="710376839">
    <w:abstractNumId w:val="2"/>
  </w:num>
  <w:num w:numId="31" w16cid:durableId="1873378950">
    <w:abstractNumId w:val="2"/>
  </w:num>
  <w:num w:numId="32" w16cid:durableId="837231905">
    <w:abstractNumId w:val="2"/>
  </w:num>
  <w:num w:numId="33" w16cid:durableId="1050963136">
    <w:abstractNumId w:val="2"/>
  </w:num>
  <w:num w:numId="34" w16cid:durableId="1006639623">
    <w:abstractNumId w:val="2"/>
  </w:num>
  <w:num w:numId="35" w16cid:durableId="164780893">
    <w:abstractNumId w:val="2"/>
  </w:num>
  <w:num w:numId="36" w16cid:durableId="1691835552">
    <w:abstractNumId w:val="2"/>
  </w:num>
  <w:num w:numId="37" w16cid:durableId="1012301113">
    <w:abstractNumId w:val="2"/>
  </w:num>
  <w:num w:numId="38" w16cid:durableId="2046443048">
    <w:abstractNumId w:val="2"/>
  </w:num>
  <w:num w:numId="39" w16cid:durableId="1177502733">
    <w:abstractNumId w:val="2"/>
  </w:num>
  <w:num w:numId="40" w16cid:durableId="18312842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etaTool_CreatorGeko" w:val="DFIN"/>
    <w:docVar w:name="MetaTool_Script1_Path" w:val="Dokument"/>
    <w:docVar w:name="MetaTool_Script1_Report" w:val="using System;_x000d__x000a_using CMI.MetaTool.Generated;_x000d__x000a_using CMI.DomainModel;_x000d__x000a__x000d__x000a_namespace CMI.MetaTool.Generated.TemplateScript_x000d__x000a_{_x000d__x000a__x0009_public class TemplateScript_x000d__x000a__x0009_{_x000d__x000a__x0009__x0009_public string GetAuthors(Geschaeft geschaeft)_x000d__x000a__x0009__x0009_{_x000d__x000a__x0009__x0009__x0009_string res = string.Empty;_x000d__x000a__x0009__x0009__x0009_if (geschaeft != null)_x000d__x000a__x0009__x0009__x0009_{_x000d__x000a__x0009__x0009__x0009__x0009_if (geschaeft.Beteiligungen != null &amp;&amp; geschaeft.Beteiligungen.Length != 0)_x000d__x000a__x0009__x0009__x0009__x0009_{_x000d__x000a__x0009__x0009__x0009__x0009__x0009_foreach (Beteiligung beteiligung in geschaeft.Beteiligungen)_x000d__x000a__x0009__x0009__x0009__x0009__x0009_{_x000d__x000a__x0009__x0009__x0009__x0009__x0009__x0009_if (beteiligung.Rolle != null)_x000d__x000a__x0009__x0009__x0009__x0009__x0009__x0009_{_x000d__x000a__x0009__x0009__x0009__x0009__x0009__x0009__x0009_if (&quot;auteur,auteure,auteur-e&quot;.Contains(beteiligung.Rolle.Bezeichnung.ToString().ToLower()))_x000d__x000a__x0009__x0009__x0009__x0009__x0009__x0009__x0009_{_x000d__x000a__x0009__x0009__x0009__x0009__x0009__x0009__x0009__x0009_if (res != string.Empty)_x000d__x000a__x0009__x0009__x0009__x0009__x0009__x0009__x0009__x0009_{_x000d__x000a__x0009__x0009__x0009__x0009__x0009__x0009__x0009__x0009__x0009_res += &quot; / &quot;;_x000d__x000a__x0009__x0009__x0009__x0009__x0009__x0009__x0009__x0009_}_x000d__x000a__x0009__x0009__x0009__x0009__x0009__x0009__x0009__x0009_res += string.Format(&quot;{0} {1}&quot;,beteiligung.Kontakt.Name,beteiligung.Kontakt.Vorname);_x000d__x000a__x0009__x0009__x0009__x0009__x0009__x0009__x0009_}_x000d__x000a__x000d__x000a__x0009__x0009__x0009__x0009__x0009__x0009_}_x000d__x000a__x0009__x0009__x0009__x0009__x0009_}_x000d__x000a__x0009__x0009__x0009__x0009_} else_x000d__x000a__x0009__x0009__x0009__x0009_{_x000d__x000a__x0009__x0009__x0009__x0009__x0009_return &quot;-&quot;;_x000d__x000a__x0009__x0009__x0009__x0009_}_x000d__x000a__x0009__x0009__x0009_} else_x000d__x000a__x0009__x0009__x0009_{_x000d__x000a__x0009__x0009__x0009__x0009_return &quot;-&quot;;_x000d__x000a__x0009__x0009__x0009_}_x000d__x000a__x0009__x0009__x0009_return res;_x000d__x000a__x0009__x0009_}_x000d__x000a__x0009__x0009__x000d__x000a__x0009__x0009_public string Eval(Dokument obj)_x000d__x000a__x0009__x0009_{_x000d__x000a__x0009__x0009__x0009_string res = string.Empty;_x000d__x000a__x0009__x0009__x0009_Geschaeft geschaeft = obj.Geschaeft as Geschaeft;_x000d__x000a__x0009__x0009__x0009_if (geschaeft != null)_x000d__x000a__x0009__x0009__x0009_{_x000d__x000a__x0009__x0009__x0009__x0009_Geschaeft verweis = null;_x000d__x000a__x0009__x0009__x0009__x0009_if (geschaeft.VerweisVon != null &amp;&amp; geschaeft.VerweisVon.Length != 0)_x000d__x000a__x0009__x0009__x0009__x0009_{_x000d__x000a__x0009__x0009__x0009__x0009__x0009_verweis = geschaeft.VerweisVon[0] as Geschaeft;_x000d__x000a__x0009__x0009__x0009__x0009_} else if (geschaeft.VerweisZu != null &amp;&amp; geschaeft.VerweisZu.Length != 0)_x000d__x000a__x0009__x0009__x0009__x0009_{_x000d__x000a__x0009__x0009__x0009__x0009__x0009_verweis = geschaeft.VerweisZu[0] as Geschaeft;_x000d__x000a__x0009__x0009__x0009__x0009_}_x000d__x000a__x0009__x0009__x0009__x0009_if (verweis != null)_x000d__x000a__x0009__x0009__x0009__x0009_{_x000d__x000a__x0009__x0009__x0009__x0009__x0009_res = string.Format(&quot;{0} {1} {2}&quot;,verweis.CustomGeschaeftsart,verweis.Signatur,GetAuthors(verweis));_x000d__x000a__x0009__x0009__x0009__x0009__x0009__x000d__x000a__x0009__x0009__x0009__x0009_} else_x000d__x000a__x0009__x0009__x0009__x0009_{_x000d__x000a__x0009__x0009__x0009__x0009__x0009_return &quot;FEHLER: Geschäft in welchem das Dokument sich befindet enthält keine Verweise&quot;;_x000d__x000a__x0009__x0009__x0009__x0009_}_x000d__x000a__x0009__x0009__x0009__x0009__x000d__x000a__x0009__x0009__x0009_} else_x000d__x000a__x0009__x0009__x0009_{_x000d__x000a__x0009__x0009__x0009__x0009_// Kein Geschäft, was soll passieren?_x000d__x000a__x0009__x0009__x0009__x0009_return &quot;#FEHLER: Dokumentskript funktioniert nur mit Geschäften&quot;;_x000d__x000a__x0009__x0009__x0009_}_x000d__x000a__x0009__x0009__x0009_return res;_x000d__x000a__x0009__x0009_}_x000d__x000a__x0009_}_x000d__x000a_}_x000d__x000a_"/>
    <w:docVar w:name="MetaTool_TypeDefinition" w:val="Dokument"/>
  </w:docVars>
  <w:rsids>
    <w:rsidRoot w:val="003B634C"/>
    <w:rsid w:val="000043ED"/>
    <w:rsid w:val="00007768"/>
    <w:rsid w:val="000116C2"/>
    <w:rsid w:val="00013AD3"/>
    <w:rsid w:val="00017B5C"/>
    <w:rsid w:val="00026011"/>
    <w:rsid w:val="00030574"/>
    <w:rsid w:val="000350A6"/>
    <w:rsid w:val="0004140B"/>
    <w:rsid w:val="00047F60"/>
    <w:rsid w:val="000632BB"/>
    <w:rsid w:val="00074326"/>
    <w:rsid w:val="00074554"/>
    <w:rsid w:val="000758C2"/>
    <w:rsid w:val="000916E6"/>
    <w:rsid w:val="000A47E9"/>
    <w:rsid w:val="000B1404"/>
    <w:rsid w:val="000B335C"/>
    <w:rsid w:val="000C643D"/>
    <w:rsid w:val="000C7519"/>
    <w:rsid w:val="000D59F5"/>
    <w:rsid w:val="000E0AC9"/>
    <w:rsid w:val="000E4484"/>
    <w:rsid w:val="001109B4"/>
    <w:rsid w:val="00116549"/>
    <w:rsid w:val="00125084"/>
    <w:rsid w:val="00134E62"/>
    <w:rsid w:val="00135EA5"/>
    <w:rsid w:val="00136B45"/>
    <w:rsid w:val="00152189"/>
    <w:rsid w:val="001600CB"/>
    <w:rsid w:val="00182FEA"/>
    <w:rsid w:val="001947A3"/>
    <w:rsid w:val="001A7A0F"/>
    <w:rsid w:val="001B0C7A"/>
    <w:rsid w:val="001C0ABD"/>
    <w:rsid w:val="001C29C4"/>
    <w:rsid w:val="001D0D7A"/>
    <w:rsid w:val="001E1B12"/>
    <w:rsid w:val="001E2235"/>
    <w:rsid w:val="001E5641"/>
    <w:rsid w:val="002108D8"/>
    <w:rsid w:val="00236322"/>
    <w:rsid w:val="0026504F"/>
    <w:rsid w:val="00280866"/>
    <w:rsid w:val="002825F8"/>
    <w:rsid w:val="0029690E"/>
    <w:rsid w:val="002C6291"/>
    <w:rsid w:val="002C66F1"/>
    <w:rsid w:val="002D00C7"/>
    <w:rsid w:val="002D2E01"/>
    <w:rsid w:val="002D6A3D"/>
    <w:rsid w:val="002E17B5"/>
    <w:rsid w:val="002E488E"/>
    <w:rsid w:val="002F2B09"/>
    <w:rsid w:val="002F40C4"/>
    <w:rsid w:val="002F62B2"/>
    <w:rsid w:val="003010E1"/>
    <w:rsid w:val="00326209"/>
    <w:rsid w:val="00335FB2"/>
    <w:rsid w:val="00337C59"/>
    <w:rsid w:val="003552CE"/>
    <w:rsid w:val="0035747D"/>
    <w:rsid w:val="00360569"/>
    <w:rsid w:val="00376106"/>
    <w:rsid w:val="0038783C"/>
    <w:rsid w:val="00390E8D"/>
    <w:rsid w:val="003B59B3"/>
    <w:rsid w:val="003B634C"/>
    <w:rsid w:val="003E380E"/>
    <w:rsid w:val="003F0632"/>
    <w:rsid w:val="004047C1"/>
    <w:rsid w:val="004074F6"/>
    <w:rsid w:val="004256D4"/>
    <w:rsid w:val="00430FD7"/>
    <w:rsid w:val="00432EEC"/>
    <w:rsid w:val="00460DCE"/>
    <w:rsid w:val="00467581"/>
    <w:rsid w:val="0046784A"/>
    <w:rsid w:val="0047047A"/>
    <w:rsid w:val="004964D5"/>
    <w:rsid w:val="004A2A78"/>
    <w:rsid w:val="004A69AA"/>
    <w:rsid w:val="004B3E6C"/>
    <w:rsid w:val="004B4C32"/>
    <w:rsid w:val="004D0DA8"/>
    <w:rsid w:val="004D6D32"/>
    <w:rsid w:val="004F6C49"/>
    <w:rsid w:val="00513C7C"/>
    <w:rsid w:val="00516961"/>
    <w:rsid w:val="00521361"/>
    <w:rsid w:val="005220BD"/>
    <w:rsid w:val="00526964"/>
    <w:rsid w:val="005277F3"/>
    <w:rsid w:val="00546BB4"/>
    <w:rsid w:val="00547C10"/>
    <w:rsid w:val="00550D07"/>
    <w:rsid w:val="00550E6A"/>
    <w:rsid w:val="00575BC0"/>
    <w:rsid w:val="005826EC"/>
    <w:rsid w:val="00583B32"/>
    <w:rsid w:val="00586BE1"/>
    <w:rsid w:val="005907D2"/>
    <w:rsid w:val="00592224"/>
    <w:rsid w:val="005A0651"/>
    <w:rsid w:val="005A0CE4"/>
    <w:rsid w:val="005B16E5"/>
    <w:rsid w:val="005C516E"/>
    <w:rsid w:val="005C7FA3"/>
    <w:rsid w:val="005D5441"/>
    <w:rsid w:val="005F463C"/>
    <w:rsid w:val="006002F6"/>
    <w:rsid w:val="00604EC7"/>
    <w:rsid w:val="00612AEE"/>
    <w:rsid w:val="00614546"/>
    <w:rsid w:val="00617759"/>
    <w:rsid w:val="00621BD8"/>
    <w:rsid w:val="006247D1"/>
    <w:rsid w:val="006321FE"/>
    <w:rsid w:val="00636C94"/>
    <w:rsid w:val="006742B2"/>
    <w:rsid w:val="00682AC8"/>
    <w:rsid w:val="00682C49"/>
    <w:rsid w:val="006964E0"/>
    <w:rsid w:val="006A5955"/>
    <w:rsid w:val="006A6D02"/>
    <w:rsid w:val="006B71B2"/>
    <w:rsid w:val="006C4FCF"/>
    <w:rsid w:val="006D33C7"/>
    <w:rsid w:val="006F76C4"/>
    <w:rsid w:val="00702C25"/>
    <w:rsid w:val="007056E7"/>
    <w:rsid w:val="00712FC0"/>
    <w:rsid w:val="007142AE"/>
    <w:rsid w:val="00714876"/>
    <w:rsid w:val="00716EA8"/>
    <w:rsid w:val="00721188"/>
    <w:rsid w:val="00727DC7"/>
    <w:rsid w:val="00730319"/>
    <w:rsid w:val="00741774"/>
    <w:rsid w:val="00744904"/>
    <w:rsid w:val="00750535"/>
    <w:rsid w:val="00750F49"/>
    <w:rsid w:val="0075601E"/>
    <w:rsid w:val="00760C1B"/>
    <w:rsid w:val="00777826"/>
    <w:rsid w:val="00777C98"/>
    <w:rsid w:val="00785A24"/>
    <w:rsid w:val="00790E64"/>
    <w:rsid w:val="007A7D30"/>
    <w:rsid w:val="007C5338"/>
    <w:rsid w:val="007E36E1"/>
    <w:rsid w:val="007E4BF6"/>
    <w:rsid w:val="00802B16"/>
    <w:rsid w:val="0084765D"/>
    <w:rsid w:val="00855990"/>
    <w:rsid w:val="00857E1F"/>
    <w:rsid w:val="008749A4"/>
    <w:rsid w:val="0088746C"/>
    <w:rsid w:val="00893A6E"/>
    <w:rsid w:val="008A57CB"/>
    <w:rsid w:val="008B08A8"/>
    <w:rsid w:val="008C064E"/>
    <w:rsid w:val="008C6D2B"/>
    <w:rsid w:val="008E109E"/>
    <w:rsid w:val="008E648F"/>
    <w:rsid w:val="008E7813"/>
    <w:rsid w:val="008F42E8"/>
    <w:rsid w:val="008F5161"/>
    <w:rsid w:val="009263EF"/>
    <w:rsid w:val="00965F46"/>
    <w:rsid w:val="00967B30"/>
    <w:rsid w:val="00993011"/>
    <w:rsid w:val="009A20A7"/>
    <w:rsid w:val="009C2C3F"/>
    <w:rsid w:val="009E1AF4"/>
    <w:rsid w:val="009F509F"/>
    <w:rsid w:val="00A123FE"/>
    <w:rsid w:val="00A139D0"/>
    <w:rsid w:val="00A17DD2"/>
    <w:rsid w:val="00A20CE5"/>
    <w:rsid w:val="00A60075"/>
    <w:rsid w:val="00A603D6"/>
    <w:rsid w:val="00A615F2"/>
    <w:rsid w:val="00A71A79"/>
    <w:rsid w:val="00A84DA1"/>
    <w:rsid w:val="00A8555E"/>
    <w:rsid w:val="00A85A3B"/>
    <w:rsid w:val="00A87FFD"/>
    <w:rsid w:val="00A9146A"/>
    <w:rsid w:val="00A917C9"/>
    <w:rsid w:val="00AB5755"/>
    <w:rsid w:val="00AC0F59"/>
    <w:rsid w:val="00AC4F1C"/>
    <w:rsid w:val="00AC5489"/>
    <w:rsid w:val="00AD4230"/>
    <w:rsid w:val="00AE1195"/>
    <w:rsid w:val="00B035A9"/>
    <w:rsid w:val="00B048E5"/>
    <w:rsid w:val="00B1052F"/>
    <w:rsid w:val="00B22715"/>
    <w:rsid w:val="00B46DEF"/>
    <w:rsid w:val="00B610C0"/>
    <w:rsid w:val="00B65DB5"/>
    <w:rsid w:val="00B7316A"/>
    <w:rsid w:val="00B85528"/>
    <w:rsid w:val="00B86C05"/>
    <w:rsid w:val="00B94533"/>
    <w:rsid w:val="00B9555A"/>
    <w:rsid w:val="00BB4D4A"/>
    <w:rsid w:val="00BC5D43"/>
    <w:rsid w:val="00BC5E23"/>
    <w:rsid w:val="00BD469C"/>
    <w:rsid w:val="00BD640A"/>
    <w:rsid w:val="00BE195B"/>
    <w:rsid w:val="00BF0551"/>
    <w:rsid w:val="00BF626E"/>
    <w:rsid w:val="00C058A8"/>
    <w:rsid w:val="00C17504"/>
    <w:rsid w:val="00C30DA7"/>
    <w:rsid w:val="00C50C4B"/>
    <w:rsid w:val="00C5704A"/>
    <w:rsid w:val="00C61304"/>
    <w:rsid w:val="00C61688"/>
    <w:rsid w:val="00C722E1"/>
    <w:rsid w:val="00C76BA7"/>
    <w:rsid w:val="00C84E82"/>
    <w:rsid w:val="00C86FBA"/>
    <w:rsid w:val="00C90FD4"/>
    <w:rsid w:val="00C92101"/>
    <w:rsid w:val="00C93F55"/>
    <w:rsid w:val="00C946BB"/>
    <w:rsid w:val="00CC71F1"/>
    <w:rsid w:val="00CD4FE6"/>
    <w:rsid w:val="00CE0E70"/>
    <w:rsid w:val="00CE1A93"/>
    <w:rsid w:val="00CE32B5"/>
    <w:rsid w:val="00D40E6B"/>
    <w:rsid w:val="00D41D8F"/>
    <w:rsid w:val="00D42798"/>
    <w:rsid w:val="00D66833"/>
    <w:rsid w:val="00D74043"/>
    <w:rsid w:val="00D902CE"/>
    <w:rsid w:val="00D932AC"/>
    <w:rsid w:val="00DA2169"/>
    <w:rsid w:val="00DA7C6D"/>
    <w:rsid w:val="00DA7E34"/>
    <w:rsid w:val="00DB28C4"/>
    <w:rsid w:val="00DB58D5"/>
    <w:rsid w:val="00DB6977"/>
    <w:rsid w:val="00DD6802"/>
    <w:rsid w:val="00DE3BAF"/>
    <w:rsid w:val="00DE67C0"/>
    <w:rsid w:val="00DF0E1A"/>
    <w:rsid w:val="00DF26DA"/>
    <w:rsid w:val="00E02DF5"/>
    <w:rsid w:val="00E25B9C"/>
    <w:rsid w:val="00E332DF"/>
    <w:rsid w:val="00E368E7"/>
    <w:rsid w:val="00E41938"/>
    <w:rsid w:val="00E4576B"/>
    <w:rsid w:val="00E66F0A"/>
    <w:rsid w:val="00E87E62"/>
    <w:rsid w:val="00E95149"/>
    <w:rsid w:val="00E9550D"/>
    <w:rsid w:val="00E96BCA"/>
    <w:rsid w:val="00E97999"/>
    <w:rsid w:val="00EC0CCD"/>
    <w:rsid w:val="00EC151F"/>
    <w:rsid w:val="00EC27D8"/>
    <w:rsid w:val="00ED6BC2"/>
    <w:rsid w:val="00EE32B5"/>
    <w:rsid w:val="00EF4EC3"/>
    <w:rsid w:val="00F04733"/>
    <w:rsid w:val="00F05E3D"/>
    <w:rsid w:val="00F10484"/>
    <w:rsid w:val="00F265DE"/>
    <w:rsid w:val="00F32A63"/>
    <w:rsid w:val="00F470A8"/>
    <w:rsid w:val="00F5096D"/>
    <w:rsid w:val="00F51A21"/>
    <w:rsid w:val="00F55A3A"/>
    <w:rsid w:val="00F56063"/>
    <w:rsid w:val="00F72480"/>
    <w:rsid w:val="00F73E9D"/>
    <w:rsid w:val="00F9019C"/>
    <w:rsid w:val="00F93D08"/>
    <w:rsid w:val="00F94A0A"/>
    <w:rsid w:val="00FA70DE"/>
    <w:rsid w:val="00FA729E"/>
    <w:rsid w:val="00FB37DE"/>
    <w:rsid w:val="00FD437B"/>
    <w:rsid w:val="00FF3B98"/>
    <w:rsid w:val="00FF5FA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7C020"/>
  <w15:docId w15:val="{89EA4322-9158-45E5-9B9E-CF2AD49D4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fr-CH" w:eastAsia="en-US" w:bidi="ar-SA"/>
      </w:rPr>
    </w:rPrDefault>
    <w:pPrDefault>
      <w:pPr>
        <w:spacing w:before="100" w:after="10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4"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2"/>
    <w:lsdException w:name="Closing" w:semiHidden="1" w:unhideWhenUsed="1"/>
    <w:lsdException w:name="Signature" w:semiHidden="1" w:uiPriority="27"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atentStyles>
  <w:style w:type="paragraph" w:default="1" w:styleId="Normal">
    <w:name w:val="Normal"/>
    <w:qFormat/>
    <w:rsid w:val="000949E5"/>
  </w:style>
  <w:style w:type="paragraph" w:styleId="Titre1">
    <w:name w:val="heading 1"/>
    <w:basedOn w:val="Normal"/>
    <w:next w:val="Corpsdetexte"/>
    <w:link w:val="Titre1Car"/>
    <w:uiPriority w:val="1"/>
    <w:qFormat/>
    <w:rsid w:val="00051411"/>
    <w:pPr>
      <w:keepNext/>
      <w:keepLines/>
      <w:numPr>
        <w:numId w:val="9"/>
      </w:numPr>
      <w:spacing w:before="360" w:line="360" w:lineRule="atLeast"/>
      <w:contextualSpacing/>
      <w:outlineLvl w:val="0"/>
    </w:pPr>
    <w:rPr>
      <w:rFonts w:asciiTheme="majorHAnsi" w:eastAsiaTheme="majorEastAsia" w:hAnsiTheme="majorHAnsi" w:cstheme="majorBidi"/>
      <w:b/>
      <w:bCs/>
      <w:kern w:val="32"/>
      <w:sz w:val="28"/>
      <w:szCs w:val="28"/>
    </w:rPr>
  </w:style>
  <w:style w:type="paragraph" w:styleId="Titre2">
    <w:name w:val="heading 2"/>
    <w:basedOn w:val="Normal"/>
    <w:next w:val="Corpsdetexte"/>
    <w:link w:val="Titre2Car"/>
    <w:uiPriority w:val="3"/>
    <w:qFormat/>
    <w:rsid w:val="00051411"/>
    <w:pPr>
      <w:keepNext/>
      <w:keepLines/>
      <w:numPr>
        <w:ilvl w:val="1"/>
        <w:numId w:val="9"/>
      </w:numPr>
      <w:outlineLvl w:val="1"/>
    </w:pPr>
    <w:rPr>
      <w:rFonts w:asciiTheme="majorHAnsi" w:eastAsiaTheme="majorEastAsia" w:hAnsiTheme="majorHAnsi" w:cstheme="majorBidi"/>
      <w:b/>
      <w:bCs/>
      <w:kern w:val="28"/>
      <w:sz w:val="23"/>
      <w:szCs w:val="26"/>
    </w:rPr>
  </w:style>
  <w:style w:type="paragraph" w:styleId="Titre3">
    <w:name w:val="heading 3"/>
    <w:basedOn w:val="Normal"/>
    <w:next w:val="Corpsdetexte"/>
    <w:link w:val="Titre3Car"/>
    <w:uiPriority w:val="3"/>
    <w:qFormat/>
    <w:rsid w:val="00051411"/>
    <w:pPr>
      <w:keepNext/>
      <w:keepLines/>
      <w:numPr>
        <w:ilvl w:val="2"/>
        <w:numId w:val="9"/>
      </w:numPr>
      <w:outlineLvl w:val="2"/>
    </w:pPr>
    <w:rPr>
      <w:rFonts w:asciiTheme="majorHAnsi" w:eastAsiaTheme="majorEastAsia" w:hAnsiTheme="majorHAnsi" w:cstheme="majorBidi"/>
      <w:bCs/>
    </w:rPr>
  </w:style>
  <w:style w:type="paragraph" w:styleId="Titre4">
    <w:name w:val="heading 4"/>
    <w:basedOn w:val="Normal"/>
    <w:next w:val="Corpsdetexte"/>
    <w:link w:val="Titre4Car"/>
    <w:uiPriority w:val="5"/>
    <w:qFormat/>
    <w:rsid w:val="00051411"/>
    <w:pPr>
      <w:keepNext/>
      <w:keepLines/>
      <w:numPr>
        <w:ilvl w:val="3"/>
        <w:numId w:val="9"/>
      </w:numPr>
      <w:outlineLvl w:val="3"/>
    </w:pPr>
    <w:rPr>
      <w:rFonts w:asciiTheme="majorHAnsi" w:eastAsiaTheme="majorEastAsia" w:hAnsiTheme="majorHAnsi" w:cstheme="majorBidi"/>
      <w:bCs/>
      <w:iCs/>
    </w:rPr>
  </w:style>
  <w:style w:type="paragraph" w:styleId="Titre5">
    <w:name w:val="heading 5"/>
    <w:basedOn w:val="Normal"/>
    <w:next w:val="Corpsdetexte"/>
    <w:link w:val="Titre5Car"/>
    <w:uiPriority w:val="5"/>
    <w:qFormat/>
    <w:rsid w:val="00051411"/>
    <w:pPr>
      <w:keepNext/>
      <w:keepLines/>
      <w:numPr>
        <w:ilvl w:val="4"/>
        <w:numId w:val="9"/>
      </w:numPr>
      <w:outlineLvl w:val="4"/>
    </w:pPr>
    <w:rPr>
      <w:rFonts w:asciiTheme="majorHAnsi" w:eastAsiaTheme="majorEastAsia" w:hAnsiTheme="majorHAnsi" w:cstheme="majorBidi"/>
    </w:rPr>
  </w:style>
  <w:style w:type="paragraph" w:styleId="Titre6">
    <w:name w:val="heading 6"/>
    <w:basedOn w:val="Normal"/>
    <w:next w:val="Corpsdetexte"/>
    <w:link w:val="Titre6Car"/>
    <w:uiPriority w:val="9"/>
    <w:semiHidden/>
    <w:rsid w:val="000949E5"/>
    <w:pPr>
      <w:keepNext/>
      <w:keepLines/>
      <w:numPr>
        <w:ilvl w:val="5"/>
        <w:numId w:val="9"/>
      </w:numPr>
      <w:outlineLvl w:val="5"/>
    </w:pPr>
    <w:rPr>
      <w:rFonts w:asciiTheme="majorHAnsi" w:eastAsiaTheme="majorEastAsia" w:hAnsiTheme="majorHAnsi" w:cstheme="majorBidi"/>
      <w:iCs/>
      <w:color w:val="000000" w:themeColor="text1"/>
    </w:rPr>
  </w:style>
  <w:style w:type="paragraph" w:styleId="Titre7">
    <w:name w:val="heading 7"/>
    <w:basedOn w:val="Normal"/>
    <w:next w:val="Corpsdetexte"/>
    <w:link w:val="Titre7Car"/>
    <w:uiPriority w:val="9"/>
    <w:semiHidden/>
    <w:rsid w:val="000949E5"/>
    <w:pPr>
      <w:keepNext/>
      <w:keepLines/>
      <w:numPr>
        <w:ilvl w:val="6"/>
        <w:numId w:val="9"/>
      </w:numPr>
      <w:outlineLvl w:val="6"/>
    </w:pPr>
    <w:rPr>
      <w:rFonts w:asciiTheme="majorHAnsi" w:eastAsiaTheme="majorEastAsia" w:hAnsiTheme="majorHAnsi" w:cstheme="majorBidi"/>
      <w:iCs/>
      <w:color w:val="000000" w:themeColor="text1"/>
    </w:rPr>
  </w:style>
  <w:style w:type="paragraph" w:styleId="Titre8">
    <w:name w:val="heading 8"/>
    <w:basedOn w:val="Normal"/>
    <w:next w:val="Corpsdetexte"/>
    <w:link w:val="Titre8Car"/>
    <w:uiPriority w:val="9"/>
    <w:semiHidden/>
    <w:rsid w:val="000949E5"/>
    <w:pPr>
      <w:keepNext/>
      <w:keepLines/>
      <w:numPr>
        <w:ilvl w:val="7"/>
        <w:numId w:val="9"/>
      </w:numPr>
      <w:outlineLvl w:val="7"/>
    </w:pPr>
    <w:rPr>
      <w:rFonts w:asciiTheme="majorHAnsi" w:eastAsiaTheme="majorEastAsia" w:hAnsiTheme="majorHAnsi" w:cstheme="majorBidi"/>
      <w:color w:val="000000" w:themeColor="text1"/>
      <w:szCs w:val="20"/>
    </w:rPr>
  </w:style>
  <w:style w:type="paragraph" w:styleId="Titre9">
    <w:name w:val="heading 9"/>
    <w:basedOn w:val="Normal"/>
    <w:next w:val="Corpsdetexte"/>
    <w:link w:val="Titre9Car"/>
    <w:uiPriority w:val="9"/>
    <w:semiHidden/>
    <w:rsid w:val="000949E5"/>
    <w:pPr>
      <w:keepNext/>
      <w:keepLines/>
      <w:numPr>
        <w:ilvl w:val="8"/>
        <w:numId w:val="9"/>
      </w:numPr>
      <w:outlineLvl w:val="8"/>
    </w:pPr>
    <w:rPr>
      <w:rFonts w:asciiTheme="majorHAnsi" w:eastAsiaTheme="majorEastAsia" w:hAnsiTheme="majorHAnsi" w:cstheme="majorBidi"/>
      <w:iCs/>
      <w:color w:val="000000" w:themeColor="text1"/>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denote1">
    <w:name w:val="Titre de note1"/>
    <w:basedOn w:val="Normal"/>
    <w:next w:val="Normal"/>
    <w:link w:val="TitredenoteCar"/>
    <w:uiPriority w:val="99"/>
    <w:semiHidden/>
    <w:rsid w:val="00D640E3"/>
    <w:rPr>
      <w:b/>
      <w:sz w:val="20"/>
    </w:rPr>
  </w:style>
  <w:style w:type="character" w:customStyle="1" w:styleId="TitredenoteCar">
    <w:name w:val="Titre de note Car"/>
    <w:basedOn w:val="Policepardfaut"/>
    <w:link w:val="Titredenote1"/>
    <w:uiPriority w:val="99"/>
    <w:semiHidden/>
    <w:rsid w:val="007B5E8C"/>
    <w:rPr>
      <w:b/>
      <w:sz w:val="20"/>
    </w:rPr>
  </w:style>
  <w:style w:type="character" w:styleId="Accentuation">
    <w:name w:val="Emphasis"/>
    <w:basedOn w:val="Policepardfaut"/>
    <w:uiPriority w:val="99"/>
    <w:semiHidden/>
    <w:rsid w:val="00415C78"/>
    <w:rPr>
      <w:i/>
      <w:iCs/>
    </w:rPr>
  </w:style>
  <w:style w:type="character" w:styleId="AcronymeHTML">
    <w:name w:val="HTML Acronym"/>
    <w:basedOn w:val="Policepardfaut"/>
    <w:uiPriority w:val="99"/>
    <w:semiHidden/>
    <w:rsid w:val="005E08D5"/>
  </w:style>
  <w:style w:type="character" w:styleId="Appeldenotedefin">
    <w:name w:val="endnote reference"/>
    <w:basedOn w:val="Policepardfaut"/>
    <w:uiPriority w:val="99"/>
    <w:semiHidden/>
    <w:rsid w:val="002D4E6E"/>
    <w:rPr>
      <w:vertAlign w:val="superscript"/>
    </w:rPr>
  </w:style>
  <w:style w:type="character" w:styleId="Appelnotedebasdep">
    <w:name w:val="footnote reference"/>
    <w:basedOn w:val="Policepardfaut"/>
    <w:uiPriority w:val="99"/>
    <w:semiHidden/>
    <w:rsid w:val="002D4E6E"/>
    <w:rPr>
      <w:vertAlign w:val="superscript"/>
    </w:rPr>
  </w:style>
  <w:style w:type="character" w:styleId="CitationHTML">
    <w:name w:val="HTML Cite"/>
    <w:basedOn w:val="Policepardfaut"/>
    <w:uiPriority w:val="99"/>
    <w:semiHidden/>
    <w:rsid w:val="002D4E6E"/>
    <w:rPr>
      <w:i/>
      <w:iCs/>
    </w:rPr>
  </w:style>
  <w:style w:type="character" w:styleId="ClavierHTML">
    <w:name w:val="HTML Keyboard"/>
    <w:basedOn w:val="Policepardfaut"/>
    <w:uiPriority w:val="99"/>
    <w:semiHidden/>
    <w:rsid w:val="008C4C9E"/>
    <w:rPr>
      <w:rFonts w:ascii="Courier New" w:hAnsi="Courier New" w:cs="Consolas"/>
      <w:sz w:val="20"/>
      <w:szCs w:val="20"/>
    </w:rPr>
  </w:style>
  <w:style w:type="character" w:styleId="CodeHTML">
    <w:name w:val="HTML Code"/>
    <w:basedOn w:val="Policepardfaut"/>
    <w:uiPriority w:val="99"/>
    <w:semiHidden/>
    <w:rsid w:val="008C4C9E"/>
    <w:rPr>
      <w:rFonts w:ascii="Courier New" w:hAnsi="Courier New" w:cs="Consolas"/>
      <w:sz w:val="20"/>
      <w:szCs w:val="20"/>
    </w:rPr>
  </w:style>
  <w:style w:type="character" w:styleId="DfinitionHTML">
    <w:name w:val="HTML Definition"/>
    <w:basedOn w:val="Policepardfaut"/>
    <w:uiPriority w:val="99"/>
    <w:semiHidden/>
    <w:rsid w:val="002D4E6E"/>
    <w:rPr>
      <w:i/>
      <w:iCs/>
    </w:rPr>
  </w:style>
  <w:style w:type="character" w:styleId="lev">
    <w:name w:val="Strong"/>
    <w:basedOn w:val="Policepardfaut"/>
    <w:uiPriority w:val="99"/>
    <w:semiHidden/>
    <w:rsid w:val="002D4E6E"/>
    <w:rPr>
      <w:b/>
      <w:bCs/>
    </w:rPr>
  </w:style>
  <w:style w:type="character" w:styleId="Accentuationintense">
    <w:name w:val="Intense Emphasis"/>
    <w:basedOn w:val="Policepardfaut"/>
    <w:uiPriority w:val="99"/>
    <w:semiHidden/>
    <w:qFormat/>
    <w:rsid w:val="0071453B"/>
    <w:rPr>
      <w:bCs/>
      <w:iCs/>
      <w:color w:val="000000" w:themeColor="text1"/>
    </w:rPr>
  </w:style>
  <w:style w:type="character" w:styleId="Accentuationlgre">
    <w:name w:val="Subtle Emphasis"/>
    <w:basedOn w:val="Policepardfaut"/>
    <w:uiPriority w:val="99"/>
    <w:semiHidden/>
    <w:qFormat/>
    <w:rsid w:val="0071453B"/>
    <w:rPr>
      <w:b w:val="0"/>
      <w:i w:val="0"/>
      <w:iCs/>
      <w:color w:val="000000" w:themeColor="text1"/>
    </w:rPr>
  </w:style>
  <w:style w:type="character" w:styleId="ExempleHTML">
    <w:name w:val="HTML Sample"/>
    <w:basedOn w:val="Policepardfaut"/>
    <w:uiPriority w:val="99"/>
    <w:semiHidden/>
    <w:rsid w:val="008C4C9E"/>
    <w:rPr>
      <w:rFonts w:ascii="Courier New" w:hAnsi="Courier New" w:cs="Consolas"/>
      <w:sz w:val="24"/>
      <w:szCs w:val="24"/>
    </w:rPr>
  </w:style>
  <w:style w:type="character" w:styleId="Lienhypertexte">
    <w:name w:val="Hyperlink"/>
    <w:basedOn w:val="Policepardfaut"/>
    <w:uiPriority w:val="99"/>
    <w:rsid w:val="0071453B"/>
    <w:rPr>
      <w:color w:val="000000" w:themeColor="text1"/>
      <w:u w:val="single"/>
    </w:rPr>
  </w:style>
  <w:style w:type="character" w:styleId="Lienhypertextesuivivisit">
    <w:name w:val="FollowedHyperlink"/>
    <w:basedOn w:val="Policepardfaut"/>
    <w:uiPriority w:val="99"/>
    <w:semiHidden/>
    <w:rsid w:val="00B930D9"/>
    <w:rPr>
      <w:color w:val="0070C0"/>
      <w:u w:val="single"/>
    </w:rPr>
  </w:style>
  <w:style w:type="character" w:styleId="MachinecrireHTML">
    <w:name w:val="HTML Typewriter"/>
    <w:basedOn w:val="Policepardfaut"/>
    <w:uiPriority w:val="99"/>
    <w:semiHidden/>
    <w:rsid w:val="006169BC"/>
    <w:rPr>
      <w:rFonts w:ascii="Courier New" w:hAnsi="Courier New" w:cs="Consolas"/>
      <w:sz w:val="20"/>
      <w:szCs w:val="20"/>
    </w:rPr>
  </w:style>
  <w:style w:type="character" w:styleId="Marquedecommentaire">
    <w:name w:val="annotation reference"/>
    <w:basedOn w:val="Policepardfaut"/>
    <w:uiPriority w:val="99"/>
    <w:semiHidden/>
    <w:rsid w:val="002D4E6E"/>
    <w:rPr>
      <w:sz w:val="16"/>
      <w:szCs w:val="16"/>
    </w:rPr>
  </w:style>
  <w:style w:type="character" w:styleId="Numrodeligne">
    <w:name w:val="line number"/>
    <w:basedOn w:val="Policepardfaut"/>
    <w:uiPriority w:val="99"/>
    <w:semiHidden/>
    <w:rsid w:val="006169BC"/>
    <w:rPr>
      <w:rFonts w:asciiTheme="majorHAnsi" w:hAnsiTheme="majorHAnsi"/>
      <w:color w:val="BFBFBF" w:themeColor="background1" w:themeShade="BF"/>
      <w:sz w:val="16"/>
    </w:rPr>
  </w:style>
  <w:style w:type="character" w:styleId="Numrodepage">
    <w:name w:val="page number"/>
    <w:basedOn w:val="Policepardfaut"/>
    <w:uiPriority w:val="99"/>
    <w:semiHidden/>
    <w:rsid w:val="006169BC"/>
    <w:rPr>
      <w:rFonts w:asciiTheme="majorHAnsi" w:hAnsiTheme="majorHAnsi"/>
      <w:sz w:val="16"/>
    </w:rPr>
  </w:style>
  <w:style w:type="character" w:styleId="Rfrenceintense">
    <w:name w:val="Intense Reference"/>
    <w:basedOn w:val="Policepardfaut"/>
    <w:uiPriority w:val="99"/>
    <w:semiHidden/>
    <w:rsid w:val="000949E5"/>
    <w:rPr>
      <w:b w:val="0"/>
      <w:bCs/>
      <w:caps w:val="0"/>
      <w:smallCaps/>
      <w:color w:val="000000" w:themeColor="text1"/>
      <w:spacing w:val="0"/>
      <w:u w:val="none"/>
    </w:rPr>
  </w:style>
  <w:style w:type="character" w:styleId="Rfrencelgre">
    <w:name w:val="Subtle Reference"/>
    <w:basedOn w:val="Policepardfaut"/>
    <w:uiPriority w:val="99"/>
    <w:semiHidden/>
    <w:rsid w:val="000949E5"/>
    <w:rPr>
      <w:b w:val="0"/>
      <w:i w:val="0"/>
      <w:caps w:val="0"/>
      <w:smallCaps/>
      <w:color w:val="000000" w:themeColor="text1"/>
      <w:u w:val="none"/>
    </w:rPr>
  </w:style>
  <w:style w:type="character" w:styleId="Textedelespacerserv">
    <w:name w:val="Placeholder Text"/>
    <w:basedOn w:val="Policepardfaut"/>
    <w:uiPriority w:val="99"/>
    <w:semiHidden/>
    <w:rsid w:val="00BF0699"/>
    <w:rPr>
      <w:vanish w:val="0"/>
      <w:color w:val="auto"/>
      <w:u w:val="none"/>
      <w:bdr w:val="none" w:sz="0" w:space="0" w:color="auto"/>
      <w:shd w:val="clear" w:color="auto" w:fill="FFCC00"/>
    </w:rPr>
  </w:style>
  <w:style w:type="character" w:styleId="Titredulivre">
    <w:name w:val="Book Title"/>
    <w:basedOn w:val="Policepardfaut"/>
    <w:uiPriority w:val="99"/>
    <w:semiHidden/>
    <w:rsid w:val="006169BC"/>
    <w:rPr>
      <w:b w:val="0"/>
      <w:bCs/>
      <w:i w:val="0"/>
      <w:caps w:val="0"/>
      <w:smallCaps/>
      <w:spacing w:val="0"/>
    </w:rPr>
  </w:style>
  <w:style w:type="character" w:styleId="VariableHTML">
    <w:name w:val="HTML Variable"/>
    <w:basedOn w:val="Policepardfaut"/>
    <w:uiPriority w:val="99"/>
    <w:semiHidden/>
    <w:rsid w:val="002D4E6E"/>
    <w:rPr>
      <w:i/>
      <w:iCs/>
    </w:rPr>
  </w:style>
  <w:style w:type="paragraph" w:styleId="AdresseHTML">
    <w:name w:val="HTML Address"/>
    <w:basedOn w:val="Normal"/>
    <w:link w:val="AdresseHTMLCar"/>
    <w:uiPriority w:val="99"/>
    <w:semiHidden/>
    <w:rsid w:val="006403C9"/>
    <w:rPr>
      <w:i/>
      <w:iCs/>
    </w:rPr>
  </w:style>
  <w:style w:type="character" w:customStyle="1" w:styleId="AdresseHTMLCar">
    <w:name w:val="Adresse HTML Car"/>
    <w:basedOn w:val="Policepardfaut"/>
    <w:link w:val="AdresseHTML"/>
    <w:uiPriority w:val="99"/>
    <w:semiHidden/>
    <w:rsid w:val="007B5E8C"/>
    <w:rPr>
      <w:i/>
      <w:iCs/>
      <w:sz w:val="21"/>
    </w:rPr>
  </w:style>
  <w:style w:type="paragraph" w:styleId="Citation">
    <w:name w:val="Quote"/>
    <w:basedOn w:val="Normal"/>
    <w:next w:val="Normal"/>
    <w:link w:val="CitationCar"/>
    <w:uiPriority w:val="99"/>
    <w:semiHidden/>
    <w:rsid w:val="00AE4D2C"/>
    <w:rPr>
      <w:i/>
      <w:iCs/>
      <w:color w:val="000000" w:themeColor="text1"/>
    </w:rPr>
  </w:style>
  <w:style w:type="character" w:customStyle="1" w:styleId="CitationCar">
    <w:name w:val="Citation Car"/>
    <w:basedOn w:val="Policepardfaut"/>
    <w:link w:val="Citation"/>
    <w:uiPriority w:val="99"/>
    <w:semiHidden/>
    <w:rsid w:val="007B5E8C"/>
    <w:rPr>
      <w:i/>
      <w:iCs/>
      <w:color w:val="000000" w:themeColor="text1"/>
      <w:sz w:val="21"/>
    </w:rPr>
  </w:style>
  <w:style w:type="paragraph" w:styleId="Citationintense">
    <w:name w:val="Intense Quote"/>
    <w:basedOn w:val="Normal"/>
    <w:next w:val="Normal"/>
    <w:link w:val="CitationintenseCar"/>
    <w:uiPriority w:val="99"/>
    <w:semiHidden/>
    <w:rsid w:val="000949E5"/>
    <w:rPr>
      <w:bCs/>
      <w:i/>
      <w:iCs/>
      <w:color w:val="000000" w:themeColor="text1"/>
    </w:rPr>
  </w:style>
  <w:style w:type="character" w:customStyle="1" w:styleId="CitationintenseCar">
    <w:name w:val="Citation intense Car"/>
    <w:basedOn w:val="Policepardfaut"/>
    <w:link w:val="Citationintense"/>
    <w:uiPriority w:val="99"/>
    <w:semiHidden/>
    <w:rsid w:val="000949E5"/>
    <w:rPr>
      <w:bCs/>
      <w:i/>
      <w:iCs/>
      <w:color w:val="000000" w:themeColor="text1"/>
    </w:rPr>
  </w:style>
  <w:style w:type="paragraph" w:styleId="Commentaire">
    <w:name w:val="annotation text"/>
    <w:basedOn w:val="Normal"/>
    <w:link w:val="CommentaireCar"/>
    <w:uiPriority w:val="99"/>
    <w:semiHidden/>
    <w:qFormat/>
    <w:rsid w:val="00AC50E4"/>
    <w:pPr>
      <w:spacing w:after="0" w:line="240" w:lineRule="atLeast"/>
    </w:pPr>
    <w:rPr>
      <w:sz w:val="20"/>
      <w:szCs w:val="20"/>
    </w:rPr>
  </w:style>
  <w:style w:type="character" w:customStyle="1" w:styleId="CommentaireCar">
    <w:name w:val="Commentaire Car"/>
    <w:basedOn w:val="Policepardfaut"/>
    <w:link w:val="Commentaire"/>
    <w:uiPriority w:val="99"/>
    <w:semiHidden/>
    <w:rsid w:val="00533F56"/>
    <w:rPr>
      <w:sz w:val="20"/>
      <w:szCs w:val="20"/>
    </w:rPr>
  </w:style>
  <w:style w:type="paragraph" w:styleId="Corpsdetexte">
    <w:name w:val="Body Text"/>
    <w:basedOn w:val="Normal"/>
    <w:link w:val="CorpsdetexteCar"/>
    <w:uiPriority w:val="1"/>
    <w:qFormat/>
    <w:rsid w:val="00260916"/>
  </w:style>
  <w:style w:type="character" w:customStyle="1" w:styleId="CorpsdetexteCar">
    <w:name w:val="Corps de texte Car"/>
    <w:basedOn w:val="Policepardfaut"/>
    <w:link w:val="Corpsdetexte"/>
    <w:uiPriority w:val="1"/>
    <w:rsid w:val="006A416F"/>
  </w:style>
  <w:style w:type="paragraph" w:styleId="Corpsdetexte2">
    <w:name w:val="Body Text 2"/>
    <w:basedOn w:val="Normal"/>
    <w:link w:val="Corpsdetexte2Car"/>
    <w:uiPriority w:val="99"/>
    <w:semiHidden/>
    <w:rsid w:val="00C1240D"/>
    <w:pPr>
      <w:spacing w:after="240" w:line="320" w:lineRule="atLeast"/>
    </w:pPr>
    <w:rPr>
      <w:sz w:val="28"/>
    </w:rPr>
  </w:style>
  <w:style w:type="character" w:customStyle="1" w:styleId="Corpsdetexte2Car">
    <w:name w:val="Corps de texte 2 Car"/>
    <w:basedOn w:val="Policepardfaut"/>
    <w:link w:val="Corpsdetexte2"/>
    <w:uiPriority w:val="99"/>
    <w:semiHidden/>
    <w:rsid w:val="007B5E8C"/>
    <w:rPr>
      <w:sz w:val="28"/>
    </w:rPr>
  </w:style>
  <w:style w:type="paragraph" w:styleId="Corpsdetexte3">
    <w:name w:val="Body Text 3"/>
    <w:basedOn w:val="Normal"/>
    <w:link w:val="Corpsdetexte3Car"/>
    <w:uiPriority w:val="99"/>
    <w:semiHidden/>
    <w:rsid w:val="008D2C50"/>
    <w:pPr>
      <w:spacing w:after="120" w:line="240" w:lineRule="atLeast"/>
    </w:pPr>
    <w:rPr>
      <w:sz w:val="20"/>
      <w:szCs w:val="16"/>
    </w:rPr>
  </w:style>
  <w:style w:type="character" w:customStyle="1" w:styleId="Corpsdetexte3Car">
    <w:name w:val="Corps de texte 3 Car"/>
    <w:basedOn w:val="Policepardfaut"/>
    <w:link w:val="Corpsdetexte3"/>
    <w:uiPriority w:val="99"/>
    <w:semiHidden/>
    <w:rsid w:val="007B5E8C"/>
    <w:rPr>
      <w:sz w:val="20"/>
      <w:szCs w:val="16"/>
    </w:rPr>
  </w:style>
  <w:style w:type="paragraph" w:styleId="Date">
    <w:name w:val="Date"/>
    <w:basedOn w:val="Normal"/>
    <w:next w:val="Normal"/>
    <w:link w:val="DateCar"/>
    <w:uiPriority w:val="99"/>
    <w:semiHidden/>
    <w:rsid w:val="00202293"/>
    <w:pPr>
      <w:framePr w:wrap="notBeside" w:vAnchor="page" w:hAnchor="margin" w:y="5217"/>
    </w:pPr>
    <w:rPr>
      <w:i/>
    </w:rPr>
  </w:style>
  <w:style w:type="character" w:customStyle="1" w:styleId="DateCar">
    <w:name w:val="Date Car"/>
    <w:basedOn w:val="Policepardfaut"/>
    <w:link w:val="Date"/>
    <w:uiPriority w:val="99"/>
    <w:semiHidden/>
    <w:rsid w:val="007B5E8C"/>
    <w:rPr>
      <w:i/>
      <w:sz w:val="21"/>
    </w:rPr>
  </w:style>
  <w:style w:type="paragraph" w:styleId="En-tte">
    <w:name w:val="header"/>
    <w:basedOn w:val="Normal"/>
    <w:link w:val="En-tteCar"/>
    <w:uiPriority w:val="99"/>
    <w:semiHidden/>
    <w:qFormat/>
    <w:rsid w:val="00171285"/>
    <w:pPr>
      <w:spacing w:line="220" w:lineRule="atLeast"/>
    </w:pPr>
    <w:rPr>
      <w:rFonts w:asciiTheme="majorHAnsi" w:hAnsiTheme="majorHAnsi"/>
      <w:sz w:val="16"/>
    </w:rPr>
  </w:style>
  <w:style w:type="character" w:customStyle="1" w:styleId="En-tteCar">
    <w:name w:val="En-tête Car"/>
    <w:basedOn w:val="Policepardfaut"/>
    <w:link w:val="En-tte"/>
    <w:uiPriority w:val="99"/>
    <w:semiHidden/>
    <w:rsid w:val="00947FEE"/>
    <w:rPr>
      <w:rFonts w:asciiTheme="majorHAnsi" w:hAnsiTheme="majorHAnsi"/>
      <w:sz w:val="16"/>
    </w:rPr>
  </w:style>
  <w:style w:type="paragraph" w:styleId="En-ttedemessage">
    <w:name w:val="Message Header"/>
    <w:basedOn w:val="Normal"/>
    <w:link w:val="En-ttedemessageCar"/>
    <w:uiPriority w:val="99"/>
    <w:semiHidden/>
    <w:rsid w:val="00C1240D"/>
    <w:pPr>
      <w:pBdr>
        <w:top w:val="single" w:sz="6" w:space="1" w:color="C0C0C0" w:themeColor="accent6"/>
        <w:left w:val="single" w:sz="6" w:space="4" w:color="C0C0C0" w:themeColor="accent6"/>
        <w:bottom w:val="single" w:sz="6" w:space="1" w:color="C0C0C0" w:themeColor="accent6"/>
        <w:right w:val="single" w:sz="6" w:space="4" w:color="C0C0C0" w:themeColor="accent6"/>
      </w:pBdr>
      <w:shd w:val="clear" w:color="auto" w:fill="E5E5E5" w:themeFill="accent6" w:themeFillTint="66"/>
    </w:pPr>
    <w:rPr>
      <w:rFonts w:asciiTheme="majorHAnsi" w:eastAsiaTheme="majorEastAsia" w:hAnsiTheme="majorHAnsi" w:cstheme="majorBidi"/>
    </w:rPr>
  </w:style>
  <w:style w:type="character" w:customStyle="1" w:styleId="En-ttedemessageCar">
    <w:name w:val="En-tête de message Car"/>
    <w:basedOn w:val="Policepardfaut"/>
    <w:link w:val="En-ttedemessage"/>
    <w:uiPriority w:val="99"/>
    <w:semiHidden/>
    <w:rsid w:val="007B5E8C"/>
    <w:rPr>
      <w:rFonts w:asciiTheme="majorHAnsi" w:eastAsiaTheme="majorEastAsia" w:hAnsiTheme="majorHAnsi" w:cstheme="majorBidi"/>
      <w:sz w:val="21"/>
      <w:shd w:val="clear" w:color="auto" w:fill="E5E5E5" w:themeFill="accent6" w:themeFillTint="66"/>
    </w:rPr>
  </w:style>
  <w:style w:type="paragraph" w:styleId="Explorateurdedocuments">
    <w:name w:val="Document Map"/>
    <w:basedOn w:val="Normal"/>
    <w:link w:val="ExplorateurdedocumentsCar"/>
    <w:uiPriority w:val="99"/>
    <w:semiHidden/>
    <w:rsid w:val="002D4E6E"/>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7B5E8C"/>
    <w:rPr>
      <w:rFonts w:ascii="Tahoma" w:hAnsi="Tahoma" w:cs="Tahoma"/>
      <w:sz w:val="16"/>
      <w:szCs w:val="16"/>
    </w:rPr>
  </w:style>
  <w:style w:type="paragraph" w:styleId="Formuledepolitesse">
    <w:name w:val="Closing"/>
    <w:basedOn w:val="Normal"/>
    <w:link w:val="FormuledepolitesseCar"/>
    <w:uiPriority w:val="99"/>
    <w:semiHidden/>
    <w:rsid w:val="003577DC"/>
  </w:style>
  <w:style w:type="character" w:customStyle="1" w:styleId="FormuledepolitesseCar">
    <w:name w:val="Formule de politesse Car"/>
    <w:basedOn w:val="Policepardfaut"/>
    <w:link w:val="Formuledepolitesse"/>
    <w:uiPriority w:val="99"/>
    <w:semiHidden/>
    <w:rsid w:val="007B5E8C"/>
    <w:rPr>
      <w:sz w:val="21"/>
    </w:rPr>
  </w:style>
  <w:style w:type="paragraph" w:styleId="Notedebasdepage">
    <w:name w:val="footnote text"/>
    <w:basedOn w:val="Normal"/>
    <w:link w:val="NotedebasdepageCar"/>
    <w:uiPriority w:val="99"/>
    <w:rsid w:val="00602AC5"/>
    <w:pPr>
      <w:spacing w:before="0" w:after="60" w:line="240" w:lineRule="auto"/>
      <w:ind w:left="113" w:hanging="113"/>
    </w:pPr>
    <w:rPr>
      <w:rFonts w:asciiTheme="majorHAnsi" w:hAnsiTheme="majorHAnsi"/>
      <w:sz w:val="16"/>
      <w:szCs w:val="20"/>
    </w:rPr>
  </w:style>
  <w:style w:type="character" w:customStyle="1" w:styleId="NotedebasdepageCar">
    <w:name w:val="Note de bas de page Car"/>
    <w:basedOn w:val="Policepardfaut"/>
    <w:link w:val="Notedebasdepage"/>
    <w:uiPriority w:val="99"/>
    <w:rsid w:val="00602AC5"/>
    <w:rPr>
      <w:rFonts w:asciiTheme="majorHAnsi" w:hAnsiTheme="majorHAnsi"/>
      <w:sz w:val="16"/>
      <w:szCs w:val="20"/>
    </w:rPr>
  </w:style>
  <w:style w:type="paragraph" w:styleId="Notedefin">
    <w:name w:val="endnote text"/>
    <w:basedOn w:val="Normal"/>
    <w:link w:val="NotedefinCar"/>
    <w:uiPriority w:val="99"/>
    <w:semiHidden/>
    <w:rsid w:val="00281CFE"/>
    <w:pPr>
      <w:spacing w:beforeAutospacing="1" w:afterAutospacing="1" w:line="240" w:lineRule="auto"/>
      <w:ind w:left="113" w:hanging="113"/>
    </w:pPr>
    <w:rPr>
      <w:rFonts w:asciiTheme="majorHAnsi" w:hAnsiTheme="majorHAnsi"/>
      <w:sz w:val="16"/>
      <w:szCs w:val="20"/>
    </w:rPr>
  </w:style>
  <w:style w:type="character" w:customStyle="1" w:styleId="NotedefinCar">
    <w:name w:val="Note de fin Car"/>
    <w:basedOn w:val="Policepardfaut"/>
    <w:link w:val="Notedefin"/>
    <w:uiPriority w:val="99"/>
    <w:semiHidden/>
    <w:rsid w:val="007B5E8C"/>
    <w:rPr>
      <w:rFonts w:asciiTheme="majorHAnsi" w:hAnsiTheme="majorHAnsi"/>
      <w:sz w:val="16"/>
      <w:szCs w:val="20"/>
    </w:rPr>
  </w:style>
  <w:style w:type="paragraph" w:styleId="Objetducommentaire">
    <w:name w:val="annotation subject"/>
    <w:basedOn w:val="Commentaire"/>
    <w:next w:val="Commentaire"/>
    <w:link w:val="ObjetducommentaireCar"/>
    <w:uiPriority w:val="99"/>
    <w:semiHidden/>
    <w:rsid w:val="002D4E6E"/>
    <w:rPr>
      <w:b/>
      <w:bCs/>
    </w:rPr>
  </w:style>
  <w:style w:type="character" w:customStyle="1" w:styleId="ObjetducommentaireCar">
    <w:name w:val="Objet du commentaire Car"/>
    <w:basedOn w:val="CommentaireCar"/>
    <w:link w:val="Objetducommentaire"/>
    <w:uiPriority w:val="99"/>
    <w:semiHidden/>
    <w:rsid w:val="007B5E8C"/>
    <w:rPr>
      <w:b/>
      <w:bCs/>
      <w:sz w:val="20"/>
      <w:szCs w:val="20"/>
    </w:rPr>
  </w:style>
  <w:style w:type="paragraph" w:styleId="Pieddepage">
    <w:name w:val="footer"/>
    <w:basedOn w:val="Normal"/>
    <w:link w:val="PieddepageCar"/>
    <w:uiPriority w:val="99"/>
    <w:qFormat/>
    <w:rsid w:val="0048020B"/>
    <w:pPr>
      <w:spacing w:line="220" w:lineRule="atLeast"/>
    </w:pPr>
    <w:rPr>
      <w:rFonts w:asciiTheme="majorHAnsi" w:hAnsiTheme="majorHAnsi"/>
      <w:color w:val="777777" w:themeColor="text2"/>
      <w:sz w:val="16"/>
    </w:rPr>
  </w:style>
  <w:style w:type="character" w:customStyle="1" w:styleId="PieddepageCar">
    <w:name w:val="Pied de page Car"/>
    <w:basedOn w:val="Policepardfaut"/>
    <w:link w:val="Pieddepage"/>
    <w:uiPriority w:val="99"/>
    <w:rsid w:val="00947FEE"/>
    <w:rPr>
      <w:rFonts w:asciiTheme="majorHAnsi" w:hAnsiTheme="majorHAnsi"/>
      <w:color w:val="777777" w:themeColor="text2"/>
      <w:sz w:val="16"/>
    </w:rPr>
  </w:style>
  <w:style w:type="paragraph" w:styleId="PrformatHTML">
    <w:name w:val="HTML Preformatted"/>
    <w:basedOn w:val="Normal"/>
    <w:link w:val="PrformatHTMLCar"/>
    <w:uiPriority w:val="99"/>
    <w:semiHidden/>
    <w:rsid w:val="007819C6"/>
    <w:rPr>
      <w:rFonts w:ascii="Courier New" w:hAnsi="Courier New" w:cs="Consolas"/>
      <w:sz w:val="20"/>
      <w:szCs w:val="20"/>
    </w:rPr>
  </w:style>
  <w:style w:type="character" w:customStyle="1" w:styleId="PrformatHTMLCar">
    <w:name w:val="Préformaté HTML Car"/>
    <w:basedOn w:val="Policepardfaut"/>
    <w:link w:val="PrformatHTML"/>
    <w:uiPriority w:val="99"/>
    <w:semiHidden/>
    <w:rsid w:val="007B5E8C"/>
    <w:rPr>
      <w:rFonts w:ascii="Courier New" w:hAnsi="Courier New" w:cs="Consolas"/>
      <w:sz w:val="20"/>
      <w:szCs w:val="20"/>
    </w:rPr>
  </w:style>
  <w:style w:type="paragraph" w:styleId="Retrait1religne">
    <w:name w:val="Body Text First Indent"/>
    <w:basedOn w:val="Corpsdetexte"/>
    <w:link w:val="Retrait1religneCar"/>
    <w:uiPriority w:val="99"/>
    <w:semiHidden/>
    <w:rsid w:val="000D7BBA"/>
    <w:pPr>
      <w:ind w:firstLine="397"/>
    </w:pPr>
  </w:style>
  <w:style w:type="character" w:customStyle="1" w:styleId="Retrait1religneCar">
    <w:name w:val="Retrait 1re ligne Car"/>
    <w:basedOn w:val="CorpsdetexteCar"/>
    <w:link w:val="Retrait1religne"/>
    <w:uiPriority w:val="99"/>
    <w:semiHidden/>
    <w:rsid w:val="007B5E8C"/>
    <w:rPr>
      <w:sz w:val="21"/>
    </w:rPr>
  </w:style>
  <w:style w:type="paragraph" w:styleId="Retraitcorpsdetexte">
    <w:name w:val="Body Text Indent"/>
    <w:basedOn w:val="Corpsdetexte"/>
    <w:link w:val="RetraitcorpsdetexteCar"/>
    <w:uiPriority w:val="99"/>
    <w:semiHidden/>
    <w:rsid w:val="000D7BBA"/>
    <w:pPr>
      <w:ind w:left="397"/>
    </w:pPr>
  </w:style>
  <w:style w:type="character" w:customStyle="1" w:styleId="RetraitcorpsdetexteCar">
    <w:name w:val="Retrait corps de texte Car"/>
    <w:basedOn w:val="Policepardfaut"/>
    <w:link w:val="Retraitcorpsdetexte"/>
    <w:uiPriority w:val="99"/>
    <w:semiHidden/>
    <w:rsid w:val="007B5E8C"/>
    <w:rPr>
      <w:sz w:val="21"/>
    </w:rPr>
  </w:style>
  <w:style w:type="paragraph" w:styleId="Retraitcorpsdetexte2">
    <w:name w:val="Body Text Indent 2"/>
    <w:basedOn w:val="Corpsdetexte2"/>
    <w:link w:val="Retraitcorpsdetexte2Car"/>
    <w:uiPriority w:val="99"/>
    <w:semiHidden/>
    <w:rsid w:val="000D7BBA"/>
    <w:pPr>
      <w:ind w:left="397"/>
    </w:pPr>
  </w:style>
  <w:style w:type="character" w:customStyle="1" w:styleId="Retraitcorpsdetexte2Car">
    <w:name w:val="Retrait corps de texte 2 Car"/>
    <w:basedOn w:val="Policepardfaut"/>
    <w:link w:val="Retraitcorpsdetexte2"/>
    <w:uiPriority w:val="99"/>
    <w:semiHidden/>
    <w:rsid w:val="007B5E8C"/>
    <w:rPr>
      <w:sz w:val="28"/>
    </w:rPr>
  </w:style>
  <w:style w:type="paragraph" w:styleId="Retraitcorpsdetexte3">
    <w:name w:val="Body Text Indent 3"/>
    <w:basedOn w:val="Corpsdetexte3"/>
    <w:link w:val="Retraitcorpsdetexte3Car"/>
    <w:uiPriority w:val="99"/>
    <w:semiHidden/>
    <w:rsid w:val="000D7BBA"/>
    <w:pPr>
      <w:ind w:left="397"/>
    </w:pPr>
    <w:rPr>
      <w:sz w:val="16"/>
    </w:rPr>
  </w:style>
  <w:style w:type="character" w:customStyle="1" w:styleId="Retraitcorpsdetexte3Car">
    <w:name w:val="Retrait corps de texte 3 Car"/>
    <w:basedOn w:val="Policepardfaut"/>
    <w:link w:val="Retraitcorpsdetexte3"/>
    <w:uiPriority w:val="99"/>
    <w:semiHidden/>
    <w:rsid w:val="007B5E8C"/>
    <w:rPr>
      <w:sz w:val="16"/>
      <w:szCs w:val="16"/>
    </w:rPr>
  </w:style>
  <w:style w:type="paragraph" w:styleId="Retraitcorpset1relig">
    <w:name w:val="Body Text First Indent 2"/>
    <w:basedOn w:val="Retraitcorpsdetexte"/>
    <w:link w:val="Retraitcorpset1religCar"/>
    <w:uiPriority w:val="99"/>
    <w:semiHidden/>
    <w:rsid w:val="000D7BBA"/>
    <w:pPr>
      <w:ind w:firstLine="397"/>
    </w:pPr>
  </w:style>
  <w:style w:type="character" w:customStyle="1" w:styleId="Retraitcorpset1religCar">
    <w:name w:val="Retrait corps et 1re lig. Car"/>
    <w:basedOn w:val="RetraitcorpsdetexteCar"/>
    <w:link w:val="Retraitcorpset1relig"/>
    <w:uiPriority w:val="99"/>
    <w:semiHidden/>
    <w:rsid w:val="007B5E8C"/>
    <w:rPr>
      <w:sz w:val="21"/>
    </w:rPr>
  </w:style>
  <w:style w:type="paragraph" w:styleId="Salutations">
    <w:name w:val="Salutation"/>
    <w:basedOn w:val="Normal"/>
    <w:next w:val="Normal"/>
    <w:link w:val="SalutationsCar"/>
    <w:uiPriority w:val="99"/>
    <w:semiHidden/>
    <w:rsid w:val="002D4E6E"/>
  </w:style>
  <w:style w:type="character" w:customStyle="1" w:styleId="SalutationsCar">
    <w:name w:val="Salutations Car"/>
    <w:basedOn w:val="Policepardfaut"/>
    <w:link w:val="Salutations"/>
    <w:uiPriority w:val="99"/>
    <w:semiHidden/>
    <w:rsid w:val="007B5E8C"/>
    <w:rPr>
      <w:sz w:val="21"/>
    </w:rPr>
  </w:style>
  <w:style w:type="paragraph" w:styleId="Signature">
    <w:name w:val="Signature"/>
    <w:basedOn w:val="Normal"/>
    <w:link w:val="SignatureCar"/>
    <w:uiPriority w:val="99"/>
    <w:semiHidden/>
    <w:qFormat/>
    <w:rsid w:val="007D27F7"/>
    <w:pPr>
      <w:tabs>
        <w:tab w:val="left" w:pos="5500"/>
      </w:tabs>
      <w:spacing w:before="840" w:after="600"/>
    </w:pPr>
  </w:style>
  <w:style w:type="character" w:customStyle="1" w:styleId="SignatureCar">
    <w:name w:val="Signature Car"/>
    <w:basedOn w:val="Policepardfaut"/>
    <w:link w:val="Signature"/>
    <w:uiPriority w:val="99"/>
    <w:semiHidden/>
    <w:rsid w:val="007B5E8C"/>
    <w:rPr>
      <w:sz w:val="21"/>
    </w:rPr>
  </w:style>
  <w:style w:type="paragraph" w:styleId="Signaturelectronique">
    <w:name w:val="E-mail Signature"/>
    <w:basedOn w:val="Normal"/>
    <w:link w:val="SignaturelectroniqueCar"/>
    <w:uiPriority w:val="99"/>
    <w:semiHidden/>
    <w:rsid w:val="007042A3"/>
    <w:rPr>
      <w:rFonts w:asciiTheme="majorHAnsi" w:hAnsiTheme="majorHAnsi"/>
      <w:sz w:val="20"/>
    </w:rPr>
  </w:style>
  <w:style w:type="character" w:customStyle="1" w:styleId="SignaturelectroniqueCar">
    <w:name w:val="Signature électronique Car"/>
    <w:basedOn w:val="Policepardfaut"/>
    <w:link w:val="Signaturelectronique"/>
    <w:uiPriority w:val="99"/>
    <w:semiHidden/>
    <w:rsid w:val="007B5E8C"/>
    <w:rPr>
      <w:rFonts w:asciiTheme="majorHAnsi" w:hAnsiTheme="majorHAnsi"/>
      <w:sz w:val="20"/>
    </w:rPr>
  </w:style>
  <w:style w:type="paragraph" w:styleId="Sous-titre">
    <w:name w:val="Subtitle"/>
    <w:basedOn w:val="Normal"/>
    <w:next w:val="Corpsdetexte"/>
    <w:link w:val="Sous-titreCar"/>
    <w:uiPriority w:val="8"/>
    <w:qFormat/>
    <w:rsid w:val="006210F0"/>
    <w:pPr>
      <w:keepNext/>
      <w:keepLines/>
      <w:numPr>
        <w:ilvl w:val="1"/>
      </w:numPr>
      <w:spacing w:line="360" w:lineRule="atLeast"/>
      <w:contextualSpacing/>
    </w:pPr>
    <w:rPr>
      <w:rFonts w:asciiTheme="majorHAnsi" w:eastAsiaTheme="majorEastAsia" w:hAnsiTheme="majorHAnsi" w:cstheme="majorBidi"/>
      <w:iCs/>
      <w:kern w:val="32"/>
      <w:sz w:val="28"/>
      <w:szCs w:val="52"/>
    </w:rPr>
  </w:style>
  <w:style w:type="character" w:customStyle="1" w:styleId="Sous-titreCar">
    <w:name w:val="Sous-titre Car"/>
    <w:basedOn w:val="Policepardfaut"/>
    <w:link w:val="Sous-titre"/>
    <w:uiPriority w:val="8"/>
    <w:rsid w:val="00095452"/>
    <w:rPr>
      <w:rFonts w:asciiTheme="majorHAnsi" w:eastAsiaTheme="majorEastAsia" w:hAnsiTheme="majorHAnsi" w:cstheme="majorBidi"/>
      <w:iCs/>
      <w:color w:val="009581" w:themeColor="accent3"/>
      <w:kern w:val="32"/>
      <w:sz w:val="36"/>
      <w:szCs w:val="52"/>
    </w:rPr>
  </w:style>
  <w:style w:type="paragraph" w:styleId="Textebrut">
    <w:name w:val="Plain Text"/>
    <w:basedOn w:val="Normal"/>
    <w:link w:val="TextebrutCar"/>
    <w:uiPriority w:val="99"/>
    <w:semiHidden/>
    <w:qFormat/>
    <w:rsid w:val="007042A3"/>
    <w:rPr>
      <w:rFonts w:ascii="Courier New" w:hAnsi="Courier New" w:cs="Consolas"/>
      <w:sz w:val="20"/>
    </w:rPr>
  </w:style>
  <w:style w:type="character" w:customStyle="1" w:styleId="TextebrutCar">
    <w:name w:val="Texte brut Car"/>
    <w:basedOn w:val="Policepardfaut"/>
    <w:link w:val="Textebrut"/>
    <w:uiPriority w:val="99"/>
    <w:semiHidden/>
    <w:rsid w:val="00533F56"/>
    <w:rPr>
      <w:rFonts w:ascii="Courier New" w:hAnsi="Courier New" w:cs="Consolas"/>
      <w:sz w:val="20"/>
    </w:rPr>
  </w:style>
  <w:style w:type="paragraph" w:styleId="Textedebulles">
    <w:name w:val="Balloon Text"/>
    <w:basedOn w:val="Normal"/>
    <w:link w:val="TextedebullesCar"/>
    <w:uiPriority w:val="99"/>
    <w:semiHidden/>
    <w:rsid w:val="007042A3"/>
    <w:rPr>
      <w:rFonts w:asciiTheme="majorHAnsi" w:hAnsiTheme="majorHAnsi" w:cs="Tahoma"/>
      <w:sz w:val="16"/>
      <w:szCs w:val="16"/>
    </w:rPr>
  </w:style>
  <w:style w:type="character" w:customStyle="1" w:styleId="TextedebullesCar">
    <w:name w:val="Texte de bulles Car"/>
    <w:basedOn w:val="Policepardfaut"/>
    <w:link w:val="Textedebulles"/>
    <w:uiPriority w:val="99"/>
    <w:semiHidden/>
    <w:rsid w:val="007B5E8C"/>
    <w:rPr>
      <w:rFonts w:asciiTheme="majorHAnsi" w:hAnsiTheme="majorHAnsi" w:cs="Tahoma"/>
      <w:sz w:val="16"/>
      <w:szCs w:val="16"/>
    </w:rPr>
  </w:style>
  <w:style w:type="paragraph" w:styleId="Textedemacro">
    <w:name w:val="macro"/>
    <w:link w:val="TextedemacroCar"/>
    <w:uiPriority w:val="99"/>
    <w:semiHidden/>
    <w:rsid w:val="007042A3"/>
    <w:pPr>
      <w:tabs>
        <w:tab w:val="left" w:pos="480"/>
        <w:tab w:val="left" w:pos="960"/>
        <w:tab w:val="left" w:pos="1440"/>
        <w:tab w:val="left" w:pos="1920"/>
        <w:tab w:val="left" w:pos="2400"/>
        <w:tab w:val="left" w:pos="2880"/>
        <w:tab w:val="left" w:pos="3360"/>
        <w:tab w:val="left" w:pos="3840"/>
        <w:tab w:val="left" w:pos="4320"/>
      </w:tabs>
      <w:spacing w:after="0"/>
    </w:pPr>
    <w:rPr>
      <w:rFonts w:ascii="Courier New" w:hAnsi="Courier New" w:cs="Consolas"/>
      <w:sz w:val="20"/>
      <w:szCs w:val="20"/>
    </w:rPr>
  </w:style>
  <w:style w:type="character" w:customStyle="1" w:styleId="TextedemacroCar">
    <w:name w:val="Texte de macro Car"/>
    <w:basedOn w:val="Policepardfaut"/>
    <w:link w:val="Textedemacro"/>
    <w:uiPriority w:val="99"/>
    <w:semiHidden/>
    <w:rsid w:val="007B5E8C"/>
    <w:rPr>
      <w:rFonts w:ascii="Courier New" w:hAnsi="Courier New" w:cs="Consolas"/>
      <w:sz w:val="20"/>
      <w:szCs w:val="20"/>
    </w:rPr>
  </w:style>
  <w:style w:type="character" w:customStyle="1" w:styleId="Titre1Car">
    <w:name w:val="Titre 1 Car"/>
    <w:basedOn w:val="Policepardfaut"/>
    <w:link w:val="Titre1"/>
    <w:uiPriority w:val="1"/>
    <w:rsid w:val="003B6961"/>
    <w:rPr>
      <w:rFonts w:asciiTheme="majorHAnsi" w:eastAsiaTheme="majorEastAsia" w:hAnsiTheme="majorHAnsi" w:cstheme="majorBidi"/>
      <w:b/>
      <w:bCs/>
      <w:kern w:val="32"/>
      <w:sz w:val="28"/>
      <w:szCs w:val="28"/>
    </w:rPr>
  </w:style>
  <w:style w:type="character" w:customStyle="1" w:styleId="Titre2Car">
    <w:name w:val="Titre 2 Car"/>
    <w:basedOn w:val="Policepardfaut"/>
    <w:link w:val="Titre2"/>
    <w:uiPriority w:val="3"/>
    <w:rsid w:val="003B6961"/>
    <w:rPr>
      <w:rFonts w:asciiTheme="majorHAnsi" w:eastAsiaTheme="majorEastAsia" w:hAnsiTheme="majorHAnsi" w:cstheme="majorBidi"/>
      <w:b/>
      <w:bCs/>
      <w:kern w:val="28"/>
      <w:sz w:val="23"/>
      <w:szCs w:val="26"/>
    </w:rPr>
  </w:style>
  <w:style w:type="character" w:customStyle="1" w:styleId="Titre3Car">
    <w:name w:val="Titre 3 Car"/>
    <w:basedOn w:val="Policepardfaut"/>
    <w:link w:val="Titre3"/>
    <w:uiPriority w:val="3"/>
    <w:rsid w:val="003B6961"/>
    <w:rPr>
      <w:rFonts w:asciiTheme="majorHAnsi" w:eastAsiaTheme="majorEastAsia" w:hAnsiTheme="majorHAnsi" w:cstheme="majorBidi"/>
      <w:bCs/>
    </w:rPr>
  </w:style>
  <w:style w:type="character" w:customStyle="1" w:styleId="Titre4Car">
    <w:name w:val="Titre 4 Car"/>
    <w:basedOn w:val="Policepardfaut"/>
    <w:link w:val="Titre4"/>
    <w:uiPriority w:val="5"/>
    <w:rsid w:val="003B6961"/>
    <w:rPr>
      <w:rFonts w:asciiTheme="majorHAnsi" w:eastAsiaTheme="majorEastAsia" w:hAnsiTheme="majorHAnsi" w:cstheme="majorBidi"/>
      <w:bCs/>
      <w:iCs/>
    </w:rPr>
  </w:style>
  <w:style w:type="character" w:customStyle="1" w:styleId="Titre5Car">
    <w:name w:val="Titre 5 Car"/>
    <w:basedOn w:val="Policepardfaut"/>
    <w:link w:val="Titre5"/>
    <w:uiPriority w:val="5"/>
    <w:rsid w:val="003B6961"/>
    <w:rPr>
      <w:rFonts w:asciiTheme="majorHAnsi" w:eastAsiaTheme="majorEastAsia" w:hAnsiTheme="majorHAnsi" w:cstheme="majorBidi"/>
    </w:rPr>
  </w:style>
  <w:style w:type="character" w:customStyle="1" w:styleId="Titre6Car">
    <w:name w:val="Titre 6 Car"/>
    <w:basedOn w:val="Policepardfaut"/>
    <w:link w:val="Titre6"/>
    <w:uiPriority w:val="9"/>
    <w:semiHidden/>
    <w:rsid w:val="000949E5"/>
    <w:rPr>
      <w:rFonts w:asciiTheme="majorHAnsi" w:eastAsiaTheme="majorEastAsia" w:hAnsiTheme="majorHAnsi" w:cstheme="majorBidi"/>
      <w:iCs/>
      <w:color w:val="000000" w:themeColor="text1"/>
    </w:rPr>
  </w:style>
  <w:style w:type="character" w:customStyle="1" w:styleId="Titre7Car">
    <w:name w:val="Titre 7 Car"/>
    <w:basedOn w:val="Policepardfaut"/>
    <w:link w:val="Titre7"/>
    <w:uiPriority w:val="9"/>
    <w:semiHidden/>
    <w:rsid w:val="000949E5"/>
    <w:rPr>
      <w:rFonts w:asciiTheme="majorHAnsi" w:eastAsiaTheme="majorEastAsia" w:hAnsiTheme="majorHAnsi" w:cstheme="majorBidi"/>
      <w:iCs/>
      <w:color w:val="000000" w:themeColor="text1"/>
    </w:rPr>
  </w:style>
  <w:style w:type="character" w:customStyle="1" w:styleId="Titre8Car">
    <w:name w:val="Titre 8 Car"/>
    <w:basedOn w:val="Policepardfaut"/>
    <w:link w:val="Titre8"/>
    <w:uiPriority w:val="9"/>
    <w:semiHidden/>
    <w:rsid w:val="000949E5"/>
    <w:rPr>
      <w:rFonts w:asciiTheme="majorHAnsi" w:eastAsiaTheme="majorEastAsia" w:hAnsiTheme="majorHAnsi" w:cstheme="majorBidi"/>
      <w:color w:val="000000" w:themeColor="text1"/>
      <w:szCs w:val="20"/>
    </w:rPr>
  </w:style>
  <w:style w:type="character" w:customStyle="1" w:styleId="Titre9Car">
    <w:name w:val="Titre 9 Car"/>
    <w:basedOn w:val="Policepardfaut"/>
    <w:link w:val="Titre9"/>
    <w:uiPriority w:val="9"/>
    <w:semiHidden/>
    <w:rsid w:val="000949E5"/>
    <w:rPr>
      <w:rFonts w:asciiTheme="majorHAnsi" w:eastAsiaTheme="majorEastAsia" w:hAnsiTheme="majorHAnsi" w:cstheme="majorBidi"/>
      <w:iCs/>
      <w:color w:val="000000" w:themeColor="text1"/>
      <w:szCs w:val="20"/>
    </w:rPr>
  </w:style>
  <w:style w:type="paragraph" w:styleId="Adressedestinataire">
    <w:name w:val="envelope address"/>
    <w:basedOn w:val="Normal"/>
    <w:uiPriority w:val="99"/>
    <w:semiHidden/>
    <w:rsid w:val="00202293"/>
    <w:pPr>
      <w:framePr w:w="4536" w:h="1701" w:hRule="exact" w:wrap="notBeside" w:vAnchor="page" w:hAnchor="page" w:x="1419" w:y="3063"/>
      <w:contextualSpacing/>
    </w:pPr>
    <w:rPr>
      <w:rFonts w:eastAsiaTheme="majorEastAsia" w:cstheme="majorBidi"/>
    </w:rPr>
  </w:style>
  <w:style w:type="paragraph" w:styleId="Adresseexpditeur">
    <w:name w:val="envelope return"/>
    <w:basedOn w:val="Normal"/>
    <w:uiPriority w:val="99"/>
    <w:semiHidden/>
    <w:rsid w:val="00202293"/>
    <w:pPr>
      <w:framePr w:w="4536" w:h="369" w:hRule="exact" w:wrap="notBeside" w:vAnchor="page" w:hAnchor="page" w:x="1419" w:y="2439"/>
      <w:pBdr>
        <w:bottom w:val="single" w:sz="4" w:space="1" w:color="auto"/>
      </w:pBdr>
      <w:spacing w:after="0" w:line="160" w:lineRule="atLeast"/>
      <w:contextualSpacing/>
    </w:pPr>
    <w:rPr>
      <w:rFonts w:asciiTheme="majorHAnsi" w:eastAsiaTheme="majorEastAsia" w:hAnsiTheme="majorHAnsi" w:cstheme="majorBidi"/>
      <w:sz w:val="12"/>
      <w:szCs w:val="20"/>
    </w:rPr>
  </w:style>
  <w:style w:type="paragraph" w:styleId="Bibliographie">
    <w:name w:val="Bibliography"/>
    <w:basedOn w:val="Normal"/>
    <w:next w:val="Normal"/>
    <w:uiPriority w:val="99"/>
    <w:semiHidden/>
    <w:rsid w:val="002A164C"/>
  </w:style>
  <w:style w:type="paragraph" w:styleId="En-ttedetabledesmatires">
    <w:name w:val="TOC Heading"/>
    <w:basedOn w:val="Normal"/>
    <w:next w:val="Normal"/>
    <w:uiPriority w:val="99"/>
    <w:semiHidden/>
    <w:rsid w:val="006210F0"/>
    <w:pPr>
      <w:keepNext/>
      <w:keepLines/>
      <w:spacing w:line="360" w:lineRule="atLeast"/>
      <w:contextualSpacing/>
    </w:pPr>
    <w:rPr>
      <w:rFonts w:asciiTheme="majorHAnsi" w:eastAsiaTheme="majorEastAsia" w:hAnsiTheme="majorHAnsi" w:cstheme="majorBidi"/>
      <w:b/>
      <w:kern w:val="32"/>
      <w:sz w:val="28"/>
      <w:szCs w:val="52"/>
    </w:rPr>
  </w:style>
  <w:style w:type="paragraph" w:styleId="Index1">
    <w:name w:val="index 1"/>
    <w:basedOn w:val="Normal"/>
    <w:next w:val="Normal"/>
    <w:autoRedefine/>
    <w:uiPriority w:val="99"/>
    <w:semiHidden/>
    <w:rsid w:val="0026185F"/>
    <w:pPr>
      <w:tabs>
        <w:tab w:val="right" w:leader="underscore" w:pos="4448"/>
      </w:tabs>
      <w:ind w:left="240" w:hanging="240"/>
    </w:pPr>
    <w:rPr>
      <w:rFonts w:cstheme="minorHAnsi"/>
      <w:sz w:val="18"/>
      <w:szCs w:val="18"/>
    </w:rPr>
  </w:style>
  <w:style w:type="paragraph" w:styleId="Index2">
    <w:name w:val="index 2"/>
    <w:basedOn w:val="Normal"/>
    <w:next w:val="Normal"/>
    <w:autoRedefine/>
    <w:uiPriority w:val="99"/>
    <w:semiHidden/>
    <w:rsid w:val="00CD7DD3"/>
    <w:pPr>
      <w:ind w:left="480" w:hanging="240"/>
    </w:pPr>
    <w:rPr>
      <w:rFonts w:cstheme="minorHAnsi"/>
      <w:sz w:val="18"/>
      <w:szCs w:val="18"/>
    </w:rPr>
  </w:style>
  <w:style w:type="paragraph" w:styleId="Index3">
    <w:name w:val="index 3"/>
    <w:basedOn w:val="Normal"/>
    <w:next w:val="Normal"/>
    <w:autoRedefine/>
    <w:uiPriority w:val="99"/>
    <w:semiHidden/>
    <w:rsid w:val="00CD7DD3"/>
    <w:pPr>
      <w:ind w:left="720" w:hanging="240"/>
    </w:pPr>
    <w:rPr>
      <w:rFonts w:cstheme="minorHAnsi"/>
      <w:sz w:val="18"/>
      <w:szCs w:val="18"/>
    </w:rPr>
  </w:style>
  <w:style w:type="paragraph" w:styleId="Index4">
    <w:name w:val="index 4"/>
    <w:basedOn w:val="Normal"/>
    <w:next w:val="Normal"/>
    <w:autoRedefine/>
    <w:uiPriority w:val="99"/>
    <w:semiHidden/>
    <w:rsid w:val="00CD7DD3"/>
    <w:pPr>
      <w:ind w:left="960" w:hanging="240"/>
    </w:pPr>
    <w:rPr>
      <w:rFonts w:cstheme="minorHAnsi"/>
      <w:sz w:val="18"/>
      <w:szCs w:val="18"/>
    </w:rPr>
  </w:style>
  <w:style w:type="paragraph" w:styleId="Index5">
    <w:name w:val="index 5"/>
    <w:basedOn w:val="Normal"/>
    <w:next w:val="Normal"/>
    <w:autoRedefine/>
    <w:uiPriority w:val="99"/>
    <w:semiHidden/>
    <w:rsid w:val="00CD7DD3"/>
    <w:pPr>
      <w:ind w:left="1200" w:hanging="240"/>
    </w:pPr>
    <w:rPr>
      <w:rFonts w:cstheme="minorHAnsi"/>
      <w:sz w:val="18"/>
      <w:szCs w:val="18"/>
    </w:rPr>
  </w:style>
  <w:style w:type="paragraph" w:styleId="Index6">
    <w:name w:val="index 6"/>
    <w:basedOn w:val="Normal"/>
    <w:next w:val="Normal"/>
    <w:autoRedefine/>
    <w:uiPriority w:val="99"/>
    <w:semiHidden/>
    <w:rsid w:val="00CD7DD3"/>
    <w:pPr>
      <w:ind w:left="1440" w:hanging="240"/>
    </w:pPr>
    <w:rPr>
      <w:rFonts w:cstheme="minorHAnsi"/>
      <w:sz w:val="18"/>
      <w:szCs w:val="18"/>
    </w:rPr>
  </w:style>
  <w:style w:type="paragraph" w:styleId="Index7">
    <w:name w:val="index 7"/>
    <w:basedOn w:val="Normal"/>
    <w:next w:val="Normal"/>
    <w:autoRedefine/>
    <w:uiPriority w:val="99"/>
    <w:semiHidden/>
    <w:rsid w:val="00CD7DD3"/>
    <w:pPr>
      <w:ind w:left="1680" w:hanging="240"/>
    </w:pPr>
    <w:rPr>
      <w:rFonts w:cstheme="minorHAnsi"/>
      <w:sz w:val="18"/>
      <w:szCs w:val="18"/>
    </w:rPr>
  </w:style>
  <w:style w:type="paragraph" w:styleId="Index8">
    <w:name w:val="index 8"/>
    <w:basedOn w:val="Normal"/>
    <w:next w:val="Normal"/>
    <w:autoRedefine/>
    <w:uiPriority w:val="99"/>
    <w:semiHidden/>
    <w:rsid w:val="00CD7DD3"/>
    <w:pPr>
      <w:ind w:left="1920" w:hanging="240"/>
    </w:pPr>
    <w:rPr>
      <w:rFonts w:cstheme="minorHAnsi"/>
      <w:sz w:val="18"/>
      <w:szCs w:val="18"/>
    </w:rPr>
  </w:style>
  <w:style w:type="paragraph" w:styleId="Index9">
    <w:name w:val="index 9"/>
    <w:basedOn w:val="Normal"/>
    <w:next w:val="Normal"/>
    <w:autoRedefine/>
    <w:uiPriority w:val="99"/>
    <w:semiHidden/>
    <w:rsid w:val="00CD7DD3"/>
    <w:pPr>
      <w:ind w:left="2160" w:hanging="240"/>
    </w:pPr>
    <w:rPr>
      <w:rFonts w:cstheme="minorHAnsi"/>
      <w:sz w:val="18"/>
      <w:szCs w:val="18"/>
    </w:rPr>
  </w:style>
  <w:style w:type="paragraph" w:styleId="Lgende">
    <w:name w:val="caption"/>
    <w:basedOn w:val="Normal"/>
    <w:next w:val="Normal"/>
    <w:uiPriority w:val="99"/>
    <w:semiHidden/>
    <w:rsid w:val="006B1EE6"/>
    <w:pPr>
      <w:spacing w:line="240" w:lineRule="atLeast"/>
    </w:pPr>
    <w:rPr>
      <w:bCs/>
      <w:color w:val="595959" w:themeColor="text1" w:themeTint="A6"/>
      <w:sz w:val="20"/>
      <w:szCs w:val="18"/>
    </w:rPr>
  </w:style>
  <w:style w:type="paragraph" w:styleId="Liste">
    <w:name w:val="List"/>
    <w:basedOn w:val="Normal"/>
    <w:uiPriority w:val="99"/>
    <w:semiHidden/>
    <w:rsid w:val="00255264"/>
    <w:pPr>
      <w:ind w:left="397"/>
      <w:contextualSpacing/>
    </w:pPr>
  </w:style>
  <w:style w:type="paragraph" w:styleId="Liste2">
    <w:name w:val="List 2"/>
    <w:basedOn w:val="Normal"/>
    <w:uiPriority w:val="99"/>
    <w:semiHidden/>
    <w:rsid w:val="00255264"/>
    <w:pPr>
      <w:ind w:left="794"/>
      <w:contextualSpacing/>
    </w:pPr>
  </w:style>
  <w:style w:type="paragraph" w:styleId="Liste3">
    <w:name w:val="List 3"/>
    <w:basedOn w:val="Normal"/>
    <w:uiPriority w:val="99"/>
    <w:semiHidden/>
    <w:rsid w:val="00255264"/>
    <w:pPr>
      <w:ind w:left="1191"/>
      <w:contextualSpacing/>
    </w:pPr>
  </w:style>
  <w:style w:type="paragraph" w:styleId="Liste4">
    <w:name w:val="List 4"/>
    <w:basedOn w:val="Normal"/>
    <w:uiPriority w:val="99"/>
    <w:semiHidden/>
    <w:rsid w:val="00255264"/>
    <w:pPr>
      <w:ind w:left="1588"/>
      <w:contextualSpacing/>
    </w:pPr>
  </w:style>
  <w:style w:type="paragraph" w:styleId="Liste5">
    <w:name w:val="List 5"/>
    <w:basedOn w:val="Normal"/>
    <w:uiPriority w:val="99"/>
    <w:semiHidden/>
    <w:rsid w:val="00255264"/>
    <w:pPr>
      <w:ind w:left="1985"/>
      <w:contextualSpacing/>
    </w:pPr>
  </w:style>
  <w:style w:type="paragraph" w:styleId="Listenumros">
    <w:name w:val="List Number"/>
    <w:basedOn w:val="Liste"/>
    <w:uiPriority w:val="20"/>
    <w:rsid w:val="0046175B"/>
    <w:pPr>
      <w:numPr>
        <w:numId w:val="13"/>
      </w:numPr>
    </w:pPr>
  </w:style>
  <w:style w:type="paragraph" w:styleId="Listenumros2">
    <w:name w:val="List Number 2"/>
    <w:basedOn w:val="Liste2"/>
    <w:uiPriority w:val="20"/>
    <w:rsid w:val="0046175B"/>
    <w:pPr>
      <w:numPr>
        <w:ilvl w:val="1"/>
        <w:numId w:val="13"/>
      </w:numPr>
    </w:pPr>
  </w:style>
  <w:style w:type="paragraph" w:styleId="Listenumros3">
    <w:name w:val="List Number 3"/>
    <w:basedOn w:val="Liste3"/>
    <w:uiPriority w:val="20"/>
    <w:rsid w:val="0046175B"/>
    <w:pPr>
      <w:numPr>
        <w:ilvl w:val="2"/>
        <w:numId w:val="13"/>
      </w:numPr>
    </w:pPr>
  </w:style>
  <w:style w:type="paragraph" w:styleId="Listenumros4">
    <w:name w:val="List Number 4"/>
    <w:basedOn w:val="Liste4"/>
    <w:uiPriority w:val="20"/>
    <w:rsid w:val="0046175B"/>
    <w:pPr>
      <w:numPr>
        <w:ilvl w:val="3"/>
        <w:numId w:val="13"/>
      </w:numPr>
    </w:pPr>
  </w:style>
  <w:style w:type="paragraph" w:styleId="Listenumros5">
    <w:name w:val="List Number 5"/>
    <w:basedOn w:val="Liste5"/>
    <w:uiPriority w:val="20"/>
    <w:rsid w:val="0046175B"/>
    <w:pPr>
      <w:numPr>
        <w:ilvl w:val="4"/>
        <w:numId w:val="13"/>
      </w:numPr>
    </w:pPr>
  </w:style>
  <w:style w:type="paragraph" w:styleId="Listepuces">
    <w:name w:val="List Bullet"/>
    <w:basedOn w:val="Liste"/>
    <w:uiPriority w:val="99"/>
    <w:semiHidden/>
    <w:rsid w:val="0040697B"/>
    <w:pPr>
      <w:ind w:left="0"/>
    </w:pPr>
  </w:style>
  <w:style w:type="paragraph" w:styleId="Listepuces2">
    <w:name w:val="List Bullet 2"/>
    <w:basedOn w:val="Liste2"/>
    <w:uiPriority w:val="19"/>
    <w:rsid w:val="0040697B"/>
    <w:pPr>
      <w:numPr>
        <w:ilvl w:val="1"/>
        <w:numId w:val="19"/>
      </w:numPr>
    </w:pPr>
  </w:style>
  <w:style w:type="paragraph" w:styleId="Listepuces3">
    <w:name w:val="List Bullet 3"/>
    <w:basedOn w:val="Liste3"/>
    <w:uiPriority w:val="19"/>
    <w:rsid w:val="0040697B"/>
    <w:pPr>
      <w:numPr>
        <w:ilvl w:val="2"/>
        <w:numId w:val="19"/>
      </w:numPr>
    </w:pPr>
  </w:style>
  <w:style w:type="paragraph" w:styleId="Listepuces4">
    <w:name w:val="List Bullet 4"/>
    <w:basedOn w:val="Liste4"/>
    <w:uiPriority w:val="19"/>
    <w:rsid w:val="0040697B"/>
    <w:pPr>
      <w:numPr>
        <w:ilvl w:val="3"/>
        <w:numId w:val="19"/>
      </w:numPr>
    </w:pPr>
  </w:style>
  <w:style w:type="paragraph" w:styleId="Listepuces5">
    <w:name w:val="List Bullet 5"/>
    <w:basedOn w:val="Liste5"/>
    <w:uiPriority w:val="19"/>
    <w:rsid w:val="0040697B"/>
    <w:pPr>
      <w:numPr>
        <w:ilvl w:val="4"/>
        <w:numId w:val="19"/>
      </w:numPr>
    </w:pPr>
  </w:style>
  <w:style w:type="paragraph" w:styleId="Listecontinue">
    <w:name w:val="List Continue"/>
    <w:basedOn w:val="Liste"/>
    <w:uiPriority w:val="99"/>
    <w:semiHidden/>
    <w:rsid w:val="00B03D98"/>
    <w:pPr>
      <w:ind w:hanging="397"/>
    </w:pPr>
  </w:style>
  <w:style w:type="paragraph" w:styleId="Listecontinue5">
    <w:name w:val="List Continue 5"/>
    <w:basedOn w:val="Liste5"/>
    <w:uiPriority w:val="99"/>
    <w:semiHidden/>
    <w:rsid w:val="00A726DD"/>
    <w:pPr>
      <w:numPr>
        <w:ilvl w:val="4"/>
        <w:numId w:val="11"/>
      </w:numPr>
    </w:pPr>
  </w:style>
  <w:style w:type="paragraph" w:styleId="Listecontinue2">
    <w:name w:val="List Continue 2"/>
    <w:basedOn w:val="Liste2"/>
    <w:uiPriority w:val="99"/>
    <w:semiHidden/>
    <w:rsid w:val="00A726DD"/>
    <w:pPr>
      <w:numPr>
        <w:ilvl w:val="1"/>
        <w:numId w:val="11"/>
      </w:numPr>
    </w:pPr>
  </w:style>
  <w:style w:type="paragraph" w:styleId="Listecontinue3">
    <w:name w:val="List Continue 3"/>
    <w:basedOn w:val="Liste3"/>
    <w:uiPriority w:val="99"/>
    <w:semiHidden/>
    <w:rsid w:val="00A726DD"/>
    <w:pPr>
      <w:numPr>
        <w:ilvl w:val="2"/>
        <w:numId w:val="11"/>
      </w:numPr>
    </w:pPr>
  </w:style>
  <w:style w:type="paragraph" w:styleId="Listecontinue4">
    <w:name w:val="List Continue 4"/>
    <w:basedOn w:val="Liste4"/>
    <w:uiPriority w:val="99"/>
    <w:semiHidden/>
    <w:rsid w:val="00A726DD"/>
    <w:pPr>
      <w:numPr>
        <w:ilvl w:val="3"/>
        <w:numId w:val="11"/>
      </w:numPr>
    </w:pPr>
  </w:style>
  <w:style w:type="paragraph" w:styleId="NormalWeb">
    <w:name w:val="Normal (Web)"/>
    <w:basedOn w:val="Normal"/>
    <w:uiPriority w:val="99"/>
    <w:semiHidden/>
    <w:rsid w:val="007042A3"/>
    <w:rPr>
      <w:rFonts w:asciiTheme="majorHAnsi" w:hAnsiTheme="majorHAnsi" w:cs="Times New Roman"/>
    </w:rPr>
  </w:style>
  <w:style w:type="paragraph" w:styleId="Normalcentr">
    <w:name w:val="Block Text"/>
    <w:basedOn w:val="Normal"/>
    <w:uiPriority w:val="99"/>
    <w:semiHidden/>
    <w:rsid w:val="000949E5"/>
    <w:pPr>
      <w:pBdr>
        <w:top w:val="single" w:sz="2" w:space="10" w:color="000000" w:themeColor="text1"/>
        <w:left w:val="single" w:sz="2" w:space="10" w:color="000000" w:themeColor="text1"/>
        <w:bottom w:val="single" w:sz="2" w:space="10" w:color="000000" w:themeColor="text1"/>
        <w:right w:val="single" w:sz="2" w:space="10" w:color="000000" w:themeColor="text1"/>
      </w:pBdr>
      <w:ind w:left="1304" w:right="1304"/>
    </w:pPr>
    <w:rPr>
      <w:rFonts w:eastAsiaTheme="minorEastAsia"/>
      <w:iCs/>
      <w:color w:val="000000" w:themeColor="text1"/>
    </w:rPr>
  </w:style>
  <w:style w:type="paragraph" w:styleId="Paragraphedeliste">
    <w:name w:val="List Paragraph"/>
    <w:basedOn w:val="Corpsdetexte"/>
    <w:uiPriority w:val="99"/>
    <w:semiHidden/>
    <w:rsid w:val="008A552E"/>
    <w:pPr>
      <w:numPr>
        <w:numId w:val="3"/>
      </w:numPr>
      <w:contextualSpacing/>
    </w:pPr>
  </w:style>
  <w:style w:type="paragraph" w:styleId="Retraitnormal">
    <w:name w:val="Normal Indent"/>
    <w:basedOn w:val="Normal"/>
    <w:uiPriority w:val="99"/>
    <w:semiHidden/>
    <w:rsid w:val="00EB3232"/>
    <w:pPr>
      <w:ind w:left="397"/>
    </w:pPr>
  </w:style>
  <w:style w:type="paragraph" w:styleId="Sansinterligne">
    <w:name w:val="No Spacing"/>
    <w:link w:val="SansinterligneCar"/>
    <w:uiPriority w:val="99"/>
    <w:qFormat/>
    <w:rsid w:val="00327735"/>
    <w:pPr>
      <w:spacing w:after="0"/>
    </w:pPr>
  </w:style>
  <w:style w:type="paragraph" w:styleId="Tabledesillustrations">
    <w:name w:val="table of figures"/>
    <w:basedOn w:val="Normal"/>
    <w:next w:val="Normal"/>
    <w:uiPriority w:val="99"/>
    <w:semiHidden/>
    <w:rsid w:val="002D4E6E"/>
  </w:style>
  <w:style w:type="paragraph" w:styleId="Tabledesrfrencesjuridiques">
    <w:name w:val="table of authorities"/>
    <w:basedOn w:val="Normal"/>
    <w:next w:val="Normal"/>
    <w:uiPriority w:val="99"/>
    <w:semiHidden/>
    <w:rsid w:val="000646F4"/>
    <w:pPr>
      <w:ind w:left="397" w:hanging="397"/>
    </w:pPr>
  </w:style>
  <w:style w:type="paragraph" w:styleId="Titreindex">
    <w:name w:val="index heading"/>
    <w:basedOn w:val="Normal"/>
    <w:next w:val="Index1"/>
    <w:uiPriority w:val="99"/>
    <w:semiHidden/>
    <w:rsid w:val="006210F0"/>
    <w:pPr>
      <w:keepNext/>
      <w:keepLines/>
      <w:spacing w:line="360" w:lineRule="atLeast"/>
      <w:contextualSpacing/>
    </w:pPr>
    <w:rPr>
      <w:rFonts w:asciiTheme="majorHAnsi" w:eastAsiaTheme="majorEastAsia" w:hAnsiTheme="majorHAnsi" w:cstheme="majorHAnsi"/>
      <w:b/>
      <w:bCs/>
      <w:kern w:val="32"/>
      <w:sz w:val="28"/>
      <w:szCs w:val="28"/>
    </w:rPr>
  </w:style>
  <w:style w:type="paragraph" w:styleId="TitreTR">
    <w:name w:val="toa heading"/>
    <w:basedOn w:val="Normal"/>
    <w:next w:val="Normal"/>
    <w:uiPriority w:val="99"/>
    <w:semiHidden/>
    <w:rsid w:val="006210F0"/>
    <w:pPr>
      <w:keepNext/>
      <w:keepLines/>
      <w:spacing w:line="360" w:lineRule="atLeast"/>
      <w:contextualSpacing/>
    </w:pPr>
    <w:rPr>
      <w:rFonts w:asciiTheme="majorHAnsi" w:eastAsiaTheme="majorEastAsia" w:hAnsiTheme="majorHAnsi" w:cstheme="majorBidi"/>
      <w:b/>
      <w:bCs/>
      <w:kern w:val="32"/>
      <w:sz w:val="28"/>
      <w:szCs w:val="24"/>
    </w:rPr>
  </w:style>
  <w:style w:type="paragraph" w:styleId="TM1">
    <w:name w:val="toc 1"/>
    <w:basedOn w:val="Normal"/>
    <w:next w:val="Normal"/>
    <w:autoRedefine/>
    <w:uiPriority w:val="39"/>
    <w:rsid w:val="00E91FD8"/>
    <w:pPr>
      <w:pBdr>
        <w:bottom w:val="single" w:sz="8" w:space="1" w:color="auto"/>
      </w:pBdr>
      <w:tabs>
        <w:tab w:val="right" w:pos="9910"/>
      </w:tabs>
      <w:spacing w:after="40"/>
      <w:ind w:left="397" w:hanging="397"/>
    </w:pPr>
    <w:rPr>
      <w:rFonts w:asciiTheme="majorHAnsi" w:hAnsiTheme="majorHAnsi"/>
      <w:b/>
      <w:noProof/>
      <w:sz w:val="19"/>
    </w:rPr>
  </w:style>
  <w:style w:type="paragraph" w:styleId="TM2">
    <w:name w:val="toc 2"/>
    <w:basedOn w:val="Normal"/>
    <w:next w:val="Normal"/>
    <w:autoRedefine/>
    <w:uiPriority w:val="39"/>
    <w:rsid w:val="00E91FD8"/>
    <w:pPr>
      <w:spacing w:after="40"/>
      <w:ind w:left="624" w:hanging="624"/>
    </w:pPr>
    <w:rPr>
      <w:rFonts w:asciiTheme="majorHAnsi" w:hAnsiTheme="majorHAnsi"/>
      <w:b/>
      <w:noProof/>
      <w:sz w:val="19"/>
    </w:rPr>
  </w:style>
  <w:style w:type="paragraph" w:styleId="TM3">
    <w:name w:val="toc 3"/>
    <w:basedOn w:val="Normal"/>
    <w:next w:val="Normal"/>
    <w:autoRedefine/>
    <w:uiPriority w:val="39"/>
    <w:rsid w:val="00E91FD8"/>
    <w:pPr>
      <w:spacing w:after="40"/>
      <w:ind w:left="851" w:hanging="851"/>
    </w:pPr>
    <w:rPr>
      <w:rFonts w:asciiTheme="majorHAnsi" w:hAnsiTheme="majorHAnsi"/>
      <w:sz w:val="19"/>
    </w:rPr>
  </w:style>
  <w:style w:type="paragraph" w:styleId="TM4">
    <w:name w:val="toc 4"/>
    <w:basedOn w:val="Normal"/>
    <w:next w:val="Normal"/>
    <w:autoRedefine/>
    <w:uiPriority w:val="99"/>
    <w:semiHidden/>
    <w:rsid w:val="000949E5"/>
    <w:pPr>
      <w:spacing w:after="40"/>
      <w:ind w:left="1077" w:hanging="1077"/>
    </w:pPr>
    <w:rPr>
      <w:rFonts w:asciiTheme="majorHAnsi" w:hAnsiTheme="majorHAnsi"/>
      <w:color w:val="000000" w:themeColor="text1"/>
      <w:sz w:val="19"/>
    </w:rPr>
  </w:style>
  <w:style w:type="paragraph" w:styleId="TM5">
    <w:name w:val="toc 5"/>
    <w:basedOn w:val="Normal"/>
    <w:next w:val="Normal"/>
    <w:autoRedefine/>
    <w:uiPriority w:val="99"/>
    <w:semiHidden/>
    <w:rsid w:val="000949E5"/>
    <w:pPr>
      <w:spacing w:after="40"/>
      <w:ind w:left="1304" w:hanging="1304"/>
    </w:pPr>
    <w:rPr>
      <w:rFonts w:asciiTheme="majorHAnsi" w:hAnsiTheme="majorHAnsi"/>
      <w:color w:val="000000" w:themeColor="text1"/>
      <w:sz w:val="19"/>
    </w:rPr>
  </w:style>
  <w:style w:type="paragraph" w:styleId="TM6">
    <w:name w:val="toc 6"/>
    <w:basedOn w:val="Normal"/>
    <w:next w:val="Normal"/>
    <w:autoRedefine/>
    <w:uiPriority w:val="99"/>
    <w:semiHidden/>
    <w:rsid w:val="000949E5"/>
    <w:pPr>
      <w:spacing w:after="40"/>
      <w:ind w:left="1531" w:hanging="1531"/>
    </w:pPr>
    <w:rPr>
      <w:rFonts w:asciiTheme="majorHAnsi" w:hAnsiTheme="majorHAnsi"/>
      <w:color w:val="000000" w:themeColor="text1"/>
      <w:sz w:val="19"/>
    </w:rPr>
  </w:style>
  <w:style w:type="paragraph" w:styleId="TM7">
    <w:name w:val="toc 7"/>
    <w:basedOn w:val="Normal"/>
    <w:next w:val="Normal"/>
    <w:autoRedefine/>
    <w:uiPriority w:val="99"/>
    <w:semiHidden/>
    <w:rsid w:val="000949E5"/>
    <w:pPr>
      <w:spacing w:after="40"/>
      <w:ind w:left="1758" w:hanging="1758"/>
    </w:pPr>
    <w:rPr>
      <w:rFonts w:asciiTheme="majorHAnsi" w:hAnsiTheme="majorHAnsi"/>
      <w:color w:val="000000" w:themeColor="text1"/>
      <w:sz w:val="19"/>
    </w:rPr>
  </w:style>
  <w:style w:type="paragraph" w:styleId="TM8">
    <w:name w:val="toc 8"/>
    <w:basedOn w:val="Normal"/>
    <w:next w:val="Normal"/>
    <w:autoRedefine/>
    <w:uiPriority w:val="99"/>
    <w:semiHidden/>
    <w:rsid w:val="000949E5"/>
    <w:pPr>
      <w:spacing w:after="40"/>
      <w:ind w:left="1985" w:hanging="1985"/>
    </w:pPr>
    <w:rPr>
      <w:rFonts w:asciiTheme="majorHAnsi" w:hAnsiTheme="majorHAnsi"/>
      <w:color w:val="000000" w:themeColor="text1"/>
      <w:sz w:val="19"/>
    </w:rPr>
  </w:style>
  <w:style w:type="paragraph" w:styleId="TM9">
    <w:name w:val="toc 9"/>
    <w:basedOn w:val="Normal"/>
    <w:next w:val="Normal"/>
    <w:autoRedefine/>
    <w:uiPriority w:val="99"/>
    <w:semiHidden/>
    <w:rsid w:val="000949E5"/>
    <w:pPr>
      <w:spacing w:after="40"/>
      <w:ind w:left="2211" w:hanging="2211"/>
    </w:pPr>
    <w:rPr>
      <w:rFonts w:asciiTheme="majorHAnsi" w:hAnsiTheme="majorHAnsi"/>
      <w:color w:val="000000" w:themeColor="text1"/>
      <w:sz w:val="19"/>
    </w:rPr>
  </w:style>
  <w:style w:type="numbering" w:customStyle="1" w:styleId="EtatFRTitre">
    <w:name w:val="Etat FR Titre"/>
    <w:uiPriority w:val="99"/>
    <w:rsid w:val="00B11CA2"/>
    <w:pPr>
      <w:numPr>
        <w:numId w:val="1"/>
      </w:numPr>
    </w:pPr>
  </w:style>
  <w:style w:type="numbering" w:customStyle="1" w:styleId="EtatFRAnnexe">
    <w:name w:val="Etat FR Annexe"/>
    <w:uiPriority w:val="99"/>
    <w:rsid w:val="007A56D7"/>
    <w:pPr>
      <w:numPr>
        <w:numId w:val="2"/>
      </w:numPr>
    </w:pPr>
  </w:style>
  <w:style w:type="paragraph" w:customStyle="1" w:styleId="Annexe1">
    <w:name w:val="Annexe 1"/>
    <w:basedOn w:val="Titre1"/>
    <w:next w:val="Corpsdetexte"/>
    <w:link w:val="Annexe1Car"/>
    <w:uiPriority w:val="10"/>
    <w:qFormat/>
    <w:rsid w:val="007A56D7"/>
    <w:pPr>
      <w:numPr>
        <w:numId w:val="10"/>
      </w:numPr>
    </w:pPr>
  </w:style>
  <w:style w:type="paragraph" w:customStyle="1" w:styleId="Annexe2">
    <w:name w:val="Annexe 2"/>
    <w:basedOn w:val="Titre2"/>
    <w:next w:val="Corpsdetexte"/>
    <w:link w:val="Annexe2Car"/>
    <w:uiPriority w:val="10"/>
    <w:qFormat/>
    <w:rsid w:val="007A56D7"/>
    <w:pPr>
      <w:numPr>
        <w:numId w:val="10"/>
      </w:numPr>
    </w:pPr>
  </w:style>
  <w:style w:type="character" w:customStyle="1" w:styleId="Annexe1Car">
    <w:name w:val="Annexe 1 Car"/>
    <w:basedOn w:val="Titre1Car"/>
    <w:link w:val="Annexe1"/>
    <w:uiPriority w:val="10"/>
    <w:rsid w:val="00C04AAC"/>
    <w:rPr>
      <w:rFonts w:asciiTheme="majorHAnsi" w:eastAsiaTheme="majorEastAsia" w:hAnsiTheme="majorHAnsi" w:cstheme="majorBidi"/>
      <w:b/>
      <w:bCs/>
      <w:color w:val="009581" w:themeColor="accent3"/>
      <w:kern w:val="32"/>
      <w:sz w:val="36"/>
      <w:szCs w:val="28"/>
    </w:rPr>
  </w:style>
  <w:style w:type="paragraph" w:customStyle="1" w:styleId="Annexe3">
    <w:name w:val="Annexe 3"/>
    <w:basedOn w:val="Titre3"/>
    <w:next w:val="Corpsdetexte"/>
    <w:link w:val="Annexe3Car"/>
    <w:uiPriority w:val="10"/>
    <w:qFormat/>
    <w:rsid w:val="007A56D7"/>
    <w:pPr>
      <w:numPr>
        <w:numId w:val="10"/>
      </w:numPr>
    </w:pPr>
  </w:style>
  <w:style w:type="character" w:customStyle="1" w:styleId="Annexe2Car">
    <w:name w:val="Annexe 2 Car"/>
    <w:basedOn w:val="Titre2Car"/>
    <w:link w:val="Annexe2"/>
    <w:uiPriority w:val="10"/>
    <w:rsid w:val="00C04AAC"/>
    <w:rPr>
      <w:rFonts w:asciiTheme="majorHAnsi" w:eastAsiaTheme="majorEastAsia" w:hAnsiTheme="majorHAnsi" w:cstheme="majorBidi"/>
      <w:b/>
      <w:bCs/>
      <w:color w:val="7F7F7F" w:themeColor="text1" w:themeTint="80"/>
      <w:kern w:val="28"/>
      <w:sz w:val="23"/>
      <w:szCs w:val="26"/>
    </w:rPr>
  </w:style>
  <w:style w:type="paragraph" w:customStyle="1" w:styleId="Annexe4">
    <w:name w:val="Annexe 4"/>
    <w:basedOn w:val="Titre4"/>
    <w:next w:val="Corpsdetexte"/>
    <w:link w:val="Annexe4Car"/>
    <w:uiPriority w:val="10"/>
    <w:qFormat/>
    <w:rsid w:val="007A56D7"/>
    <w:pPr>
      <w:numPr>
        <w:numId w:val="10"/>
      </w:numPr>
    </w:pPr>
  </w:style>
  <w:style w:type="character" w:customStyle="1" w:styleId="Annexe3Car">
    <w:name w:val="Annexe 3 Car"/>
    <w:basedOn w:val="Titre3Car"/>
    <w:link w:val="Annexe3"/>
    <w:uiPriority w:val="10"/>
    <w:rsid w:val="00C04AAC"/>
    <w:rPr>
      <w:rFonts w:asciiTheme="majorHAnsi" w:eastAsiaTheme="majorEastAsia" w:hAnsiTheme="majorHAnsi" w:cstheme="majorBidi"/>
      <w:bCs/>
      <w:color w:val="009581" w:themeColor="accent3"/>
      <w:sz w:val="21"/>
    </w:rPr>
  </w:style>
  <w:style w:type="paragraph" w:customStyle="1" w:styleId="Annexe5">
    <w:name w:val="Annexe 5"/>
    <w:basedOn w:val="Titre5"/>
    <w:next w:val="Corpsdetexte"/>
    <w:link w:val="Annexe5Car"/>
    <w:uiPriority w:val="10"/>
    <w:qFormat/>
    <w:rsid w:val="007A56D7"/>
    <w:pPr>
      <w:numPr>
        <w:numId w:val="10"/>
      </w:numPr>
    </w:pPr>
  </w:style>
  <w:style w:type="character" w:customStyle="1" w:styleId="Annexe4Car">
    <w:name w:val="Annexe 4 Car"/>
    <w:basedOn w:val="Titre4Car"/>
    <w:link w:val="Annexe4"/>
    <w:uiPriority w:val="10"/>
    <w:rsid w:val="00C04AAC"/>
    <w:rPr>
      <w:rFonts w:asciiTheme="majorHAnsi" w:eastAsiaTheme="majorEastAsia" w:hAnsiTheme="majorHAnsi" w:cstheme="majorBidi"/>
      <w:bCs/>
      <w:iCs/>
      <w:color w:val="009581" w:themeColor="accent3"/>
      <w:sz w:val="21"/>
    </w:rPr>
  </w:style>
  <w:style w:type="paragraph" w:customStyle="1" w:styleId="Annexe6">
    <w:name w:val="Annexe 6"/>
    <w:basedOn w:val="Titre6"/>
    <w:next w:val="Corpsdetexte"/>
    <w:link w:val="Annexe6Car"/>
    <w:uiPriority w:val="10"/>
    <w:semiHidden/>
    <w:rsid w:val="007A56D7"/>
    <w:pPr>
      <w:numPr>
        <w:numId w:val="10"/>
      </w:numPr>
    </w:pPr>
  </w:style>
  <w:style w:type="character" w:customStyle="1" w:styleId="Annexe5Car">
    <w:name w:val="Annexe 5 Car"/>
    <w:basedOn w:val="Titre5Car"/>
    <w:link w:val="Annexe5"/>
    <w:uiPriority w:val="10"/>
    <w:rsid w:val="00C04AAC"/>
    <w:rPr>
      <w:rFonts w:asciiTheme="majorHAnsi" w:eastAsiaTheme="majorEastAsia" w:hAnsiTheme="majorHAnsi" w:cstheme="majorBidi"/>
      <w:color w:val="009581" w:themeColor="accent3"/>
      <w:sz w:val="21"/>
    </w:rPr>
  </w:style>
  <w:style w:type="paragraph" w:customStyle="1" w:styleId="Annexe7">
    <w:name w:val="Annexe 7"/>
    <w:basedOn w:val="Titre7"/>
    <w:next w:val="Corpsdetexte"/>
    <w:link w:val="Annexe7Car"/>
    <w:uiPriority w:val="10"/>
    <w:semiHidden/>
    <w:rsid w:val="007A56D7"/>
    <w:pPr>
      <w:numPr>
        <w:numId w:val="10"/>
      </w:numPr>
    </w:pPr>
  </w:style>
  <w:style w:type="character" w:customStyle="1" w:styleId="Annexe6Car">
    <w:name w:val="Annexe 6 Car"/>
    <w:basedOn w:val="Titre6Car"/>
    <w:link w:val="Annexe6"/>
    <w:uiPriority w:val="10"/>
    <w:semiHidden/>
    <w:rsid w:val="00947FEE"/>
    <w:rPr>
      <w:rFonts w:asciiTheme="majorHAnsi" w:eastAsiaTheme="majorEastAsia" w:hAnsiTheme="majorHAnsi" w:cstheme="majorBidi"/>
      <w:iCs/>
      <w:color w:val="009581" w:themeColor="accent3"/>
      <w:sz w:val="21"/>
    </w:rPr>
  </w:style>
  <w:style w:type="paragraph" w:customStyle="1" w:styleId="Annexe8">
    <w:name w:val="Annexe 8"/>
    <w:basedOn w:val="Titre8"/>
    <w:next w:val="Corpsdetexte"/>
    <w:link w:val="Annexe8Car"/>
    <w:uiPriority w:val="10"/>
    <w:semiHidden/>
    <w:rsid w:val="007A56D7"/>
    <w:pPr>
      <w:numPr>
        <w:numId w:val="10"/>
      </w:numPr>
    </w:pPr>
  </w:style>
  <w:style w:type="character" w:customStyle="1" w:styleId="Annexe7Car">
    <w:name w:val="Annexe 7 Car"/>
    <w:basedOn w:val="Titre7Car"/>
    <w:link w:val="Annexe7"/>
    <w:uiPriority w:val="10"/>
    <w:semiHidden/>
    <w:rsid w:val="00947FEE"/>
    <w:rPr>
      <w:rFonts w:asciiTheme="majorHAnsi" w:eastAsiaTheme="majorEastAsia" w:hAnsiTheme="majorHAnsi" w:cstheme="majorBidi"/>
      <w:iCs/>
      <w:color w:val="009581" w:themeColor="accent3"/>
      <w:sz w:val="21"/>
    </w:rPr>
  </w:style>
  <w:style w:type="paragraph" w:customStyle="1" w:styleId="Annexe9">
    <w:name w:val="Annexe 9"/>
    <w:basedOn w:val="Titre9"/>
    <w:next w:val="Corpsdetexte"/>
    <w:link w:val="Annexe9Car"/>
    <w:uiPriority w:val="10"/>
    <w:semiHidden/>
    <w:rsid w:val="007A56D7"/>
    <w:pPr>
      <w:numPr>
        <w:numId w:val="10"/>
      </w:numPr>
    </w:pPr>
  </w:style>
  <w:style w:type="character" w:customStyle="1" w:styleId="Annexe8Car">
    <w:name w:val="Annexe 8 Car"/>
    <w:basedOn w:val="Titre8Car"/>
    <w:link w:val="Annexe8"/>
    <w:uiPriority w:val="10"/>
    <w:semiHidden/>
    <w:rsid w:val="00947FEE"/>
    <w:rPr>
      <w:rFonts w:asciiTheme="majorHAnsi" w:eastAsiaTheme="majorEastAsia" w:hAnsiTheme="majorHAnsi" w:cstheme="majorBidi"/>
      <w:color w:val="009581" w:themeColor="accent3"/>
      <w:sz w:val="21"/>
      <w:szCs w:val="20"/>
    </w:rPr>
  </w:style>
  <w:style w:type="character" w:customStyle="1" w:styleId="Annexe9Car">
    <w:name w:val="Annexe 9 Car"/>
    <w:basedOn w:val="Titre9Car"/>
    <w:link w:val="Annexe9"/>
    <w:uiPriority w:val="10"/>
    <w:semiHidden/>
    <w:rsid w:val="00947FEE"/>
    <w:rPr>
      <w:rFonts w:asciiTheme="majorHAnsi" w:eastAsiaTheme="majorEastAsia" w:hAnsiTheme="majorHAnsi" w:cstheme="majorBidi"/>
      <w:iCs/>
      <w:color w:val="009581" w:themeColor="accent3"/>
      <w:sz w:val="21"/>
      <w:szCs w:val="20"/>
    </w:rPr>
  </w:style>
  <w:style w:type="paragraph" w:customStyle="1" w:styleId="Lettreobjetnormal">
    <w:name w:val="Lettre objet normal"/>
    <w:basedOn w:val="Normal"/>
    <w:next w:val="Corpsdetexte"/>
    <w:uiPriority w:val="99"/>
    <w:semiHidden/>
    <w:rsid w:val="006210F0"/>
    <w:pPr>
      <w:keepNext/>
      <w:keepLines/>
      <w:framePr w:wrap="notBeside" w:vAnchor="page" w:hAnchor="margin" w:y="5955"/>
      <w:spacing w:before="180" w:after="180"/>
    </w:pPr>
    <w:rPr>
      <w:rFonts w:asciiTheme="majorHAnsi" w:eastAsiaTheme="majorEastAsia" w:hAnsiTheme="majorHAnsi" w:cstheme="majorBidi"/>
      <w:kern w:val="28"/>
      <w:sz w:val="24"/>
      <w:szCs w:val="52"/>
    </w:rPr>
  </w:style>
  <w:style w:type="paragraph" w:customStyle="1" w:styleId="Lettreobjetgras">
    <w:name w:val="Lettre objet gras"/>
    <w:basedOn w:val="Lettreobjetnormal"/>
    <w:next w:val="Corpsdetexte"/>
    <w:uiPriority w:val="99"/>
    <w:semiHidden/>
    <w:rsid w:val="005B2DE5"/>
    <w:pPr>
      <w:framePr w:wrap="notBeside"/>
    </w:pPr>
    <w:rPr>
      <w:b/>
    </w:rPr>
  </w:style>
  <w:style w:type="paragraph" w:customStyle="1" w:styleId="Introduction">
    <w:name w:val="Introduction"/>
    <w:basedOn w:val="Corpsdetexte"/>
    <w:uiPriority w:val="99"/>
    <w:semiHidden/>
    <w:rsid w:val="000949E5"/>
    <w:rPr>
      <w:i/>
      <w:color w:val="000000" w:themeColor="text1"/>
    </w:rPr>
  </w:style>
  <w:style w:type="numbering" w:customStyle="1" w:styleId="EtatFRPuces">
    <w:name w:val="Etat FR Puces"/>
    <w:uiPriority w:val="99"/>
    <w:rsid w:val="0040697B"/>
    <w:pPr>
      <w:numPr>
        <w:numId w:val="4"/>
      </w:numPr>
    </w:pPr>
  </w:style>
  <w:style w:type="numbering" w:customStyle="1" w:styleId="EtatFRNumrotation">
    <w:name w:val="Etat FR Numérotation"/>
    <w:uiPriority w:val="99"/>
    <w:rsid w:val="0046175B"/>
    <w:pPr>
      <w:numPr>
        <w:numId w:val="5"/>
      </w:numPr>
    </w:pPr>
  </w:style>
  <w:style w:type="numbering" w:customStyle="1" w:styleId="EtatFRNumrotationhirarchique">
    <w:name w:val="Etat FR Numérotation hiérarchique"/>
    <w:uiPriority w:val="99"/>
    <w:rsid w:val="00A726DD"/>
    <w:pPr>
      <w:numPr>
        <w:numId w:val="6"/>
      </w:numPr>
    </w:pPr>
  </w:style>
  <w:style w:type="table" w:styleId="Grilledutableau">
    <w:name w:val="Table Grid"/>
    <w:basedOn w:val="TableauNormal"/>
    <w:uiPriority w:val="59"/>
    <w:rsid w:val="006B1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nsinterligneCar">
    <w:name w:val="Sans interligne Car"/>
    <w:basedOn w:val="Policepardfaut"/>
    <w:link w:val="Sansinterligne"/>
    <w:uiPriority w:val="99"/>
    <w:rsid w:val="007B5E8C"/>
  </w:style>
  <w:style w:type="paragraph" w:customStyle="1" w:styleId="PagedegardeTitre1">
    <w:name w:val="Page de garde Titre 1"/>
    <w:basedOn w:val="Normal"/>
    <w:next w:val="Pagedegardetexte1"/>
    <w:uiPriority w:val="99"/>
    <w:semiHidden/>
    <w:rsid w:val="000949E5"/>
    <w:pPr>
      <w:spacing w:after="140" w:line="360" w:lineRule="atLeast"/>
      <w:contextualSpacing/>
    </w:pPr>
    <w:rPr>
      <w:rFonts w:asciiTheme="majorHAnsi" w:hAnsiTheme="majorHAnsi"/>
      <w:b/>
      <w:color w:val="000000" w:themeColor="text1"/>
      <w:sz w:val="36"/>
    </w:rPr>
  </w:style>
  <w:style w:type="paragraph" w:customStyle="1" w:styleId="Pagedegardetexte1">
    <w:name w:val="Page de garde texte 1"/>
    <w:basedOn w:val="Normal"/>
    <w:uiPriority w:val="99"/>
    <w:semiHidden/>
    <w:rsid w:val="000949E5"/>
    <w:pPr>
      <w:spacing w:after="140" w:line="360" w:lineRule="atLeast"/>
    </w:pPr>
    <w:rPr>
      <w:rFonts w:asciiTheme="majorHAnsi" w:hAnsiTheme="majorHAnsi"/>
      <w:color w:val="000000" w:themeColor="text1"/>
      <w:sz w:val="36"/>
    </w:rPr>
  </w:style>
  <w:style w:type="paragraph" w:customStyle="1" w:styleId="Pagedegardetexte2">
    <w:name w:val="Page de garde texte 2"/>
    <w:basedOn w:val="Normal"/>
    <w:uiPriority w:val="99"/>
    <w:semiHidden/>
    <w:rsid w:val="000949E5"/>
    <w:pPr>
      <w:spacing w:line="220" w:lineRule="atLeast"/>
    </w:pPr>
    <w:rPr>
      <w:rFonts w:asciiTheme="majorHAnsi" w:hAnsiTheme="majorHAnsi"/>
      <w:color w:val="000000" w:themeColor="text1"/>
      <w:sz w:val="18"/>
    </w:rPr>
  </w:style>
  <w:style w:type="paragraph" w:customStyle="1" w:styleId="Pagedegardetexte3">
    <w:name w:val="Page de garde texte 3"/>
    <w:basedOn w:val="Normal"/>
    <w:uiPriority w:val="99"/>
    <w:semiHidden/>
    <w:rsid w:val="00DB06BC"/>
    <w:pPr>
      <w:spacing w:line="220" w:lineRule="atLeast"/>
    </w:pPr>
    <w:rPr>
      <w:rFonts w:asciiTheme="majorHAnsi" w:hAnsiTheme="majorHAnsi"/>
      <w:sz w:val="18"/>
    </w:rPr>
  </w:style>
  <w:style w:type="paragraph" w:customStyle="1" w:styleId="Annexeetcopie">
    <w:name w:val="Annexe et copie"/>
    <w:basedOn w:val="Normal"/>
    <w:uiPriority w:val="99"/>
    <w:semiHidden/>
    <w:qFormat/>
    <w:rsid w:val="00EE539D"/>
    <w:pPr>
      <w:spacing w:before="360" w:after="120" w:line="220" w:lineRule="atLeast"/>
    </w:pPr>
    <w:rPr>
      <w:rFonts w:asciiTheme="majorHAnsi" w:hAnsiTheme="majorHAnsi"/>
      <w:sz w:val="16"/>
    </w:rPr>
  </w:style>
  <w:style w:type="paragraph" w:customStyle="1" w:styleId="Encadr">
    <w:name w:val="Encadré"/>
    <w:basedOn w:val="Normal"/>
    <w:uiPriority w:val="99"/>
    <w:semiHidden/>
    <w:rsid w:val="00C85F9D"/>
    <w:pPr>
      <w:spacing w:after="120" w:line="240" w:lineRule="atLeast"/>
    </w:pPr>
    <w:rPr>
      <w:rFonts w:asciiTheme="majorHAnsi" w:hAnsiTheme="majorHAnsi"/>
      <w:sz w:val="20"/>
    </w:rPr>
  </w:style>
  <w:style w:type="table" w:customStyle="1" w:styleId="TableauEtatFR">
    <w:name w:val="Tableau Etat FR"/>
    <w:basedOn w:val="TableauNormal"/>
    <w:uiPriority w:val="99"/>
    <w:rsid w:val="00DC26CD"/>
    <w:pPr>
      <w:spacing w:beforeAutospacing="1" w:afterAutospacing="1" w:line="240" w:lineRule="auto"/>
    </w:pPr>
    <w:rPr>
      <w:rFonts w:ascii="Arial" w:hAnsi="Arial"/>
      <w:color w:val="7F7F7F" w:themeColor="text1" w:themeTint="80"/>
      <w:w w:val="90"/>
      <w:sz w:val="19"/>
    </w:rPr>
    <w:tblPr>
      <w:tblBorders>
        <w:top w:val="single" w:sz="12" w:space="0" w:color="000000" w:themeColor="text1"/>
        <w:bottom w:val="single" w:sz="4" w:space="0" w:color="404040" w:themeColor="text1" w:themeTint="BF"/>
        <w:insideH w:val="single" w:sz="4" w:space="0" w:color="404040" w:themeColor="text1" w:themeTint="BF"/>
        <w:insideV w:val="single" w:sz="48" w:space="0" w:color="FFFFFF" w:themeColor="background1"/>
      </w:tblBorders>
      <w:tblCellMar>
        <w:top w:w="28" w:type="dxa"/>
        <w:left w:w="0" w:type="dxa"/>
        <w:bottom w:w="28" w:type="dxa"/>
        <w:right w:w="0" w:type="dxa"/>
      </w:tblCellMar>
    </w:tblPr>
    <w:tblStylePr w:type="firstRow">
      <w:rPr>
        <w:b/>
        <w:color w:val="000000" w:themeColor="text1"/>
      </w:rPr>
      <w:tblPr>
        <w:tblCellMar>
          <w:top w:w="28" w:type="dxa"/>
          <w:left w:w="0" w:type="dxa"/>
          <w:bottom w:w="113" w:type="dxa"/>
          <w:right w:w="0" w:type="dxa"/>
        </w:tblCellMar>
      </w:tblPr>
      <w:trPr>
        <w:tblHeader/>
      </w:trPr>
      <w:tcPr>
        <w:tcBorders>
          <w:top w:val="single" w:sz="12" w:space="0" w:color="000000" w:themeColor="text1"/>
          <w:left w:val="nil"/>
          <w:bottom w:val="single" w:sz="4" w:space="0" w:color="404040" w:themeColor="text1" w:themeTint="BF"/>
          <w:right w:val="nil"/>
          <w:insideH w:val="nil"/>
          <w:insideV w:val="single" w:sz="48" w:space="0" w:color="FFFFFF" w:themeColor="background1"/>
          <w:tl2br w:val="nil"/>
          <w:tr2bl w:val="nil"/>
        </w:tcBorders>
      </w:tcPr>
    </w:tblStylePr>
    <w:tblStylePr w:type="lastRow">
      <w:rPr>
        <w:b/>
      </w:rPr>
      <w:tblPr/>
      <w:tcPr>
        <w:tcBorders>
          <w:top w:val="single" w:sz="4" w:space="0" w:color="404040" w:themeColor="text1" w:themeTint="BF"/>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000000" w:themeColor="text1"/>
      </w:rPr>
    </w:tblStylePr>
    <w:tblStylePr w:type="lastCol">
      <w:rPr>
        <w:b w:val="0"/>
        <w:color w:val="000000" w:themeColor="text1"/>
      </w:rPr>
    </w:tblStylePr>
  </w:style>
  <w:style w:type="table" w:customStyle="1" w:styleId="TableauEtatFR-Accent1">
    <w:name w:val="Tableau Etat FR - Accent 1"/>
    <w:basedOn w:val="TableauEtatFR"/>
    <w:uiPriority w:val="99"/>
    <w:rsid w:val="00F60FC2"/>
    <w:rPr>
      <w:color w:val="BFBFBF" w:themeColor="background1" w:themeShade="BF"/>
    </w:rPr>
    <w:tblPr>
      <w:tblBorders>
        <w:top w:val="single" w:sz="12" w:space="0" w:color="CCEAE6" w:themeColor="accent1"/>
        <w:bottom w:val="single" w:sz="4" w:space="0" w:color="7F7F7F" w:themeColor="text1" w:themeTint="80"/>
        <w:insideH w:val="single" w:sz="4" w:space="0" w:color="7F7F7F" w:themeColor="text1" w:themeTint="80"/>
        <w:insideV w:val="none" w:sz="0" w:space="0" w:color="auto"/>
      </w:tblBorders>
    </w:tblPr>
    <w:tblStylePr w:type="firstRow">
      <w:rPr>
        <w:b/>
        <w:color w:val="CCEAE6" w:themeColor="accent1"/>
      </w:rPr>
      <w:tblPr>
        <w:tblCellMar>
          <w:top w:w="28" w:type="dxa"/>
          <w:left w:w="0" w:type="dxa"/>
          <w:bottom w:w="113" w:type="dxa"/>
          <w:right w:w="0" w:type="dxa"/>
        </w:tblCellMar>
      </w:tblPr>
      <w:trPr>
        <w:tblHeader/>
      </w:trPr>
      <w:tcPr>
        <w:tcBorders>
          <w:top w:val="single" w:sz="12" w:space="0" w:color="CCEAE6" w:themeColor="accent1"/>
          <w:left w:val="nil"/>
          <w:bottom w:val="single" w:sz="4" w:space="0" w:color="7F7F7F" w:themeColor="text1" w:themeTint="80"/>
          <w:right w:val="nil"/>
          <w:insideH w:val="nil"/>
          <w:insideV w:val="single" w:sz="48" w:space="0" w:color="FFFFFF" w:themeColor="background1"/>
          <w:tl2br w:val="nil"/>
          <w:tr2bl w:val="nil"/>
        </w:tcBorders>
      </w:tcPr>
    </w:tblStylePr>
    <w:tblStylePr w:type="lastRow">
      <w:rPr>
        <w:b/>
      </w:rPr>
      <w:tblPr/>
      <w:tcPr>
        <w:tcBorders>
          <w:top w:val="single" w:sz="4" w:space="0" w:color="7F7F7F" w:themeColor="text1" w:themeTint="80"/>
          <w:left w:val="nil"/>
          <w:bottom w:val="single" w:sz="12" w:space="0" w:color="7F7F7F" w:themeColor="text1" w:themeTint="80"/>
          <w:right w:val="nil"/>
          <w:insideH w:val="nil"/>
          <w:insideV w:val="single" w:sz="48" w:space="0" w:color="FFFFFF" w:themeColor="background1"/>
          <w:tl2br w:val="nil"/>
          <w:tr2bl w:val="nil"/>
        </w:tcBorders>
      </w:tcPr>
    </w:tblStylePr>
    <w:tblStylePr w:type="firstCol">
      <w:rPr>
        <w:b w:val="0"/>
        <w:color w:val="CCEAE6" w:themeColor="accent1"/>
      </w:rPr>
    </w:tblStylePr>
    <w:tblStylePr w:type="lastCol">
      <w:rPr>
        <w:b w:val="0"/>
        <w:color w:val="CCEAE6" w:themeColor="accent1"/>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2">
    <w:name w:val="Tableau Etat FR - Accent 2"/>
    <w:basedOn w:val="TableauEtatFR"/>
    <w:uiPriority w:val="99"/>
    <w:rsid w:val="00BC6611"/>
    <w:rPr>
      <w:color w:val="A6A6A6" w:themeColor="background1" w:themeShade="A6"/>
    </w:rPr>
    <w:tblPr>
      <w:tblBorders>
        <w:top w:val="single" w:sz="12" w:space="0" w:color="66BFB3" w:themeColor="accent2"/>
        <w:bottom w:val="single" w:sz="4" w:space="0" w:color="595959" w:themeColor="text1" w:themeTint="A6"/>
        <w:insideH w:val="single" w:sz="4" w:space="0" w:color="595959" w:themeColor="text1" w:themeTint="A6"/>
        <w:insideV w:val="none" w:sz="0" w:space="0" w:color="auto"/>
      </w:tblBorders>
    </w:tblPr>
    <w:tblStylePr w:type="firstRow">
      <w:rPr>
        <w:b/>
        <w:color w:val="66BFB3" w:themeColor="accent2"/>
      </w:rPr>
      <w:tblPr>
        <w:tblCellMar>
          <w:top w:w="28" w:type="dxa"/>
          <w:left w:w="0" w:type="dxa"/>
          <w:bottom w:w="113" w:type="dxa"/>
          <w:right w:w="0" w:type="dxa"/>
        </w:tblCellMar>
      </w:tblPr>
      <w:trPr>
        <w:tblHeader/>
      </w:trPr>
      <w:tcPr>
        <w:tcBorders>
          <w:top w:val="single" w:sz="12" w:space="0" w:color="66BFB3" w:themeColor="accent2"/>
          <w:left w:val="nil"/>
          <w:bottom w:val="single" w:sz="4" w:space="0" w:color="595959" w:themeColor="text1" w:themeTint="A6"/>
          <w:right w:val="nil"/>
          <w:insideH w:val="nil"/>
          <w:insideV w:val="single" w:sz="48" w:space="0" w:color="FFFFFF" w:themeColor="background1"/>
          <w:tl2br w:val="nil"/>
          <w:tr2bl w:val="nil"/>
        </w:tcBorders>
      </w:tcPr>
    </w:tblStylePr>
    <w:tblStylePr w:type="lastRow">
      <w:rPr>
        <w:b/>
      </w:rPr>
      <w:tblPr/>
      <w:tcPr>
        <w:tcBorders>
          <w:top w:val="nil"/>
          <w:left w:val="nil"/>
          <w:bottom w:val="single" w:sz="12" w:space="0" w:color="595959" w:themeColor="text1" w:themeTint="A6"/>
          <w:right w:val="nil"/>
          <w:insideH w:val="nil"/>
          <w:insideV w:val="single" w:sz="48" w:space="0" w:color="FFFFFF" w:themeColor="background1"/>
          <w:tl2br w:val="nil"/>
          <w:tr2bl w:val="nil"/>
        </w:tcBorders>
      </w:tcPr>
    </w:tblStylePr>
    <w:tblStylePr w:type="firstCol">
      <w:rPr>
        <w:b w:val="0"/>
        <w:color w:val="66BFB3" w:themeColor="accent2"/>
      </w:rPr>
    </w:tblStylePr>
    <w:tblStylePr w:type="lastCol">
      <w:rPr>
        <w:b w:val="0"/>
        <w:color w:val="66BFB3" w:themeColor="accent2"/>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3">
    <w:name w:val="Tableau Etat FR - Accent 3"/>
    <w:basedOn w:val="TableauEtatFR"/>
    <w:uiPriority w:val="99"/>
    <w:rsid w:val="00F60FC2"/>
    <w:tblPr>
      <w:tblBorders>
        <w:top w:val="single" w:sz="12" w:space="0" w:color="009581" w:themeColor="accent3"/>
        <w:bottom w:val="none" w:sz="0" w:space="0" w:color="auto"/>
        <w:insideH w:val="none" w:sz="0" w:space="0" w:color="auto"/>
        <w:insideV w:val="none" w:sz="0" w:space="0" w:color="auto"/>
      </w:tblBorders>
    </w:tblPr>
    <w:tblStylePr w:type="firstRow">
      <w:rPr>
        <w:b/>
        <w:color w:val="009581" w:themeColor="accent3"/>
      </w:rPr>
      <w:tblPr>
        <w:tblCellMar>
          <w:top w:w="28" w:type="dxa"/>
          <w:left w:w="0" w:type="dxa"/>
          <w:bottom w:w="113" w:type="dxa"/>
          <w:right w:w="0" w:type="dxa"/>
        </w:tblCellMar>
      </w:tblPr>
      <w:trPr>
        <w:tblHeader/>
      </w:trPr>
      <w:tcPr>
        <w:tcBorders>
          <w:top w:val="single" w:sz="12" w:space="0" w:color="009581" w:themeColor="accent3"/>
          <w:left w:val="nil"/>
          <w:bottom w:val="nil"/>
          <w:right w:val="nil"/>
          <w:insideH w:val="nil"/>
          <w:insideV w:val="single" w:sz="48" w:space="0" w:color="FFFFFF" w:themeColor="background1"/>
          <w:tl2br w:val="nil"/>
          <w:tr2bl w:val="nil"/>
        </w:tcBorders>
      </w:tcPr>
    </w:tblStylePr>
    <w:tblStylePr w:type="lastRow">
      <w:rPr>
        <w:b/>
      </w:rPr>
      <w:tblPr/>
      <w:tcPr>
        <w:tcBorders>
          <w:top w:val="nil"/>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009581" w:themeColor="accent3"/>
      </w:rPr>
    </w:tblStylePr>
    <w:tblStylePr w:type="lastCol">
      <w:rPr>
        <w:b w:val="0"/>
        <w:color w:val="009581" w:themeColor="accent3"/>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4">
    <w:name w:val="Tableau Etat FR - Accent 4"/>
    <w:basedOn w:val="TableauEtatFR"/>
    <w:uiPriority w:val="99"/>
    <w:rsid w:val="00BC6611"/>
    <w:tblPr>
      <w:tblBorders>
        <w:top w:val="single" w:sz="12" w:space="0" w:color="00594D" w:themeColor="accent4"/>
        <w:bottom w:val="single" w:sz="4" w:space="0" w:color="262626" w:themeColor="text1" w:themeTint="D9"/>
        <w:insideH w:val="single" w:sz="4" w:space="0" w:color="262626" w:themeColor="text1" w:themeTint="D9"/>
        <w:insideV w:val="none" w:sz="0" w:space="0" w:color="auto"/>
      </w:tblBorders>
    </w:tblPr>
    <w:tblStylePr w:type="firstRow">
      <w:rPr>
        <w:b/>
        <w:color w:val="00594D" w:themeColor="accent4"/>
      </w:rPr>
      <w:tblPr>
        <w:tblCellMar>
          <w:top w:w="28" w:type="dxa"/>
          <w:left w:w="0" w:type="dxa"/>
          <w:bottom w:w="113" w:type="dxa"/>
          <w:right w:w="0" w:type="dxa"/>
        </w:tblCellMar>
      </w:tblPr>
      <w:trPr>
        <w:tblHeader/>
      </w:trPr>
      <w:tcPr>
        <w:tcBorders>
          <w:top w:val="single" w:sz="12" w:space="0" w:color="00594D" w:themeColor="accent4"/>
          <w:left w:val="nil"/>
          <w:bottom w:val="single" w:sz="4" w:space="0" w:color="262626" w:themeColor="text1" w:themeTint="D9"/>
          <w:right w:val="nil"/>
          <w:insideH w:val="nil"/>
          <w:insideV w:val="single" w:sz="48" w:space="0" w:color="FFFFFF" w:themeColor="background1"/>
          <w:tl2br w:val="nil"/>
          <w:tr2bl w:val="nil"/>
        </w:tcBorders>
      </w:tcPr>
    </w:tblStylePr>
    <w:tblStylePr w:type="lastRow">
      <w:rPr>
        <w:b/>
      </w:rPr>
      <w:tblPr/>
      <w:tcPr>
        <w:tcBorders>
          <w:top w:val="single" w:sz="4" w:space="0" w:color="262626" w:themeColor="text1" w:themeTint="D9"/>
          <w:left w:val="nil"/>
          <w:bottom w:val="single" w:sz="12" w:space="0" w:color="262626" w:themeColor="text1" w:themeTint="D9"/>
          <w:right w:val="nil"/>
          <w:insideH w:val="nil"/>
          <w:insideV w:val="single" w:sz="48" w:space="0" w:color="FFFFFF" w:themeColor="background1"/>
          <w:tl2br w:val="nil"/>
          <w:tr2bl w:val="nil"/>
        </w:tcBorders>
      </w:tcPr>
    </w:tblStylePr>
    <w:tblStylePr w:type="firstCol">
      <w:rPr>
        <w:b w:val="0"/>
        <w:color w:val="00594D" w:themeColor="accent4"/>
      </w:rPr>
    </w:tblStylePr>
    <w:tblStylePr w:type="lastCol">
      <w:rPr>
        <w:b w:val="0"/>
        <w:color w:val="00594D" w:themeColor="accent4"/>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5">
    <w:name w:val="Tableau Etat FR - Accent 5"/>
    <w:basedOn w:val="TableauEtatFR"/>
    <w:uiPriority w:val="99"/>
    <w:rsid w:val="00BC6611"/>
    <w:tblPr>
      <w:tblBorders>
        <w:top w:val="single" w:sz="12" w:space="0" w:color="001E1A" w:themeColor="accent5"/>
        <w:bottom w:val="single" w:sz="4" w:space="0" w:color="0D0D0D" w:themeColor="text1" w:themeTint="F2"/>
        <w:insideH w:val="single" w:sz="4" w:space="0" w:color="0D0D0D" w:themeColor="text1" w:themeTint="F2"/>
        <w:insideV w:val="none" w:sz="0" w:space="0" w:color="auto"/>
      </w:tblBorders>
    </w:tblPr>
    <w:tblStylePr w:type="firstRow">
      <w:rPr>
        <w:b/>
        <w:color w:val="001E1A" w:themeColor="accent5"/>
      </w:rPr>
      <w:tblPr>
        <w:tblCellMar>
          <w:top w:w="28" w:type="dxa"/>
          <w:left w:w="0" w:type="dxa"/>
          <w:bottom w:w="113" w:type="dxa"/>
          <w:right w:w="0" w:type="dxa"/>
        </w:tblCellMar>
      </w:tblPr>
      <w:trPr>
        <w:tblHeader/>
      </w:trPr>
      <w:tcPr>
        <w:tcBorders>
          <w:top w:val="single" w:sz="12" w:space="0" w:color="001E1A" w:themeColor="accent5"/>
          <w:left w:val="nil"/>
          <w:bottom w:val="single" w:sz="4" w:space="0" w:color="0D0D0D" w:themeColor="text1" w:themeTint="F2"/>
          <w:right w:val="nil"/>
          <w:insideH w:val="nil"/>
          <w:insideV w:val="single" w:sz="48" w:space="0" w:color="FFFFFF" w:themeColor="background1"/>
          <w:tl2br w:val="nil"/>
          <w:tr2bl w:val="nil"/>
        </w:tcBorders>
      </w:tcPr>
    </w:tblStylePr>
    <w:tblStylePr w:type="lastRow">
      <w:rPr>
        <w:b/>
      </w:rPr>
      <w:tblPr/>
      <w:tcPr>
        <w:tcBorders>
          <w:top w:val="single" w:sz="4" w:space="0" w:color="0D0D0D" w:themeColor="text1" w:themeTint="F2"/>
          <w:left w:val="nil"/>
          <w:bottom w:val="single" w:sz="12" w:space="0" w:color="0D0D0D" w:themeColor="text1" w:themeTint="F2"/>
          <w:right w:val="nil"/>
          <w:insideH w:val="nil"/>
          <w:insideV w:val="single" w:sz="48" w:space="0" w:color="FFFFFF" w:themeColor="background1"/>
          <w:tl2br w:val="nil"/>
          <w:tr2bl w:val="nil"/>
        </w:tcBorders>
      </w:tcPr>
    </w:tblStylePr>
    <w:tblStylePr w:type="firstCol">
      <w:rPr>
        <w:b w:val="0"/>
        <w:color w:val="001E1A" w:themeColor="accent5"/>
      </w:rPr>
    </w:tblStylePr>
    <w:tblStylePr w:type="lastCol">
      <w:rPr>
        <w:b w:val="0"/>
        <w:color w:val="001E1A" w:themeColor="accent5"/>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6">
    <w:name w:val="Tableau Etat FR - Accent 6"/>
    <w:basedOn w:val="TableauEtatFR"/>
    <w:uiPriority w:val="99"/>
    <w:rsid w:val="00BC6611"/>
    <w:tblPr>
      <w:tblBorders>
        <w:top w:val="single" w:sz="12" w:space="0" w:color="C0C0C0" w:themeColor="accent6"/>
        <w:bottom w:val="single" w:sz="4" w:space="0" w:color="595959" w:themeColor="text1" w:themeTint="A6"/>
        <w:insideH w:val="single" w:sz="4" w:space="0" w:color="595959" w:themeColor="text1" w:themeTint="A6"/>
        <w:insideV w:val="none" w:sz="0" w:space="0" w:color="auto"/>
      </w:tblBorders>
    </w:tblPr>
    <w:tblStylePr w:type="firstRow">
      <w:rPr>
        <w:b/>
        <w:color w:val="C0C0C0" w:themeColor="accent6"/>
      </w:rPr>
      <w:tblPr>
        <w:tblCellMar>
          <w:top w:w="28" w:type="dxa"/>
          <w:left w:w="0" w:type="dxa"/>
          <w:bottom w:w="113" w:type="dxa"/>
          <w:right w:w="0" w:type="dxa"/>
        </w:tblCellMar>
      </w:tblPr>
      <w:trPr>
        <w:tblHeader/>
      </w:trPr>
      <w:tcPr>
        <w:tcBorders>
          <w:top w:val="single" w:sz="12" w:space="0" w:color="C0C0C0" w:themeColor="accent6"/>
          <w:left w:val="nil"/>
          <w:bottom w:val="single" w:sz="4" w:space="0" w:color="595959" w:themeColor="text1" w:themeTint="A6"/>
          <w:right w:val="nil"/>
          <w:insideH w:val="nil"/>
          <w:insideV w:val="single" w:sz="48" w:space="0" w:color="FFFFFF" w:themeColor="background1"/>
          <w:tl2br w:val="nil"/>
          <w:tr2bl w:val="nil"/>
        </w:tcBorders>
      </w:tcPr>
    </w:tblStylePr>
    <w:tblStylePr w:type="lastRow">
      <w:rPr>
        <w:b/>
      </w:rPr>
      <w:tblPr/>
      <w:tcPr>
        <w:tcBorders>
          <w:top w:val="single" w:sz="4" w:space="0" w:color="595959" w:themeColor="text1" w:themeTint="A6"/>
          <w:left w:val="nil"/>
          <w:bottom w:val="single" w:sz="12" w:space="0" w:color="595959" w:themeColor="text1" w:themeTint="A6"/>
          <w:right w:val="nil"/>
          <w:insideH w:val="nil"/>
          <w:insideV w:val="single" w:sz="48" w:space="0" w:color="FFFFFF" w:themeColor="background1"/>
          <w:tl2br w:val="nil"/>
          <w:tr2bl w:val="nil"/>
        </w:tcBorders>
      </w:tcPr>
    </w:tblStylePr>
    <w:tblStylePr w:type="firstCol">
      <w:rPr>
        <w:b w:val="0"/>
        <w:color w:val="C0C0C0" w:themeColor="accent6"/>
      </w:rPr>
    </w:tblStylePr>
    <w:tblStylePr w:type="lastCol">
      <w:rPr>
        <w:b w:val="0"/>
        <w:color w:val="C0C0C0" w:themeColor="accent6"/>
      </w:rPr>
    </w:tblStylePr>
    <w:tblStylePr w:type="band2Vert">
      <w:rPr>
        <w:color w:val="A6A6A6" w:themeColor="background1" w:themeShade="A6"/>
      </w:rPr>
    </w:tblStylePr>
    <w:tblStylePr w:type="band2Horz">
      <w:rPr>
        <w:color w:val="A6A6A6" w:themeColor="background1" w:themeShade="A6"/>
      </w:rPr>
    </w:tblStylePr>
  </w:style>
  <w:style w:type="paragraph" w:customStyle="1" w:styleId="PagedegardeTitre2">
    <w:name w:val="Page de garde Titre 2"/>
    <w:basedOn w:val="Pagedegardetexte1"/>
    <w:uiPriority w:val="99"/>
    <w:semiHidden/>
    <w:rsid w:val="000949E5"/>
    <w:rPr>
      <w:b/>
    </w:rPr>
  </w:style>
  <w:style w:type="paragraph" w:styleId="Rvision">
    <w:name w:val="Revision"/>
    <w:hidden/>
    <w:uiPriority w:val="99"/>
    <w:semiHidden/>
    <w:rsid w:val="007A60E3"/>
    <w:pPr>
      <w:spacing w:after="0" w:line="240" w:lineRule="auto"/>
    </w:pPr>
  </w:style>
  <w:style w:type="paragraph" w:customStyle="1" w:styleId="Liste6">
    <w:name w:val="Liste 6"/>
    <w:basedOn w:val="Normal"/>
    <w:uiPriority w:val="99"/>
    <w:semiHidden/>
    <w:rsid w:val="009B5028"/>
    <w:pPr>
      <w:ind w:left="2381"/>
      <w:contextualSpacing/>
    </w:pPr>
  </w:style>
  <w:style w:type="paragraph" w:customStyle="1" w:styleId="Liste7">
    <w:name w:val="Liste 7"/>
    <w:basedOn w:val="Normal"/>
    <w:uiPriority w:val="99"/>
    <w:semiHidden/>
    <w:rsid w:val="00255264"/>
    <w:pPr>
      <w:ind w:left="2778"/>
      <w:contextualSpacing/>
    </w:pPr>
  </w:style>
  <w:style w:type="paragraph" w:customStyle="1" w:styleId="Liste8">
    <w:name w:val="Liste 8"/>
    <w:basedOn w:val="Normal"/>
    <w:uiPriority w:val="99"/>
    <w:semiHidden/>
    <w:rsid w:val="00255264"/>
    <w:pPr>
      <w:ind w:left="3175"/>
      <w:contextualSpacing/>
    </w:pPr>
  </w:style>
  <w:style w:type="paragraph" w:customStyle="1" w:styleId="Liste9">
    <w:name w:val="Liste 9"/>
    <w:basedOn w:val="Normal"/>
    <w:uiPriority w:val="99"/>
    <w:semiHidden/>
    <w:rsid w:val="00255264"/>
    <w:pPr>
      <w:ind w:left="3572"/>
      <w:contextualSpacing/>
    </w:pPr>
  </w:style>
  <w:style w:type="paragraph" w:customStyle="1" w:styleId="Listenumros6">
    <w:name w:val="Liste à numéros 6"/>
    <w:basedOn w:val="Liste6"/>
    <w:uiPriority w:val="20"/>
    <w:semiHidden/>
    <w:rsid w:val="0046175B"/>
    <w:pPr>
      <w:numPr>
        <w:ilvl w:val="5"/>
        <w:numId w:val="13"/>
      </w:numPr>
    </w:pPr>
  </w:style>
  <w:style w:type="paragraph" w:customStyle="1" w:styleId="Listenumros7">
    <w:name w:val="Liste à numéros 7"/>
    <w:basedOn w:val="Liste7"/>
    <w:uiPriority w:val="20"/>
    <w:semiHidden/>
    <w:rsid w:val="0046175B"/>
    <w:pPr>
      <w:numPr>
        <w:ilvl w:val="6"/>
        <w:numId w:val="13"/>
      </w:numPr>
    </w:pPr>
  </w:style>
  <w:style w:type="paragraph" w:customStyle="1" w:styleId="Listenumros8">
    <w:name w:val="Liste à numéros 8"/>
    <w:basedOn w:val="Liste8"/>
    <w:uiPriority w:val="20"/>
    <w:semiHidden/>
    <w:rsid w:val="0046175B"/>
    <w:pPr>
      <w:numPr>
        <w:ilvl w:val="7"/>
        <w:numId w:val="13"/>
      </w:numPr>
    </w:pPr>
  </w:style>
  <w:style w:type="paragraph" w:customStyle="1" w:styleId="Listenumros9">
    <w:name w:val="Liste à numéros 9"/>
    <w:basedOn w:val="Liste9"/>
    <w:uiPriority w:val="20"/>
    <w:semiHidden/>
    <w:rsid w:val="0046175B"/>
    <w:pPr>
      <w:numPr>
        <w:ilvl w:val="8"/>
        <w:numId w:val="13"/>
      </w:numPr>
    </w:pPr>
  </w:style>
  <w:style w:type="paragraph" w:customStyle="1" w:styleId="Listepuces6">
    <w:name w:val="Liste à puces 6"/>
    <w:basedOn w:val="Liste6"/>
    <w:uiPriority w:val="19"/>
    <w:semiHidden/>
    <w:rsid w:val="0040697B"/>
    <w:pPr>
      <w:numPr>
        <w:ilvl w:val="5"/>
        <w:numId w:val="19"/>
      </w:numPr>
    </w:pPr>
  </w:style>
  <w:style w:type="paragraph" w:customStyle="1" w:styleId="Listepuces7">
    <w:name w:val="Liste à puces 7"/>
    <w:basedOn w:val="Liste7"/>
    <w:uiPriority w:val="19"/>
    <w:semiHidden/>
    <w:rsid w:val="0040697B"/>
    <w:pPr>
      <w:numPr>
        <w:ilvl w:val="6"/>
        <w:numId w:val="19"/>
      </w:numPr>
    </w:pPr>
  </w:style>
  <w:style w:type="paragraph" w:customStyle="1" w:styleId="Listepuces8">
    <w:name w:val="Liste à puces 8"/>
    <w:basedOn w:val="Liste8"/>
    <w:uiPriority w:val="19"/>
    <w:semiHidden/>
    <w:rsid w:val="0040697B"/>
    <w:pPr>
      <w:numPr>
        <w:ilvl w:val="7"/>
        <w:numId w:val="19"/>
      </w:numPr>
    </w:pPr>
  </w:style>
  <w:style w:type="paragraph" w:customStyle="1" w:styleId="Listepuces9">
    <w:name w:val="Liste à puces 9"/>
    <w:basedOn w:val="Liste9"/>
    <w:uiPriority w:val="19"/>
    <w:semiHidden/>
    <w:rsid w:val="0040697B"/>
    <w:pPr>
      <w:numPr>
        <w:ilvl w:val="8"/>
        <w:numId w:val="19"/>
      </w:numPr>
    </w:pPr>
  </w:style>
  <w:style w:type="paragraph" w:customStyle="1" w:styleId="Listecontinue6">
    <w:name w:val="Liste continue 6"/>
    <w:basedOn w:val="Liste6"/>
    <w:uiPriority w:val="99"/>
    <w:semiHidden/>
    <w:rsid w:val="00A726DD"/>
    <w:pPr>
      <w:numPr>
        <w:ilvl w:val="5"/>
        <w:numId w:val="11"/>
      </w:numPr>
    </w:pPr>
  </w:style>
  <w:style w:type="paragraph" w:customStyle="1" w:styleId="Listepuces1">
    <w:name w:val="Liste à puces 1"/>
    <w:basedOn w:val="Liste"/>
    <w:uiPriority w:val="19"/>
    <w:rsid w:val="00781D39"/>
    <w:pPr>
      <w:numPr>
        <w:numId w:val="19"/>
      </w:numPr>
    </w:pPr>
  </w:style>
  <w:style w:type="paragraph" w:customStyle="1" w:styleId="Listecontinue7">
    <w:name w:val="Liste continue 7"/>
    <w:basedOn w:val="Liste7"/>
    <w:uiPriority w:val="99"/>
    <w:semiHidden/>
    <w:rsid w:val="00A726DD"/>
    <w:pPr>
      <w:numPr>
        <w:ilvl w:val="6"/>
        <w:numId w:val="11"/>
      </w:numPr>
    </w:pPr>
  </w:style>
  <w:style w:type="paragraph" w:customStyle="1" w:styleId="Listecontinue8">
    <w:name w:val="Liste continue 8"/>
    <w:basedOn w:val="Liste8"/>
    <w:uiPriority w:val="99"/>
    <w:semiHidden/>
    <w:rsid w:val="00A726DD"/>
    <w:pPr>
      <w:numPr>
        <w:ilvl w:val="7"/>
        <w:numId w:val="11"/>
      </w:numPr>
      <w:tabs>
        <w:tab w:val="num" w:pos="360"/>
      </w:tabs>
      <w:ind w:left="3175" w:firstLine="0"/>
    </w:pPr>
  </w:style>
  <w:style w:type="paragraph" w:customStyle="1" w:styleId="Listecontinue9">
    <w:name w:val="Liste continue 9"/>
    <w:basedOn w:val="Liste9"/>
    <w:uiPriority w:val="99"/>
    <w:semiHidden/>
    <w:rsid w:val="00A726DD"/>
    <w:pPr>
      <w:numPr>
        <w:ilvl w:val="8"/>
        <w:numId w:val="11"/>
      </w:numPr>
      <w:tabs>
        <w:tab w:val="num" w:pos="360"/>
      </w:tabs>
      <w:ind w:left="3572" w:firstLine="0"/>
    </w:pPr>
  </w:style>
  <w:style w:type="paragraph" w:customStyle="1" w:styleId="Listecontinue1">
    <w:name w:val="Liste continue 1"/>
    <w:basedOn w:val="Liste"/>
    <w:uiPriority w:val="99"/>
    <w:semiHidden/>
    <w:rsid w:val="00781D39"/>
    <w:pPr>
      <w:numPr>
        <w:numId w:val="11"/>
      </w:numPr>
    </w:pPr>
  </w:style>
  <w:style w:type="paragraph" w:customStyle="1" w:styleId="Observation">
    <w:name w:val="Observation"/>
    <w:basedOn w:val="Normal"/>
    <w:uiPriority w:val="99"/>
    <w:semiHidden/>
    <w:qFormat/>
    <w:rsid w:val="00AC50E4"/>
    <w:pPr>
      <w:spacing w:after="0" w:line="240" w:lineRule="atLeast"/>
    </w:pPr>
    <w:rPr>
      <w:color w:val="7F7F7F" w:themeColor="text1" w:themeTint="80"/>
      <w:sz w:val="20"/>
    </w:rPr>
  </w:style>
  <w:style w:type="paragraph" w:customStyle="1" w:styleId="Tiret">
    <w:name w:val="Tiret"/>
    <w:basedOn w:val="Normal"/>
    <w:next w:val="Corpsdetexte"/>
    <w:uiPriority w:val="2"/>
    <w:qFormat/>
    <w:rsid w:val="006210F0"/>
    <w:pPr>
      <w:keepNext/>
      <w:keepLines/>
      <w:spacing w:after="300" w:line="360" w:lineRule="atLeast"/>
      <w:contextualSpacing/>
    </w:pPr>
    <w:rPr>
      <w:rFonts w:asciiTheme="majorHAnsi" w:eastAsiaTheme="majorEastAsia" w:hAnsiTheme="majorHAnsi" w:cstheme="majorBidi"/>
      <w:b/>
      <w:kern w:val="32"/>
      <w:sz w:val="28"/>
      <w:szCs w:val="52"/>
    </w:rPr>
  </w:style>
  <w:style w:type="paragraph" w:customStyle="1" w:styleId="Pagedegardetexte4">
    <w:name w:val="Page de garde texte 4"/>
    <w:basedOn w:val="Normal"/>
    <w:uiPriority w:val="99"/>
    <w:semiHidden/>
    <w:rsid w:val="00700F29"/>
    <w:pPr>
      <w:spacing w:line="220" w:lineRule="atLeast"/>
    </w:pPr>
    <w:rPr>
      <w:rFonts w:asciiTheme="majorHAnsi" w:hAnsiTheme="majorHAnsi"/>
      <w:b/>
      <w:sz w:val="18"/>
    </w:rPr>
  </w:style>
  <w:style w:type="table" w:customStyle="1" w:styleId="TableauEtatFR1">
    <w:name w:val="Tableau Etat FR1"/>
    <w:basedOn w:val="TableauNormal"/>
    <w:uiPriority w:val="99"/>
    <w:rsid w:val="00FD0818"/>
    <w:pPr>
      <w:spacing w:beforeAutospacing="1" w:afterAutospacing="1" w:line="240" w:lineRule="auto"/>
    </w:pPr>
    <w:rPr>
      <w:rFonts w:ascii="Arial" w:hAnsi="Arial"/>
      <w:color w:val="7F7F7F" w:themeColor="text1" w:themeTint="80"/>
      <w:sz w:val="20"/>
      <w:szCs w:val="24"/>
    </w:rPr>
    <w:tblPr>
      <w:tblBorders>
        <w:top w:val="single" w:sz="12" w:space="0" w:color="000000" w:themeColor="text1"/>
        <w:bottom w:val="single" w:sz="4" w:space="0" w:color="404040" w:themeColor="text1" w:themeTint="BF"/>
        <w:insideH w:val="single" w:sz="4" w:space="0" w:color="404040" w:themeColor="text1" w:themeTint="BF"/>
        <w:insideV w:val="single" w:sz="48" w:space="0" w:color="FFFFFF" w:themeColor="background1"/>
      </w:tblBorders>
      <w:tblCellMar>
        <w:top w:w="28" w:type="dxa"/>
        <w:left w:w="0" w:type="dxa"/>
        <w:bottom w:w="28" w:type="dxa"/>
        <w:right w:w="0" w:type="dxa"/>
      </w:tblCellMar>
    </w:tblPr>
    <w:tblStylePr w:type="firstRow">
      <w:rPr>
        <w:b/>
        <w:color w:val="000000" w:themeColor="text1"/>
      </w:rPr>
      <w:tblPr>
        <w:tblCellMar>
          <w:top w:w="28" w:type="dxa"/>
          <w:left w:w="0" w:type="dxa"/>
          <w:bottom w:w="113" w:type="dxa"/>
          <w:right w:w="0" w:type="dxa"/>
        </w:tblCellMar>
      </w:tblPr>
      <w:trPr>
        <w:tblHeader/>
      </w:trPr>
      <w:tcPr>
        <w:tcBorders>
          <w:top w:val="single" w:sz="12" w:space="0" w:color="000000" w:themeColor="text1"/>
          <w:left w:val="nil"/>
          <w:bottom w:val="single" w:sz="4" w:space="0" w:color="404040" w:themeColor="text1" w:themeTint="BF"/>
          <w:right w:val="nil"/>
          <w:insideH w:val="nil"/>
          <w:insideV w:val="single" w:sz="48" w:space="0" w:color="FFFFFF" w:themeColor="background1"/>
          <w:tl2br w:val="nil"/>
          <w:tr2bl w:val="nil"/>
        </w:tcBorders>
      </w:tcPr>
    </w:tblStylePr>
    <w:tblStylePr w:type="lastRow">
      <w:rPr>
        <w:b/>
      </w:rPr>
      <w:tblPr/>
      <w:tcPr>
        <w:tcBorders>
          <w:top w:val="single" w:sz="4" w:space="0" w:color="404040" w:themeColor="text1" w:themeTint="BF"/>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000000" w:themeColor="text1"/>
      </w:rPr>
    </w:tblStylePr>
    <w:tblStylePr w:type="lastCol">
      <w:rPr>
        <w:b w:val="0"/>
        <w:color w:val="000000" w:themeColor="text1"/>
      </w:rPr>
    </w:tblStylePr>
  </w:style>
  <w:style w:type="paragraph" w:customStyle="1" w:styleId="Listealphabtique">
    <w:name w:val="Liste alphabétique"/>
    <w:basedOn w:val="Paragraphedeliste"/>
    <w:qFormat/>
    <w:rsid w:val="00A1567B"/>
    <w:pPr>
      <w:numPr>
        <w:numId w:val="21"/>
      </w:numPr>
      <w:ind w:left="397" w:hanging="397"/>
    </w:pPr>
  </w:style>
  <w:style w:type="paragraph" w:customStyle="1" w:styleId="Listealphabtique2">
    <w:name w:val="Liste alphabétique 2"/>
    <w:basedOn w:val="Listealphabtique"/>
    <w:qFormat/>
    <w:rsid w:val="00CB5766"/>
    <w:pPr>
      <w:ind w:left="794"/>
    </w:pPr>
  </w:style>
  <w:style w:type="paragraph" w:customStyle="1" w:styleId="TitreArticleloi">
    <w:name w:val="Titre Article loi"/>
    <w:basedOn w:val="Normal"/>
    <w:next w:val="Normal"/>
    <w:uiPriority w:val="4"/>
    <w:qFormat/>
    <w:rsid w:val="00A9205A"/>
    <w:pPr>
      <w:keepNext/>
      <w:keepLines/>
      <w:spacing w:line="240" w:lineRule="auto"/>
    </w:pPr>
    <w:rPr>
      <w:rFonts w:asciiTheme="majorHAnsi" w:hAnsiTheme="majorHAnsi" w:cstheme="majorHAnsi"/>
      <w:b/>
      <w:i/>
      <w:color w:val="000000" w:themeColor="text1"/>
    </w:rPr>
  </w:style>
  <w:style w:type="paragraph" w:customStyle="1" w:styleId="05titreprincipalouobjetgras">
    <w:name w:val="05_titre_principal_ou_objet_gras"/>
    <w:qFormat/>
    <w:rsid w:val="00A9205A"/>
    <w:pPr>
      <w:spacing w:line="280" w:lineRule="exact"/>
    </w:pPr>
    <w:rPr>
      <w:rFonts w:ascii="Arial" w:eastAsia="Times New Roman" w:hAnsi="Arial" w:cs="Times New Roman"/>
      <w:b/>
      <w:sz w:val="28"/>
      <w:szCs w:val="24"/>
      <w:lang w:val="fr-FR" w:eastAsia="fr-FR"/>
    </w:rPr>
  </w:style>
  <w:style w:type="paragraph" w:customStyle="1" w:styleId="04titreprincipalouobjetnormal">
    <w:name w:val="04_titre_principal_ou_objet_normal"/>
    <w:basedOn w:val="05titreprincipalouobjetgras"/>
    <w:qFormat/>
    <w:rsid w:val="000000BC"/>
    <w:pPr>
      <w:spacing w:after="480"/>
    </w:pPr>
    <w:rPr>
      <w:b w:val="0"/>
    </w:rPr>
  </w:style>
  <w:style w:type="paragraph" w:customStyle="1" w:styleId="12annexecontactrenseignementsetc">
    <w:name w:val="12_annexe_contact_renseignements_etc."/>
    <w:qFormat/>
    <w:rsid w:val="0037650B"/>
    <w:pPr>
      <w:spacing w:before="0" w:after="0" w:line="220" w:lineRule="exact"/>
    </w:pPr>
    <w:rPr>
      <w:rFonts w:ascii="Arial" w:eastAsia="Times New Roman" w:hAnsi="Arial" w:cs="Times New Roman"/>
      <w:sz w:val="16"/>
      <w:szCs w:val="24"/>
      <w:lang w:val="fr-FR" w:eastAsia="fr-FR"/>
    </w:rPr>
  </w:style>
  <w:style w:type="paragraph" w:customStyle="1" w:styleId="06lead">
    <w:name w:val="06_lead"/>
    <w:basedOn w:val="Normal"/>
    <w:qFormat/>
    <w:rsid w:val="00B01E1B"/>
    <w:pPr>
      <w:spacing w:line="280" w:lineRule="exact"/>
    </w:pPr>
    <w:rPr>
      <w:rFonts w:ascii="Times New Roman" w:eastAsia="Times New Roman" w:hAnsi="Times New Roman" w:cs="Times New Roman"/>
      <w:i/>
      <w:szCs w:val="24"/>
      <w:lang w:val="fr-FR" w:eastAsia="fr-FR"/>
    </w:rPr>
  </w:style>
  <w:style w:type="character" w:styleId="Mentionnonrsolue">
    <w:name w:val="Unresolved Mention"/>
    <w:basedOn w:val="Policepardfaut"/>
    <w:uiPriority w:val="99"/>
    <w:rsid w:val="0084765D"/>
    <w:rPr>
      <w:color w:val="605E5C"/>
      <w:shd w:val="clear" w:color="auto" w:fill="E1DFDD"/>
    </w:rPr>
  </w:style>
  <w:style w:type="paragraph" w:customStyle="1" w:styleId="xmsonormal">
    <w:name w:val="x_msonormal"/>
    <w:basedOn w:val="Normal"/>
    <w:rsid w:val="005B16E5"/>
    <w:pPr>
      <w:spacing w:before="0" w:after="0" w:line="240" w:lineRule="auto"/>
    </w:pPr>
    <w:rPr>
      <w:rFonts w:ascii="Calibri" w:hAnsi="Calibri" w:cs="Calibri"/>
      <w:sz w:val="22"/>
      <w:szCs w:val="22"/>
      <w:lang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43260">
      <w:bodyDiv w:val="1"/>
      <w:marLeft w:val="0"/>
      <w:marRight w:val="0"/>
      <w:marTop w:val="0"/>
      <w:marBottom w:val="0"/>
      <w:divBdr>
        <w:top w:val="none" w:sz="0" w:space="0" w:color="auto"/>
        <w:left w:val="none" w:sz="0" w:space="0" w:color="auto"/>
        <w:bottom w:val="none" w:sz="0" w:space="0" w:color="auto"/>
        <w:right w:val="none" w:sz="0" w:space="0" w:color="auto"/>
      </w:divBdr>
    </w:div>
    <w:div w:id="802622915">
      <w:bodyDiv w:val="1"/>
      <w:marLeft w:val="0"/>
      <w:marRight w:val="0"/>
      <w:marTop w:val="0"/>
      <w:marBottom w:val="0"/>
      <w:divBdr>
        <w:top w:val="none" w:sz="0" w:space="0" w:color="auto"/>
        <w:left w:val="none" w:sz="0" w:space="0" w:color="auto"/>
        <w:bottom w:val="none" w:sz="0" w:space="0" w:color="auto"/>
        <w:right w:val="none" w:sz="0" w:space="0" w:color="auto"/>
      </w:divBdr>
    </w:div>
    <w:div w:id="153434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newsd.admin.ch/newsd/message/attachments/69192.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CMI\FR\Vorlagen\fr_RGC_.dotx" TargetMode="External"/></Relationships>
</file>

<file path=word/theme/theme1.xml><?xml version="1.0" encoding="utf-8"?>
<a:theme xmlns:a="http://schemas.openxmlformats.org/drawingml/2006/main" name="CHA">
  <a:themeElements>
    <a:clrScheme name="CHA">
      <a:dk1>
        <a:sysClr val="windowText" lastClr="000000"/>
      </a:dk1>
      <a:lt1>
        <a:sysClr val="window" lastClr="FFFFFF"/>
      </a:lt1>
      <a:dk2>
        <a:srgbClr val="777777"/>
      </a:dk2>
      <a:lt2>
        <a:srgbClr val="C0C0C0"/>
      </a:lt2>
      <a:accent1>
        <a:srgbClr val="CCEAE6"/>
      </a:accent1>
      <a:accent2>
        <a:srgbClr val="66BFB3"/>
      </a:accent2>
      <a:accent3>
        <a:srgbClr val="009581"/>
      </a:accent3>
      <a:accent4>
        <a:srgbClr val="00594D"/>
      </a:accent4>
      <a:accent5>
        <a:srgbClr val="001E1A"/>
      </a:accent5>
      <a:accent6>
        <a:srgbClr val="C0C0C0"/>
      </a:accent6>
      <a:hlink>
        <a:srgbClr val="009581"/>
      </a:hlink>
      <a:folHlink>
        <a:srgbClr val="66BFB3"/>
      </a:folHlink>
    </a:clrScheme>
    <a:fontScheme name="EtatF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accent3">
            <a:shade val="50000"/>
          </a:schemeClr>
        </a:lnRef>
        <a:fillRef idx="1">
          <a:schemeClr val="accent3"/>
        </a:fillRef>
        <a:effectRef idx="0">
          <a:schemeClr val="accent3"/>
        </a:effectRef>
        <a:fontRef idx="minor">
          <a:schemeClr val="lt1"/>
        </a:fontRef>
      </a:style>
    </a:spDef>
    <a:txDef>
      <a:spPr>
        <a:noFill/>
      </a:spPr>
      <a:bodyPr wrap="none" lIns="0" tIns="0" rIns="0" bIns="0" rtlCol="0" anchor="ctr" anchorCtr="0">
        <a:spAutoFit/>
      </a:bodyPr>
      <a:lstStyle>
        <a:defPPr>
          <a:defRPr dirty="0" smtClean="0"/>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0E6420F78FFB48AE0EA7E03E71724E" ma:contentTypeVersion="2" ma:contentTypeDescription="Crée un document." ma:contentTypeScope="" ma:versionID="9c101b193da6ff7524eceb0f88213492">
  <xsd:schema xmlns:xsd="http://www.w3.org/2001/XMLSchema" xmlns:xs="http://www.w3.org/2001/XMLSchema" xmlns:p="http://schemas.microsoft.com/office/2006/metadata/properties" xmlns:ns2="0b66ecae-dd63-42c5-b151-64c934803fae" targetNamespace="http://schemas.microsoft.com/office/2006/metadata/properties" ma:root="true" ma:fieldsID="4f95caf217f3dbd1eb4130b51f71a8cc" ns2:_="">
    <xsd:import namespace="0b66ecae-dd63-42c5-b151-64c934803fa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6ecae-dd63-42c5-b151-64c934803f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3B520-C08A-487B-B4A2-54BD9A0BE8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A3EE88-7075-4E1A-9F93-9539ABA9D51D}">
  <ds:schemaRefs>
    <ds:schemaRef ds:uri="http://schemas.microsoft.com/sharepoint/v3/contenttype/forms"/>
  </ds:schemaRefs>
</ds:datastoreItem>
</file>

<file path=customXml/itemProps3.xml><?xml version="1.0" encoding="utf-8"?>
<ds:datastoreItem xmlns:ds="http://schemas.openxmlformats.org/officeDocument/2006/customXml" ds:itemID="{99714881-45DE-4C0F-A2E5-53D454A13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66ecae-dd63-42c5-b151-64c934803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E4CE2-8E5B-44B4-B5F3-E32224067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fr_RGC_.dotx</Template>
  <TotalTime>0</TotalTime>
  <Pages>9</Pages>
  <Words>4665</Words>
  <Characters>25662</Characters>
  <Application>Microsoft Office Word</Application>
  <DocSecurity>0</DocSecurity>
  <Lines>213</Lines>
  <Paragraphs>60</Paragraphs>
  <ScaleCrop>false</ScaleCrop>
  <HeadingPairs>
    <vt:vector size="2" baseType="variant">
      <vt:variant>
        <vt:lpstr>Titre</vt:lpstr>
      </vt:variant>
      <vt:variant>
        <vt:i4>1</vt:i4>
      </vt:variant>
    </vt:vector>
  </HeadingPairs>
  <TitlesOfParts>
    <vt:vector size="1" baseType="lpstr">
      <vt:lpstr/>
    </vt:vector>
  </TitlesOfParts>
  <Company>Etat de Fribourg</Company>
  <LinksUpToDate>false</LinksUpToDate>
  <CharactersWithSpaces>30267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Dépraz Cédric</dc:creator>
  <cp:lastModifiedBy>Aeby Pascal</cp:lastModifiedBy>
  <cp:revision>129</cp:revision>
  <cp:lastPrinted>2024-01-25T13:27:00Z</cp:lastPrinted>
  <dcterms:created xsi:type="dcterms:W3CDTF">2024-02-19T10:52:00Z</dcterms:created>
  <dcterms:modified xsi:type="dcterms:W3CDTF">2024-03-13T14:47:00Z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0x010100770E6420F78FFB48AE0EA7E03E71724E</vt:lpwstr>
  </property>
</Properties>
</file>