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C7B" w:rsidRPr="001D78AE" w:rsidRDefault="00963834" w:rsidP="00D00C7B">
      <w:pPr>
        <w:pStyle w:val="Actetitre"/>
      </w:pPr>
      <w:r w:rsidRPr="001D78AE">
        <w:t>Ordonnance</w:t>
      </w:r>
    </w:p>
    <w:p w:rsidR="00D00C7B" w:rsidRPr="001D78AE" w:rsidRDefault="00D00C7B" w:rsidP="00D00C7B">
      <w:pPr>
        <w:pStyle w:val="Actedate"/>
      </w:pPr>
      <w:proofErr w:type="gramStart"/>
      <w:r w:rsidRPr="001D78AE">
        <w:t>du</w:t>
      </w:r>
      <w:proofErr w:type="gramEnd"/>
    </w:p>
    <w:p w:rsidR="00D00C7B" w:rsidRPr="001D78AE" w:rsidRDefault="00D00C7B" w:rsidP="00D00C7B">
      <w:pPr>
        <w:pStyle w:val="Actetitre2"/>
      </w:pPr>
      <w:r w:rsidRPr="001D78AE">
        <w:t>sur les finances communales (</w:t>
      </w:r>
      <w:r w:rsidR="00C34F0B" w:rsidRPr="001D78AE">
        <w:t>O</w:t>
      </w:r>
      <w:r w:rsidRPr="001D78AE">
        <w:t>FCo)</w:t>
      </w:r>
    </w:p>
    <w:p w:rsidR="00D00C7B" w:rsidRPr="001D78AE" w:rsidRDefault="00D00C7B" w:rsidP="00D00C7B">
      <w:pPr>
        <w:pStyle w:val="Actetrait"/>
      </w:pPr>
    </w:p>
    <w:p w:rsidR="00D00C7B" w:rsidRPr="001D78AE" w:rsidRDefault="00963834" w:rsidP="00D00C7B">
      <w:pPr>
        <w:pStyle w:val="Prambule"/>
      </w:pPr>
      <w:r w:rsidRPr="001D78AE">
        <w:t>Le Conseil d</w:t>
      </w:r>
      <w:r w:rsidR="007061E8" w:rsidRPr="001D78AE">
        <w:t>’</w:t>
      </w:r>
      <w:r w:rsidRPr="001D78AE">
        <w:t xml:space="preserve">Etat </w:t>
      </w:r>
      <w:r w:rsidR="00D00C7B" w:rsidRPr="001D78AE">
        <w:t>du canton de Fribourg</w:t>
      </w:r>
    </w:p>
    <w:p w:rsidR="00963834" w:rsidRPr="001D78AE" w:rsidRDefault="001053BB" w:rsidP="00D00C7B">
      <w:pPr>
        <w:pStyle w:val="Vu"/>
      </w:pPr>
      <w:r w:rsidRPr="001D78AE">
        <w:t xml:space="preserve">Vu </w:t>
      </w:r>
      <w:r w:rsidR="00963834" w:rsidRPr="001D78AE">
        <w:t>la loi sur les finances communales</w:t>
      </w:r>
      <w:r w:rsidR="001D78AE">
        <w:t xml:space="preserve"> (LFCo</w:t>
      </w:r>
      <w:r w:rsidR="00B93A02">
        <w:t>)</w:t>
      </w:r>
      <w:r w:rsidR="001D78AE">
        <w:t xml:space="preserve"> </w:t>
      </w:r>
      <w:r w:rsidR="00B93A02">
        <w:t>du 22 mars 2018</w:t>
      </w:r>
      <w:r w:rsidR="006D0BFD">
        <w:t> ;</w:t>
      </w:r>
    </w:p>
    <w:p w:rsidR="007061E8" w:rsidRPr="001D78AE" w:rsidRDefault="001053BB" w:rsidP="00D00C7B">
      <w:pPr>
        <w:pStyle w:val="Vu"/>
      </w:pPr>
      <w:r w:rsidRPr="001D78AE">
        <w:t>Sur l</w:t>
      </w:r>
      <w:r w:rsidR="00C34F0B" w:rsidRPr="001D78AE">
        <w:t>a proposition de la Direction des institutions, de l</w:t>
      </w:r>
      <w:r w:rsidR="007061E8" w:rsidRPr="001D78AE">
        <w:t>’</w:t>
      </w:r>
      <w:r w:rsidR="00C34F0B" w:rsidRPr="001D78AE">
        <w:t>agriculture et des forêts,</w:t>
      </w:r>
    </w:p>
    <w:p w:rsidR="00D00C7B" w:rsidRPr="001D78AE" w:rsidRDefault="00D00C7B" w:rsidP="00D00C7B">
      <w:pPr>
        <w:pStyle w:val="Dcrte"/>
      </w:pPr>
      <w:r w:rsidRPr="001D78AE">
        <w:t>Décrète</w:t>
      </w:r>
      <w:r w:rsidR="007061E8" w:rsidRPr="001D78AE">
        <w:t> :</w:t>
      </w:r>
    </w:p>
    <w:p w:rsidR="00D00C7B" w:rsidRPr="001D78AE" w:rsidRDefault="00D00C7B" w:rsidP="00965334">
      <w:pPr>
        <w:pStyle w:val="Titre1"/>
      </w:pPr>
      <w:bookmarkStart w:id="0" w:name="_Toc379958454"/>
      <w:bookmarkStart w:id="1" w:name="_Toc522697257"/>
      <w:r w:rsidRPr="001D78AE">
        <w:t>CHAPITRE PREMIER</w:t>
      </w:r>
      <w:r w:rsidRPr="001D78AE">
        <w:br/>
      </w:r>
      <w:bookmarkEnd w:id="0"/>
      <w:r w:rsidR="00352101" w:rsidRPr="001D78AE">
        <w:t>Dispositions générales</w:t>
      </w:r>
      <w:bookmarkEnd w:id="1"/>
    </w:p>
    <w:p w:rsidR="00352101" w:rsidRPr="001D78AE" w:rsidRDefault="00352101" w:rsidP="00451873">
      <w:pPr>
        <w:pStyle w:val="NoArt"/>
      </w:pPr>
      <w:bookmarkStart w:id="2" w:name="_Toc522697258"/>
      <w:r w:rsidRPr="001D78AE">
        <w:rPr>
          <w:b/>
        </w:rPr>
        <w:t>Art. 1</w:t>
      </w:r>
      <w:r w:rsidRPr="001D78AE">
        <w:tab/>
        <w:t>Champ d</w:t>
      </w:r>
      <w:r w:rsidR="007061E8" w:rsidRPr="001D78AE">
        <w:t>’</w:t>
      </w:r>
      <w:r w:rsidRPr="001D78AE">
        <w:t>application (art. 2 al. 3 LFCo)</w:t>
      </w:r>
      <w:bookmarkEnd w:id="2"/>
    </w:p>
    <w:p w:rsidR="007061E8" w:rsidRPr="001D78AE" w:rsidRDefault="00264379" w:rsidP="00352101">
      <w:r w:rsidRPr="001D78AE">
        <w:rPr>
          <w:rStyle w:val="Appelnotedebasdep"/>
          <w:position w:val="6"/>
          <w:sz w:val="14"/>
          <w:vertAlign w:val="baseline"/>
        </w:rPr>
        <w:t>1</w:t>
      </w:r>
      <w:r w:rsidRPr="001D78AE">
        <w:rPr>
          <w:position w:val="6"/>
          <w:sz w:val="14"/>
        </w:rPr>
        <w:t xml:space="preserve"> </w:t>
      </w:r>
      <w:r w:rsidR="00B93A02">
        <w:t>Toutes l</w:t>
      </w:r>
      <w:r w:rsidR="00451873" w:rsidRPr="001D78AE">
        <w:t>es collectivités publiques locales sont soumises à la loi sur les finances communales</w:t>
      </w:r>
      <w:r w:rsidR="00F474BC">
        <w:t>.</w:t>
      </w:r>
      <w:r w:rsidR="00B93A02">
        <w:t xml:space="preserve"> </w:t>
      </w:r>
      <w:r w:rsidR="00F474BC">
        <w:t>L</w:t>
      </w:r>
      <w:r w:rsidR="00B93A02">
        <w:t>es</w:t>
      </w:r>
      <w:r w:rsidR="00451873" w:rsidRPr="001D78AE">
        <w:t xml:space="preserve"> règles </w:t>
      </w:r>
      <w:r w:rsidR="00B93A02">
        <w:t>relatives</w:t>
      </w:r>
      <w:r w:rsidR="00451873" w:rsidRPr="001D78AE">
        <w:t xml:space="preserve"> à la perception de l</w:t>
      </w:r>
      <w:r w:rsidR="007061E8" w:rsidRPr="001D78AE">
        <w:t>’</w:t>
      </w:r>
      <w:r w:rsidR="00451873" w:rsidRPr="001D78AE">
        <w:t>impôt</w:t>
      </w:r>
      <w:r w:rsidR="00B93A02">
        <w:t xml:space="preserve"> ne concernent que les communes</w:t>
      </w:r>
      <w:r w:rsidR="00451873" w:rsidRPr="001D78AE">
        <w:t>.</w:t>
      </w:r>
    </w:p>
    <w:p w:rsidR="006C3A1F" w:rsidRPr="001D78AE" w:rsidRDefault="006C3A1F" w:rsidP="006C3A1F">
      <w:pPr>
        <w:pStyle w:val="NoArt"/>
      </w:pPr>
      <w:bookmarkStart w:id="3" w:name="_Toc522697259"/>
      <w:r w:rsidRPr="001D78AE">
        <w:rPr>
          <w:b/>
        </w:rPr>
        <w:t>Art. 2</w:t>
      </w:r>
      <w:r w:rsidRPr="001D78AE">
        <w:tab/>
        <w:t>Patrimoines financier et administratif</w:t>
      </w:r>
      <w:r w:rsidR="00C63432" w:rsidRPr="001D78AE">
        <w:t xml:space="preserve"> (art. 3 </w:t>
      </w:r>
      <w:r w:rsidR="005C2FCD" w:rsidRPr="001D78AE">
        <w:t xml:space="preserve">al. 1 </w:t>
      </w:r>
      <w:r w:rsidR="00C63432" w:rsidRPr="001D78AE">
        <w:t>let. a et b</w:t>
      </w:r>
      <w:r w:rsidR="005C2FCD" w:rsidRPr="001D78AE">
        <w:t xml:space="preserve"> et al.</w:t>
      </w:r>
      <w:r w:rsidR="005D290E">
        <w:t> </w:t>
      </w:r>
      <w:r w:rsidR="005C2FCD" w:rsidRPr="001D78AE">
        <w:t>2</w:t>
      </w:r>
      <w:r w:rsidR="00C63432" w:rsidRPr="001D78AE">
        <w:t xml:space="preserve"> LFCo)</w:t>
      </w:r>
      <w:bookmarkEnd w:id="3"/>
    </w:p>
    <w:p w:rsidR="005D290E" w:rsidRPr="001D78AE" w:rsidRDefault="000E0EF0" w:rsidP="00510D33">
      <w:r w:rsidRPr="001D78AE">
        <w:rPr>
          <w:rStyle w:val="Appelnotedebasdep"/>
          <w:position w:val="6"/>
          <w:sz w:val="14"/>
          <w:vertAlign w:val="baseline"/>
        </w:rPr>
        <w:t>1</w:t>
      </w:r>
      <w:r w:rsidRPr="001D78AE">
        <w:rPr>
          <w:position w:val="6"/>
          <w:sz w:val="14"/>
        </w:rPr>
        <w:t xml:space="preserve"> </w:t>
      </w:r>
      <w:r w:rsidRPr="001D78AE">
        <w:t>L</w:t>
      </w:r>
      <w:r w:rsidR="003735CA" w:rsidRPr="001D78AE">
        <w:t>e</w:t>
      </w:r>
      <w:r w:rsidR="00510D33" w:rsidRPr="001D78AE">
        <w:t>s biens du patrimoine financier peuvent être aliénés sans que la poursuite d</w:t>
      </w:r>
      <w:r w:rsidR="007061E8" w:rsidRPr="001D78AE">
        <w:t>’</w:t>
      </w:r>
      <w:r w:rsidR="00510D33" w:rsidRPr="001D78AE">
        <w:t>un intérêt public de la commune n</w:t>
      </w:r>
      <w:r w:rsidR="007061E8" w:rsidRPr="001D78AE">
        <w:t>’</w:t>
      </w:r>
      <w:r w:rsidR="00510D33" w:rsidRPr="001D78AE">
        <w:t>en soit compromise</w:t>
      </w:r>
      <w:r w:rsidR="00C76E66" w:rsidRPr="001D78AE">
        <w:t>.</w:t>
      </w:r>
    </w:p>
    <w:p w:rsidR="007061E8" w:rsidRDefault="000E0EF0" w:rsidP="00510D33">
      <w:r w:rsidRPr="001D78AE">
        <w:rPr>
          <w:rStyle w:val="Appelnotedebasdep"/>
          <w:position w:val="6"/>
          <w:sz w:val="14"/>
          <w:vertAlign w:val="baseline"/>
        </w:rPr>
        <w:t xml:space="preserve">2 </w:t>
      </w:r>
      <w:r w:rsidR="00B93A02">
        <w:t>L</w:t>
      </w:r>
      <w:r w:rsidR="00C76E66" w:rsidRPr="001D78AE">
        <w:t>es biens qui ne font pas partie du patrimoine financier relèvent du patrimoine administratif</w:t>
      </w:r>
      <w:r w:rsidR="00B93A02">
        <w:t>, sous réserve de l’alinéa 3.</w:t>
      </w:r>
    </w:p>
    <w:p w:rsidR="005D290E" w:rsidRDefault="005D290E" w:rsidP="00110FF4">
      <w:pPr>
        <w:tabs>
          <w:tab w:val="left" w:pos="2429"/>
        </w:tabs>
      </w:pPr>
      <w:r w:rsidRPr="005D290E">
        <w:rPr>
          <w:vertAlign w:val="superscript"/>
        </w:rPr>
        <w:t>3</w:t>
      </w:r>
      <w:r>
        <w:t xml:space="preserve"> Lorsqu’un immeuble </w:t>
      </w:r>
      <w:r w:rsidR="00110FF4">
        <w:t>se compose d’éléments relevant du patrimoine financier et du patrimoine administratif, ceux-ci sont comptabilisés dans les patrimoines respectifs</w:t>
      </w:r>
      <w:r w:rsidR="00B93A02">
        <w:t xml:space="preserve"> au prorata des surfaces utiles</w:t>
      </w:r>
      <w:r w:rsidR="00110FF4">
        <w:t>.</w:t>
      </w:r>
    </w:p>
    <w:p w:rsidR="00110FF4" w:rsidRPr="001D78AE" w:rsidRDefault="00110FF4" w:rsidP="00110FF4">
      <w:pPr>
        <w:tabs>
          <w:tab w:val="left" w:pos="2429"/>
        </w:tabs>
      </w:pPr>
      <w:r w:rsidRPr="00110FF4">
        <w:rPr>
          <w:vertAlign w:val="superscript"/>
        </w:rPr>
        <w:t>4</w:t>
      </w:r>
      <w:r>
        <w:t xml:space="preserve"> Les directives du Service en charge des communes (ci-après : le Service) précisent les patrimoines financier et administratif</w:t>
      </w:r>
      <w:r w:rsidR="00B93A02">
        <w:t xml:space="preserve"> ainsi que le mode de répartition des biens mixtes</w:t>
      </w:r>
      <w:r>
        <w:t>.</w:t>
      </w:r>
    </w:p>
    <w:p w:rsidR="00C76E66" w:rsidRPr="001D78AE" w:rsidRDefault="00C76E66" w:rsidP="00C76E66">
      <w:pPr>
        <w:pStyle w:val="NoArt"/>
        <w:rPr>
          <w:lang w:val="en-US"/>
        </w:rPr>
      </w:pPr>
      <w:bookmarkStart w:id="4" w:name="_Toc522697260"/>
      <w:r w:rsidRPr="001D78AE">
        <w:rPr>
          <w:b/>
          <w:lang w:val="en-US"/>
        </w:rPr>
        <w:t>Art. 3</w:t>
      </w:r>
      <w:r w:rsidRPr="001D78AE">
        <w:rPr>
          <w:lang w:val="en-US"/>
        </w:rPr>
        <w:tab/>
      </w:r>
      <w:proofErr w:type="spellStart"/>
      <w:r w:rsidRPr="001D78AE">
        <w:rPr>
          <w:lang w:val="en-US"/>
        </w:rPr>
        <w:t>Dépense</w:t>
      </w:r>
      <w:r w:rsidR="00792D50" w:rsidRPr="001D78AE">
        <w:rPr>
          <w:lang w:val="en-US"/>
        </w:rPr>
        <w:t>s</w:t>
      </w:r>
      <w:proofErr w:type="spellEnd"/>
      <w:r w:rsidR="00C63432" w:rsidRPr="001D78AE">
        <w:rPr>
          <w:lang w:val="en-US"/>
        </w:rPr>
        <w:t xml:space="preserve"> (art. 3 </w:t>
      </w:r>
      <w:r w:rsidR="006C6EDE" w:rsidRPr="001D78AE">
        <w:rPr>
          <w:lang w:val="en-US"/>
        </w:rPr>
        <w:t xml:space="preserve">al. 1 </w:t>
      </w:r>
      <w:r w:rsidR="00C63432" w:rsidRPr="001D78AE">
        <w:rPr>
          <w:lang w:val="en-US"/>
        </w:rPr>
        <w:t>let. c LFCo)</w:t>
      </w:r>
      <w:bookmarkEnd w:id="4"/>
    </w:p>
    <w:p w:rsidR="007061E8" w:rsidRPr="001D78AE" w:rsidRDefault="00264379" w:rsidP="006C3A1F">
      <w:r w:rsidRPr="001D78AE">
        <w:rPr>
          <w:rStyle w:val="Appelnotedebasdep"/>
          <w:position w:val="6"/>
          <w:sz w:val="14"/>
          <w:vertAlign w:val="baseline"/>
        </w:rPr>
        <w:t>1</w:t>
      </w:r>
      <w:r w:rsidRPr="001D78AE">
        <w:rPr>
          <w:position w:val="6"/>
          <w:sz w:val="14"/>
        </w:rPr>
        <w:t xml:space="preserve"> </w:t>
      </w:r>
      <w:r w:rsidR="00792D50" w:rsidRPr="001D78AE">
        <w:t>Les opérations suivantes sont assimilées à des dépenses</w:t>
      </w:r>
      <w:r w:rsidR="00C63432" w:rsidRPr="001D78AE">
        <w:t xml:space="preserve">, même si elles concernent </w:t>
      </w:r>
      <w:r w:rsidR="009F1454" w:rsidRPr="001D78AE">
        <w:t>un bien du patrimoine financier</w:t>
      </w:r>
      <w:r w:rsidR="007061E8" w:rsidRPr="001D78AE">
        <w:t> :</w:t>
      </w:r>
    </w:p>
    <w:p w:rsidR="00792D50" w:rsidRPr="001D78AE" w:rsidRDefault="009F1454" w:rsidP="009F1454">
      <w:pPr>
        <w:pStyle w:val="Structure1"/>
        <w:jc w:val="left"/>
      </w:pPr>
      <w:r w:rsidRPr="001D78AE">
        <w:lastRenderedPageBreak/>
        <w:t>a)</w:t>
      </w:r>
      <w:r w:rsidR="00792D50" w:rsidRPr="001D78AE">
        <w:tab/>
        <w:t>l</w:t>
      </w:r>
      <w:r w:rsidR="007061E8" w:rsidRPr="001D78AE">
        <w:t>’</w:t>
      </w:r>
      <w:r w:rsidR="00792D50" w:rsidRPr="001D78AE">
        <w:t>octroi de pr</w:t>
      </w:r>
      <w:r w:rsidRPr="001D78AE">
        <w:t>êts</w:t>
      </w:r>
      <w:r w:rsidR="007061E8" w:rsidRPr="001D78AE">
        <w:t> ;</w:t>
      </w:r>
    </w:p>
    <w:p w:rsidR="00792D50" w:rsidRPr="001D78AE" w:rsidRDefault="009F1454" w:rsidP="009F1454">
      <w:pPr>
        <w:pStyle w:val="Structure1"/>
        <w:jc w:val="left"/>
      </w:pPr>
      <w:r w:rsidRPr="001D78AE">
        <w:t>b)</w:t>
      </w:r>
      <w:r w:rsidR="00792D50" w:rsidRPr="001D78AE">
        <w:tab/>
        <w:t>les cautionnements et</w:t>
      </w:r>
      <w:r w:rsidRPr="001D78AE">
        <w:t xml:space="preserve"> la fourniture d</w:t>
      </w:r>
      <w:r w:rsidR="007061E8" w:rsidRPr="001D78AE">
        <w:t>’</w:t>
      </w:r>
      <w:r w:rsidRPr="001D78AE">
        <w:t>autres sûretés</w:t>
      </w:r>
      <w:r w:rsidR="007061E8" w:rsidRPr="001D78AE">
        <w:t> ;</w:t>
      </w:r>
    </w:p>
    <w:p w:rsidR="00792D50" w:rsidRPr="001D78AE" w:rsidRDefault="009F1454" w:rsidP="009F1454">
      <w:pPr>
        <w:pStyle w:val="Structure1"/>
        <w:jc w:val="left"/>
      </w:pPr>
      <w:r w:rsidRPr="001D78AE">
        <w:t>c)</w:t>
      </w:r>
      <w:r w:rsidR="00792D50" w:rsidRPr="001D78AE">
        <w:tab/>
        <w:t>la participation à des personnes morales de droit privé</w:t>
      </w:r>
      <w:r w:rsidR="008A1ED3" w:rsidRPr="001D78AE">
        <w:t>, à l</w:t>
      </w:r>
      <w:r w:rsidR="007061E8" w:rsidRPr="001D78AE">
        <w:t>’</w:t>
      </w:r>
      <w:r w:rsidR="008A1ED3" w:rsidRPr="001D78AE">
        <w:t>exception des immobilisations du patrimoine financier</w:t>
      </w:r>
      <w:r w:rsidR="007061E8" w:rsidRPr="001D78AE">
        <w:t> ;</w:t>
      </w:r>
    </w:p>
    <w:p w:rsidR="00792D50" w:rsidRPr="001D78AE" w:rsidRDefault="009F1454" w:rsidP="009F1454">
      <w:pPr>
        <w:pStyle w:val="Structure1"/>
        <w:jc w:val="left"/>
      </w:pPr>
      <w:r w:rsidRPr="001D78AE">
        <w:t>d)</w:t>
      </w:r>
      <w:r w:rsidR="00792D50" w:rsidRPr="001D78AE">
        <w:tab/>
        <w:t xml:space="preserve">les actes juridiques relatifs à la propriété foncière et aux droits </w:t>
      </w:r>
      <w:r w:rsidRPr="001D78AE">
        <w:t>réels limités sur les immeubles</w:t>
      </w:r>
      <w:r w:rsidR="007061E8" w:rsidRPr="001D78AE">
        <w:t> ;</w:t>
      </w:r>
    </w:p>
    <w:p w:rsidR="00792D50" w:rsidRPr="001D78AE" w:rsidRDefault="009F1454" w:rsidP="009F1454">
      <w:pPr>
        <w:pStyle w:val="Structure1"/>
        <w:jc w:val="left"/>
      </w:pPr>
      <w:r w:rsidRPr="001D78AE">
        <w:t>e)</w:t>
      </w:r>
      <w:r w:rsidRPr="001D78AE">
        <w:tab/>
        <w:t>les placements immobiliers</w:t>
      </w:r>
      <w:r w:rsidR="007061E8" w:rsidRPr="001D78AE">
        <w:t> ;</w:t>
      </w:r>
    </w:p>
    <w:p w:rsidR="00792D50" w:rsidRPr="001D78AE" w:rsidRDefault="009F1454" w:rsidP="009F1454">
      <w:pPr>
        <w:pStyle w:val="Structure1"/>
        <w:jc w:val="left"/>
      </w:pPr>
      <w:r w:rsidRPr="001D78AE">
        <w:t>f)</w:t>
      </w:r>
      <w:r w:rsidR="00792D50" w:rsidRPr="001D78AE">
        <w:tab/>
        <w:t>la désaffectation d</w:t>
      </w:r>
      <w:r w:rsidR="007061E8" w:rsidRPr="001D78AE">
        <w:t>’</w:t>
      </w:r>
      <w:r w:rsidR="00792D50" w:rsidRPr="001D78AE">
        <w:t>éléments du patrimoine administratif</w:t>
      </w:r>
      <w:r w:rsidR="007061E8" w:rsidRPr="001D78AE">
        <w:t> ;</w:t>
      </w:r>
    </w:p>
    <w:p w:rsidR="00792D50" w:rsidRPr="001D78AE" w:rsidRDefault="009F1454" w:rsidP="009F1454">
      <w:pPr>
        <w:pStyle w:val="Structure1"/>
        <w:jc w:val="left"/>
      </w:pPr>
      <w:r w:rsidRPr="001D78AE">
        <w:t>g)</w:t>
      </w:r>
      <w:r w:rsidR="00792D50" w:rsidRPr="001D78AE">
        <w:tab/>
        <w:t>la renonciation</w:t>
      </w:r>
      <w:r w:rsidRPr="001D78AE">
        <w:t>, exceptionnellement,</w:t>
      </w:r>
      <w:r w:rsidR="00792D50" w:rsidRPr="001D78AE">
        <w:t xml:space="preserve"> à des recettes.</w:t>
      </w:r>
    </w:p>
    <w:p w:rsidR="00C76E66" w:rsidRPr="001D78AE" w:rsidRDefault="00C76E66" w:rsidP="00C76E66">
      <w:pPr>
        <w:pStyle w:val="NoArt"/>
      </w:pPr>
      <w:bookmarkStart w:id="5" w:name="_Toc522697261"/>
      <w:r w:rsidRPr="001D78AE">
        <w:rPr>
          <w:b/>
        </w:rPr>
        <w:t>Art. 4</w:t>
      </w:r>
      <w:r w:rsidRPr="001D78AE">
        <w:tab/>
        <w:t>Dépenses nouvelle et liée</w:t>
      </w:r>
      <w:r w:rsidR="00C63432" w:rsidRPr="001D78AE">
        <w:t xml:space="preserve"> (art. 3 </w:t>
      </w:r>
      <w:r w:rsidR="006C6EDE" w:rsidRPr="001D78AE">
        <w:t xml:space="preserve">al. 1 </w:t>
      </w:r>
      <w:r w:rsidR="00C63432" w:rsidRPr="001D78AE">
        <w:t>let. f et g LFCo)</w:t>
      </w:r>
      <w:bookmarkEnd w:id="5"/>
    </w:p>
    <w:p w:rsidR="007061E8" w:rsidRPr="001D78AE" w:rsidRDefault="00694AF3" w:rsidP="00917101">
      <w:r>
        <w:rPr>
          <w:rStyle w:val="Appelnotedebasdep"/>
          <w:position w:val="6"/>
          <w:sz w:val="14"/>
          <w:vertAlign w:val="baseline"/>
        </w:rPr>
        <w:t>1</w:t>
      </w:r>
      <w:r w:rsidRPr="001D78AE">
        <w:rPr>
          <w:position w:val="6"/>
          <w:sz w:val="14"/>
        </w:rPr>
        <w:t xml:space="preserve"> </w:t>
      </w:r>
      <w:r w:rsidR="00917101" w:rsidRPr="001D78AE">
        <w:t xml:space="preserve">Les </w:t>
      </w:r>
      <w:r w:rsidR="007876E8" w:rsidRPr="001D78AE">
        <w:t>dépenses qui ne sont pas liées sont</w:t>
      </w:r>
      <w:r w:rsidR="00444260" w:rsidRPr="001D78AE">
        <w:t xml:space="preserve"> des dépenses</w:t>
      </w:r>
      <w:r w:rsidR="007876E8" w:rsidRPr="001D78AE">
        <w:t xml:space="preserve"> nouvelles</w:t>
      </w:r>
      <w:r w:rsidR="00917101" w:rsidRPr="001D78AE">
        <w:t>.</w:t>
      </w:r>
    </w:p>
    <w:p w:rsidR="00965334" w:rsidRPr="001D78AE" w:rsidRDefault="006F489E" w:rsidP="006F489E">
      <w:pPr>
        <w:pStyle w:val="Titre1"/>
      </w:pPr>
      <w:bookmarkStart w:id="6" w:name="_Toc379958465"/>
      <w:bookmarkStart w:id="7" w:name="_Toc522697262"/>
      <w:r w:rsidRPr="001D78AE">
        <w:t>CHAPITRE 2</w:t>
      </w:r>
      <w:r w:rsidRPr="001D78AE">
        <w:br/>
        <w:t>Gestion des finances</w:t>
      </w:r>
      <w:bookmarkEnd w:id="6"/>
      <w:bookmarkEnd w:id="7"/>
    </w:p>
    <w:p w:rsidR="00965334" w:rsidRPr="001D78AE" w:rsidRDefault="00181680" w:rsidP="006F489E">
      <w:pPr>
        <w:pStyle w:val="Titre2"/>
      </w:pPr>
      <w:bookmarkStart w:id="8" w:name="_Toc379958466"/>
      <w:bookmarkStart w:id="9" w:name="_Toc522697263"/>
      <w:r w:rsidRPr="001D78AE">
        <w:t>1</w:t>
      </w:r>
      <w:r w:rsidR="006F489E" w:rsidRPr="001D78AE">
        <w:t xml:space="preserve">. </w:t>
      </w:r>
      <w:r w:rsidR="00965334" w:rsidRPr="001D78AE">
        <w:t>P</w:t>
      </w:r>
      <w:bookmarkEnd w:id="8"/>
      <w:r w:rsidR="006C3A1F" w:rsidRPr="001D78AE">
        <w:t>lan financier</w:t>
      </w:r>
      <w:bookmarkEnd w:id="9"/>
    </w:p>
    <w:p w:rsidR="006F37C2" w:rsidRPr="001D78AE" w:rsidRDefault="006F37C2" w:rsidP="006F37C2">
      <w:pPr>
        <w:pStyle w:val="NoArt"/>
        <w:rPr>
          <w:lang w:val="en-US"/>
        </w:rPr>
      </w:pPr>
      <w:bookmarkStart w:id="10" w:name="_Toc522697264"/>
      <w:r w:rsidRPr="001D78AE">
        <w:rPr>
          <w:b/>
          <w:lang w:val="en-US"/>
        </w:rPr>
        <w:t>Art.</w:t>
      </w:r>
      <w:r w:rsidR="009F1454" w:rsidRPr="001D78AE">
        <w:rPr>
          <w:b/>
          <w:lang w:val="en-US"/>
        </w:rPr>
        <w:t xml:space="preserve"> 5</w:t>
      </w:r>
      <w:r w:rsidRPr="001D78AE">
        <w:rPr>
          <w:b/>
          <w:lang w:val="en-US"/>
        </w:rPr>
        <w:tab/>
      </w:r>
      <w:r w:rsidRPr="001D78AE">
        <w:rPr>
          <w:lang w:val="en-US"/>
        </w:rPr>
        <w:t>Structure</w:t>
      </w:r>
      <w:r w:rsidR="00C63432" w:rsidRPr="001D78AE">
        <w:rPr>
          <w:lang w:val="en-US"/>
        </w:rPr>
        <w:t xml:space="preserve"> (art. 6 al. 4 LFCo)</w:t>
      </w:r>
      <w:bookmarkEnd w:id="10"/>
    </w:p>
    <w:p w:rsidR="003D6098" w:rsidRPr="001D78AE" w:rsidRDefault="004A6FBC" w:rsidP="003D6098">
      <w:r w:rsidRPr="001D78AE">
        <w:rPr>
          <w:rStyle w:val="Appelnotedebasdep"/>
          <w:position w:val="6"/>
          <w:sz w:val="14"/>
          <w:vertAlign w:val="baseline"/>
        </w:rPr>
        <w:t>1</w:t>
      </w:r>
      <w:r w:rsidRPr="001D78AE">
        <w:rPr>
          <w:position w:val="6"/>
          <w:sz w:val="14"/>
        </w:rPr>
        <w:t xml:space="preserve"> </w:t>
      </w:r>
      <w:r w:rsidR="003D6098" w:rsidRPr="001D78AE">
        <w:t>Dans le plan financier, les activités communales sont réparties en tâches principales, elles-mêmes subdivisées en groupes de tâches.</w:t>
      </w:r>
    </w:p>
    <w:p w:rsidR="003D6098" w:rsidRPr="001D78AE" w:rsidRDefault="004A6FBC" w:rsidP="004A6FBC">
      <w:r w:rsidRPr="001D78AE">
        <w:rPr>
          <w:rStyle w:val="Appelnotedebasdep"/>
          <w:position w:val="6"/>
          <w:sz w:val="14"/>
          <w:vertAlign w:val="baseline"/>
        </w:rPr>
        <w:t>2</w:t>
      </w:r>
      <w:r w:rsidRPr="001D78AE">
        <w:rPr>
          <w:position w:val="6"/>
          <w:sz w:val="14"/>
        </w:rPr>
        <w:t xml:space="preserve"> </w:t>
      </w:r>
      <w:r w:rsidR="003D6098" w:rsidRPr="001D78AE">
        <w:t>La prise en compte de l’évolution des chiffres du passé porte sur les trois dernières années comptables.</w:t>
      </w:r>
    </w:p>
    <w:p w:rsidR="006F37C2" w:rsidRPr="001D78AE" w:rsidRDefault="006F37C2" w:rsidP="006F37C2">
      <w:pPr>
        <w:pStyle w:val="NoArt"/>
      </w:pPr>
      <w:bookmarkStart w:id="11" w:name="_Toc522697265"/>
      <w:r w:rsidRPr="001D78AE">
        <w:rPr>
          <w:b/>
        </w:rPr>
        <w:t>Art.</w:t>
      </w:r>
      <w:r w:rsidR="005F4F81" w:rsidRPr="001D78AE">
        <w:rPr>
          <w:b/>
        </w:rPr>
        <w:t xml:space="preserve"> 6</w:t>
      </w:r>
      <w:r w:rsidRPr="001D78AE">
        <w:rPr>
          <w:b/>
        </w:rPr>
        <w:tab/>
      </w:r>
      <w:r w:rsidRPr="001D78AE">
        <w:t>Contenu</w:t>
      </w:r>
      <w:r w:rsidR="00C63432" w:rsidRPr="001D78AE">
        <w:t xml:space="preserve"> (art. 6 al. 4 LFCo)</w:t>
      </w:r>
      <w:bookmarkEnd w:id="11"/>
    </w:p>
    <w:p w:rsidR="006F37C2" w:rsidRPr="001D78AE" w:rsidRDefault="004A6FBC" w:rsidP="005F4F81">
      <w:r w:rsidRPr="001D78AE">
        <w:rPr>
          <w:rStyle w:val="Appelnotedebasdep"/>
          <w:position w:val="6"/>
          <w:sz w:val="14"/>
          <w:vertAlign w:val="baseline"/>
        </w:rPr>
        <w:t>1</w:t>
      </w:r>
      <w:r w:rsidRPr="001D78AE">
        <w:rPr>
          <w:position w:val="6"/>
          <w:sz w:val="14"/>
        </w:rPr>
        <w:t xml:space="preserve"> </w:t>
      </w:r>
      <w:r w:rsidR="006F37C2" w:rsidRPr="001D78AE">
        <w:t>Le plan financier comprend</w:t>
      </w:r>
      <w:r w:rsidR="005F4F81" w:rsidRPr="001D78AE">
        <w:t xml:space="preserve"> au moins les éléments suivants</w:t>
      </w:r>
      <w:r w:rsidR="007061E8" w:rsidRPr="001D78AE">
        <w:t> :</w:t>
      </w:r>
    </w:p>
    <w:p w:rsidR="006F37C2" w:rsidRPr="001D78AE" w:rsidRDefault="002A654B" w:rsidP="009F1454">
      <w:pPr>
        <w:pStyle w:val="Structure1"/>
        <w:jc w:val="left"/>
      </w:pPr>
      <w:r w:rsidRPr="001D78AE">
        <w:t>a)</w:t>
      </w:r>
      <w:r w:rsidR="006F37C2" w:rsidRPr="001D78AE">
        <w:tab/>
        <w:t>les données pertinentes de référence de la poli</w:t>
      </w:r>
      <w:r w:rsidR="005F4F81" w:rsidRPr="001D78AE">
        <w:t>tique budgétaire et économique</w:t>
      </w:r>
      <w:r w:rsidR="007061E8" w:rsidRPr="001D78AE">
        <w:t> ;</w:t>
      </w:r>
    </w:p>
    <w:p w:rsidR="006F37C2" w:rsidRPr="001D78AE" w:rsidRDefault="00DB4F39" w:rsidP="009F1454">
      <w:pPr>
        <w:pStyle w:val="Structure1"/>
        <w:jc w:val="left"/>
      </w:pPr>
      <w:r w:rsidRPr="001D78AE">
        <w:t>b)</w:t>
      </w:r>
      <w:r w:rsidR="005F4F81" w:rsidRPr="001D78AE">
        <w:tab/>
      </w:r>
      <w:r w:rsidR="00813279" w:rsidRPr="001D78AE">
        <w:t xml:space="preserve">les objectifs stratégiques, </w:t>
      </w:r>
      <w:r w:rsidR="005F4F81" w:rsidRPr="001D78AE">
        <w:t xml:space="preserve">les tâches </w:t>
      </w:r>
      <w:r w:rsidR="00813279" w:rsidRPr="001D78AE">
        <w:t>et les prestations de la commune ainsi que</w:t>
      </w:r>
      <w:r w:rsidR="006F37C2" w:rsidRPr="001D78AE">
        <w:t xml:space="preserve"> l</w:t>
      </w:r>
      <w:r w:rsidR="007061E8" w:rsidRPr="001D78AE">
        <w:t>’</w:t>
      </w:r>
      <w:r w:rsidR="006F37C2" w:rsidRPr="001D78AE">
        <w:t>aperçu de l</w:t>
      </w:r>
      <w:r w:rsidR="00813279" w:rsidRPr="001D78AE">
        <w:t xml:space="preserve">eur </w:t>
      </w:r>
      <w:r w:rsidR="006F37C2" w:rsidRPr="001D78AE">
        <w:t>évolution</w:t>
      </w:r>
      <w:r w:rsidR="00813279" w:rsidRPr="001D78AE">
        <w:t xml:space="preserve"> prévisionnelle</w:t>
      </w:r>
      <w:r w:rsidR="007061E8" w:rsidRPr="001D78AE">
        <w:t> ;</w:t>
      </w:r>
    </w:p>
    <w:p w:rsidR="006F37C2" w:rsidRPr="001D78AE" w:rsidRDefault="00DB4F39" w:rsidP="009F1454">
      <w:pPr>
        <w:pStyle w:val="Structure1"/>
        <w:jc w:val="left"/>
      </w:pPr>
      <w:r w:rsidRPr="001D78AE">
        <w:t>c)</w:t>
      </w:r>
      <w:r w:rsidR="006F37C2" w:rsidRPr="001D78AE">
        <w:tab/>
        <w:t>les charges et revenus planifiés</w:t>
      </w:r>
      <w:r w:rsidR="004A6FBC" w:rsidRPr="001D78AE">
        <w:t> ;</w:t>
      </w:r>
    </w:p>
    <w:p w:rsidR="006F37C2" w:rsidRPr="001D78AE" w:rsidRDefault="00DB4F39" w:rsidP="009F1454">
      <w:pPr>
        <w:pStyle w:val="Structure1"/>
        <w:jc w:val="left"/>
      </w:pPr>
      <w:r w:rsidRPr="001D78AE">
        <w:t>d)</w:t>
      </w:r>
      <w:r w:rsidR="006F37C2" w:rsidRPr="001D78AE">
        <w:tab/>
        <w:t>les dépenses et recettes d</w:t>
      </w:r>
      <w:r w:rsidR="007061E8" w:rsidRPr="001D78AE">
        <w:t>’</w:t>
      </w:r>
      <w:r w:rsidR="006F37C2" w:rsidRPr="001D78AE">
        <w:t>investissement planifi</w:t>
      </w:r>
      <w:r w:rsidR="005F4F81" w:rsidRPr="001D78AE">
        <w:t>ées</w:t>
      </w:r>
      <w:r w:rsidR="004A6FBC" w:rsidRPr="001D78AE">
        <w:t> ;</w:t>
      </w:r>
    </w:p>
    <w:p w:rsidR="006F37C2" w:rsidRPr="001D78AE" w:rsidRDefault="002A654B" w:rsidP="009F1454">
      <w:pPr>
        <w:pStyle w:val="Structure1"/>
        <w:jc w:val="left"/>
      </w:pPr>
      <w:r w:rsidRPr="001D78AE">
        <w:t>e</w:t>
      </w:r>
      <w:r w:rsidR="00DB4F39" w:rsidRPr="001D78AE">
        <w:t>)</w:t>
      </w:r>
      <w:r w:rsidR="006F37C2" w:rsidRPr="001D78AE">
        <w:tab/>
        <w:t>l</w:t>
      </w:r>
      <w:r w:rsidR="007061E8" w:rsidRPr="001D78AE">
        <w:t>’</w:t>
      </w:r>
      <w:r w:rsidR="006F37C2" w:rsidRPr="001D78AE">
        <w:t>évalua</w:t>
      </w:r>
      <w:r w:rsidR="005F4F81" w:rsidRPr="001D78AE">
        <w:t>tion des besoins de financement</w:t>
      </w:r>
      <w:r w:rsidR="007061E8" w:rsidRPr="001D78AE">
        <w:t> ;</w:t>
      </w:r>
    </w:p>
    <w:p w:rsidR="006F37C2" w:rsidRPr="001D78AE" w:rsidRDefault="002A654B" w:rsidP="009F1454">
      <w:pPr>
        <w:pStyle w:val="Structure1"/>
        <w:jc w:val="left"/>
      </w:pPr>
      <w:r w:rsidRPr="001D78AE">
        <w:t>f</w:t>
      </w:r>
      <w:r w:rsidR="00DB4F39" w:rsidRPr="001D78AE">
        <w:t>)</w:t>
      </w:r>
      <w:r w:rsidR="006F37C2" w:rsidRPr="001D78AE">
        <w:tab/>
        <w:t>le</w:t>
      </w:r>
      <w:r w:rsidR="005F4F81" w:rsidRPr="001D78AE">
        <w:t>s possibilités de financement</w:t>
      </w:r>
      <w:r w:rsidR="007061E8" w:rsidRPr="001D78AE">
        <w:t> ;</w:t>
      </w:r>
    </w:p>
    <w:p w:rsidR="006F37C2" w:rsidRPr="001D78AE" w:rsidRDefault="002A654B" w:rsidP="009F1454">
      <w:pPr>
        <w:pStyle w:val="Structure1"/>
        <w:jc w:val="left"/>
      </w:pPr>
      <w:r w:rsidRPr="001D78AE">
        <w:t>g</w:t>
      </w:r>
      <w:r w:rsidR="00DB4F39" w:rsidRPr="001D78AE">
        <w:t>)</w:t>
      </w:r>
      <w:r w:rsidR="006F37C2" w:rsidRPr="001D78AE">
        <w:tab/>
        <w:t>l</w:t>
      </w:r>
      <w:r w:rsidR="007061E8" w:rsidRPr="001D78AE">
        <w:t>’</w:t>
      </w:r>
      <w:r w:rsidR="006F37C2" w:rsidRPr="001D78AE">
        <w:t xml:space="preserve">évolution </w:t>
      </w:r>
      <w:r w:rsidRPr="001D78AE">
        <w:t>de la fortune et de l’endettement</w:t>
      </w:r>
      <w:r w:rsidR="006F37C2" w:rsidRPr="001D78AE">
        <w:t>.</w:t>
      </w:r>
    </w:p>
    <w:p w:rsidR="00691BAD" w:rsidRPr="001D78AE" w:rsidRDefault="004A6FBC" w:rsidP="00691BAD">
      <w:pPr>
        <w:rPr>
          <w:rFonts w:ascii="Times" w:hAnsi="Times" w:cs="Times"/>
        </w:rPr>
      </w:pPr>
      <w:r w:rsidRPr="001D78AE">
        <w:rPr>
          <w:rStyle w:val="Appelnotedebasdep"/>
          <w:position w:val="6"/>
          <w:sz w:val="14"/>
          <w:vertAlign w:val="baseline"/>
        </w:rPr>
        <w:lastRenderedPageBreak/>
        <w:t>2</w:t>
      </w:r>
      <w:r w:rsidRPr="001D78AE">
        <w:rPr>
          <w:position w:val="6"/>
          <w:sz w:val="14"/>
        </w:rPr>
        <w:t xml:space="preserve"> </w:t>
      </w:r>
      <w:r w:rsidR="00691BAD" w:rsidRPr="001D78AE">
        <w:rPr>
          <w:rFonts w:ascii="Times" w:hAnsi="Times" w:cs="Times"/>
          <w:spacing w:val="0"/>
        </w:rPr>
        <w:t>Les services de l</w:t>
      </w:r>
      <w:r w:rsidR="007061E8" w:rsidRPr="001D78AE">
        <w:rPr>
          <w:rFonts w:ascii="Times" w:hAnsi="Times" w:cs="Times"/>
          <w:spacing w:val="0"/>
        </w:rPr>
        <w:t>’</w:t>
      </w:r>
      <w:r w:rsidR="00691BAD" w:rsidRPr="001D78AE">
        <w:rPr>
          <w:rFonts w:ascii="Times" w:hAnsi="Times" w:cs="Times"/>
          <w:spacing w:val="0"/>
        </w:rPr>
        <w:t>Etat et les associations de communes communiquent régulièrement aux communes les données pouvant avoir une influence sur les plans financiers de ces dernières.</w:t>
      </w:r>
    </w:p>
    <w:p w:rsidR="00965334" w:rsidRPr="001D78AE" w:rsidRDefault="006C3A1F" w:rsidP="00072545">
      <w:pPr>
        <w:pStyle w:val="Titre2"/>
      </w:pPr>
      <w:bookmarkStart w:id="12" w:name="_Toc379958471"/>
      <w:bookmarkStart w:id="13" w:name="_Toc522697266"/>
      <w:r w:rsidRPr="001D78AE">
        <w:t>2</w:t>
      </w:r>
      <w:r w:rsidR="00072545" w:rsidRPr="001D78AE">
        <w:t xml:space="preserve">. </w:t>
      </w:r>
      <w:r w:rsidR="00965334" w:rsidRPr="001D78AE">
        <w:t>Budget</w:t>
      </w:r>
      <w:bookmarkEnd w:id="12"/>
      <w:bookmarkEnd w:id="13"/>
    </w:p>
    <w:p w:rsidR="00965334" w:rsidRPr="001D78AE" w:rsidRDefault="00965334" w:rsidP="00F306A4">
      <w:pPr>
        <w:pStyle w:val="NoArt"/>
      </w:pPr>
      <w:bookmarkStart w:id="14" w:name="_Toc379958473"/>
      <w:bookmarkStart w:id="15" w:name="_Toc522697267"/>
      <w:r w:rsidRPr="001D78AE">
        <w:rPr>
          <w:b/>
        </w:rPr>
        <w:t xml:space="preserve">Art. </w:t>
      </w:r>
      <w:r w:rsidR="00727323" w:rsidRPr="001D78AE">
        <w:rPr>
          <w:b/>
        </w:rPr>
        <w:t>7</w:t>
      </w:r>
      <w:r w:rsidR="0084421D" w:rsidRPr="001D78AE">
        <w:tab/>
      </w:r>
      <w:bookmarkEnd w:id="14"/>
      <w:r w:rsidR="003C4B06" w:rsidRPr="001D78AE">
        <w:t>Eléments à présenter</w:t>
      </w:r>
      <w:r w:rsidR="0001217F" w:rsidRPr="001D78AE">
        <w:t xml:space="preserve"> (art. 8 al. 5 LFCo)</w:t>
      </w:r>
      <w:bookmarkEnd w:id="15"/>
    </w:p>
    <w:p w:rsidR="007061E8" w:rsidRPr="001D78AE" w:rsidRDefault="00264379" w:rsidP="00965334">
      <w:r w:rsidRPr="001D78AE">
        <w:rPr>
          <w:rStyle w:val="Appelnotedebasdep"/>
          <w:position w:val="6"/>
          <w:sz w:val="14"/>
          <w:vertAlign w:val="baseline"/>
        </w:rPr>
        <w:t>1</w:t>
      </w:r>
      <w:r w:rsidRPr="001D78AE">
        <w:rPr>
          <w:position w:val="6"/>
          <w:sz w:val="14"/>
        </w:rPr>
        <w:t xml:space="preserve"> </w:t>
      </w:r>
      <w:r w:rsidR="00883188" w:rsidRPr="001D78AE">
        <w:t>La présentation des chiffres du budget s’accompagne, en parallèle, des chiffres du budget de l’année précédente et des chiffres des derniers comptes approuvés ; les chiffres des comptes sont inscrits pour information et comparaison.</w:t>
      </w:r>
    </w:p>
    <w:p w:rsidR="003C4B06" w:rsidRPr="001D78AE" w:rsidRDefault="003C4B06" w:rsidP="003C4B06">
      <w:pPr>
        <w:pStyle w:val="NoArt"/>
      </w:pPr>
      <w:bookmarkStart w:id="16" w:name="_Toc522697268"/>
      <w:r w:rsidRPr="001D78AE">
        <w:rPr>
          <w:b/>
        </w:rPr>
        <w:t xml:space="preserve">Art. </w:t>
      </w:r>
      <w:r w:rsidR="00727323" w:rsidRPr="001D78AE">
        <w:rPr>
          <w:b/>
        </w:rPr>
        <w:t>8</w:t>
      </w:r>
      <w:r w:rsidRPr="001D78AE">
        <w:tab/>
        <w:t>Procédure en cas de refus</w:t>
      </w:r>
      <w:r w:rsidR="0001217F" w:rsidRPr="001D78AE">
        <w:t xml:space="preserve"> (art. 8 al. 5 LFCo)</w:t>
      </w:r>
      <w:bookmarkEnd w:id="16"/>
    </w:p>
    <w:p w:rsidR="003C4B06" w:rsidRPr="001D78AE" w:rsidRDefault="00264379" w:rsidP="003C4B06">
      <w:r w:rsidRPr="001D78AE">
        <w:rPr>
          <w:rStyle w:val="Appelnotedebasdep"/>
          <w:position w:val="6"/>
          <w:sz w:val="14"/>
          <w:vertAlign w:val="baseline"/>
        </w:rPr>
        <w:t>1</w:t>
      </w:r>
      <w:r w:rsidRPr="001D78AE">
        <w:rPr>
          <w:position w:val="6"/>
          <w:sz w:val="14"/>
        </w:rPr>
        <w:t xml:space="preserve"> </w:t>
      </w:r>
      <w:r w:rsidR="003C4B06" w:rsidRPr="001D78AE">
        <w:t xml:space="preserve">Lorsque le budget est </w:t>
      </w:r>
      <w:r w:rsidR="002A654B" w:rsidRPr="001D78AE">
        <w:t>renvoyé au conseil communal ou refusé</w:t>
      </w:r>
      <w:r w:rsidR="00B74396" w:rsidRPr="001D78AE">
        <w:t xml:space="preserve">, ce dernier en avise le </w:t>
      </w:r>
      <w:r w:rsidR="006408FD">
        <w:t>Service</w:t>
      </w:r>
      <w:r w:rsidR="00EC4B7B" w:rsidRPr="001D78AE">
        <w:t xml:space="preserve"> </w:t>
      </w:r>
      <w:r w:rsidR="003C4B06" w:rsidRPr="001D78AE">
        <w:t>et le préfet et prépare un nouveau projet qu</w:t>
      </w:r>
      <w:r w:rsidR="007061E8" w:rsidRPr="001D78AE">
        <w:t>’</w:t>
      </w:r>
      <w:r w:rsidR="003C4B06" w:rsidRPr="001D78AE">
        <w:t>il soumet à l</w:t>
      </w:r>
      <w:r w:rsidR="007061E8" w:rsidRPr="001D78AE">
        <w:t>’</w:t>
      </w:r>
      <w:r w:rsidR="003C4B06" w:rsidRPr="001D78AE">
        <w:t xml:space="preserve">assemblée communale ou au conseil général dans un délai de </w:t>
      </w:r>
      <w:r w:rsidR="00475B4D" w:rsidRPr="001D78AE">
        <w:t>soixante jours</w:t>
      </w:r>
      <w:r w:rsidR="003C4B06" w:rsidRPr="001D78AE">
        <w:t>.</w:t>
      </w:r>
    </w:p>
    <w:p w:rsidR="00727323" w:rsidRPr="001D78AE" w:rsidRDefault="00727323" w:rsidP="00727323">
      <w:pPr>
        <w:pStyle w:val="NoArt"/>
      </w:pPr>
      <w:bookmarkStart w:id="17" w:name="_Toc522697269"/>
      <w:r w:rsidRPr="001D78AE">
        <w:rPr>
          <w:b/>
        </w:rPr>
        <w:t>Art. 9</w:t>
      </w:r>
      <w:r w:rsidRPr="001D78AE">
        <w:tab/>
        <w:t xml:space="preserve">Transmission </w:t>
      </w:r>
      <w:r w:rsidR="00847563" w:rsidRPr="001D78AE">
        <w:t xml:space="preserve">à l’autorité de surveillance </w:t>
      </w:r>
      <w:r w:rsidR="0001217F" w:rsidRPr="001D78AE">
        <w:t>(art. 8 al. 5 LFCo)</w:t>
      </w:r>
      <w:bookmarkEnd w:id="17"/>
    </w:p>
    <w:p w:rsidR="00847563" w:rsidRPr="001D78AE" w:rsidRDefault="00264379" w:rsidP="003C4B06">
      <w:r w:rsidRPr="001D78AE">
        <w:rPr>
          <w:rStyle w:val="Appelnotedebasdep"/>
          <w:position w:val="6"/>
          <w:sz w:val="14"/>
          <w:vertAlign w:val="baseline"/>
        </w:rPr>
        <w:t>1</w:t>
      </w:r>
      <w:r w:rsidRPr="001D78AE">
        <w:rPr>
          <w:position w:val="6"/>
          <w:sz w:val="14"/>
        </w:rPr>
        <w:t xml:space="preserve"> </w:t>
      </w:r>
      <w:r w:rsidR="00B74396" w:rsidRPr="001D78AE">
        <w:t xml:space="preserve">Le budget est transmis au </w:t>
      </w:r>
      <w:r w:rsidR="00052FAF" w:rsidRPr="001D78AE">
        <w:t xml:space="preserve">Service </w:t>
      </w:r>
      <w:r w:rsidR="00727323" w:rsidRPr="001D78AE">
        <w:t>dans</w:t>
      </w:r>
      <w:r w:rsidR="00883188" w:rsidRPr="001D78AE">
        <w:t xml:space="preserve"> un délai de quinze jours après</w:t>
      </w:r>
      <w:r w:rsidR="00847563" w:rsidRPr="001D78AE">
        <w:t xml:space="preserve"> la décision prise</w:t>
      </w:r>
      <w:r w:rsidR="00727323" w:rsidRPr="001D78AE">
        <w:t xml:space="preserve"> par l</w:t>
      </w:r>
      <w:r w:rsidR="007061E8" w:rsidRPr="001D78AE">
        <w:t>’</w:t>
      </w:r>
      <w:r w:rsidR="00727323" w:rsidRPr="001D78AE">
        <w:t>assemblée communale ou le conseil général.</w:t>
      </w:r>
    </w:p>
    <w:p w:rsidR="00965334" w:rsidRPr="001D78AE" w:rsidRDefault="009E0686" w:rsidP="00F306A4">
      <w:pPr>
        <w:pStyle w:val="Titre2"/>
      </w:pPr>
      <w:bookmarkStart w:id="18" w:name="_Toc379958477"/>
      <w:bookmarkStart w:id="19" w:name="_Toc522697270"/>
      <w:r w:rsidRPr="001D78AE">
        <w:t>3</w:t>
      </w:r>
      <w:r w:rsidR="00F306A4" w:rsidRPr="001D78AE">
        <w:t xml:space="preserve">. </w:t>
      </w:r>
      <w:r w:rsidR="00965334" w:rsidRPr="001D78AE">
        <w:t>Comptes</w:t>
      </w:r>
      <w:bookmarkEnd w:id="18"/>
      <w:bookmarkEnd w:id="19"/>
    </w:p>
    <w:p w:rsidR="009B6F53" w:rsidRPr="001D78AE" w:rsidRDefault="009B6F53" w:rsidP="009B6F53">
      <w:pPr>
        <w:pStyle w:val="NoArt"/>
      </w:pPr>
      <w:bookmarkStart w:id="20" w:name="_Toc522697271"/>
      <w:bookmarkStart w:id="21" w:name="_Toc379958485"/>
      <w:r w:rsidRPr="001D78AE">
        <w:rPr>
          <w:b/>
        </w:rPr>
        <w:t>Art. 10</w:t>
      </w:r>
      <w:r w:rsidRPr="001D78AE">
        <w:tab/>
        <w:t xml:space="preserve">Eléments à présenter (art. 12 al. </w:t>
      </w:r>
      <w:r w:rsidR="00576F2F" w:rsidRPr="001D78AE">
        <w:t>1</w:t>
      </w:r>
      <w:r w:rsidRPr="001D78AE">
        <w:t xml:space="preserve"> LFCo)</w:t>
      </w:r>
      <w:bookmarkEnd w:id="20"/>
    </w:p>
    <w:p w:rsidR="009B6F53" w:rsidRPr="001D78AE" w:rsidRDefault="00264379" w:rsidP="0001217F">
      <w:pPr>
        <w:rPr>
          <w:i/>
        </w:rPr>
      </w:pPr>
      <w:r w:rsidRPr="001D78AE">
        <w:rPr>
          <w:rStyle w:val="Appelnotedebasdep"/>
          <w:position w:val="6"/>
          <w:sz w:val="14"/>
          <w:vertAlign w:val="baseline"/>
        </w:rPr>
        <w:t>1</w:t>
      </w:r>
      <w:r w:rsidRPr="001D78AE">
        <w:rPr>
          <w:position w:val="6"/>
          <w:sz w:val="14"/>
        </w:rPr>
        <w:t xml:space="preserve"> </w:t>
      </w:r>
      <w:r w:rsidR="009B6F53" w:rsidRPr="001D78AE">
        <w:t xml:space="preserve">La présentation des chiffres des comptes s’accompagne, en parallèle, des chiffres du budget </w:t>
      </w:r>
      <w:r w:rsidR="00883188" w:rsidRPr="001D78AE">
        <w:t>décidé</w:t>
      </w:r>
      <w:r w:rsidR="00C9771E" w:rsidRPr="001D78AE">
        <w:t xml:space="preserve"> avec ses </w:t>
      </w:r>
      <w:r w:rsidR="00C54CA7" w:rsidRPr="001D78AE">
        <w:t xml:space="preserve">éventuelles </w:t>
      </w:r>
      <w:r w:rsidR="00C9771E" w:rsidRPr="001D78AE">
        <w:t>modifications en cours d’année</w:t>
      </w:r>
      <w:r w:rsidR="009B6F53" w:rsidRPr="001D78AE">
        <w:t xml:space="preserve"> et des chiffres des comptes de l’année précédente.</w:t>
      </w:r>
    </w:p>
    <w:p w:rsidR="00576F2F" w:rsidRPr="001D78AE" w:rsidRDefault="00576F2F" w:rsidP="00576F2F">
      <w:pPr>
        <w:pStyle w:val="NoArt"/>
      </w:pPr>
      <w:bookmarkStart w:id="22" w:name="_Toc522697272"/>
      <w:r w:rsidRPr="001D78AE">
        <w:rPr>
          <w:b/>
        </w:rPr>
        <w:t>Art. 11</w:t>
      </w:r>
      <w:r w:rsidRPr="001D78AE">
        <w:tab/>
      </w:r>
      <w:r w:rsidR="009001A5" w:rsidRPr="001D78AE">
        <w:t>Délai de t</w:t>
      </w:r>
      <w:r w:rsidRPr="001D78AE">
        <w:t>ransmission (art. 12 al. 2 LFCo)</w:t>
      </w:r>
      <w:bookmarkEnd w:id="22"/>
    </w:p>
    <w:p w:rsidR="00576F2F" w:rsidRPr="001D78AE" w:rsidRDefault="00264379" w:rsidP="00576F2F">
      <w:r w:rsidRPr="001D78AE">
        <w:rPr>
          <w:rStyle w:val="Appelnotedebasdep"/>
          <w:position w:val="6"/>
          <w:sz w:val="14"/>
          <w:vertAlign w:val="baseline"/>
        </w:rPr>
        <w:t>1</w:t>
      </w:r>
      <w:r w:rsidRPr="001D78AE">
        <w:rPr>
          <w:position w:val="6"/>
          <w:sz w:val="14"/>
        </w:rPr>
        <w:t xml:space="preserve"> </w:t>
      </w:r>
      <w:r w:rsidR="00576F2F" w:rsidRPr="001D78AE">
        <w:t>Les comptes sont</w:t>
      </w:r>
      <w:r w:rsidR="00B74396" w:rsidRPr="001D78AE">
        <w:t xml:space="preserve"> transmis au </w:t>
      </w:r>
      <w:r w:rsidR="007B1A85" w:rsidRPr="001D78AE">
        <w:t xml:space="preserve">Service </w:t>
      </w:r>
      <w:r w:rsidR="00576F2F" w:rsidRPr="001D78AE">
        <w:t>dans un délai de quinze jours après leur approbation par l’assemblée communale ou le conseil général.</w:t>
      </w:r>
      <w:r w:rsidR="009001A5" w:rsidRPr="001D78AE">
        <w:t xml:space="preserve"> Sous réserve de la législation spéciale, le même délai s’applique à la transmission aux autres instances.</w:t>
      </w:r>
    </w:p>
    <w:p w:rsidR="00475B4D" w:rsidRPr="001D78AE" w:rsidRDefault="00475B4D" w:rsidP="00475B4D">
      <w:pPr>
        <w:pStyle w:val="NoArt"/>
      </w:pPr>
      <w:bookmarkStart w:id="23" w:name="_Toc522697273"/>
      <w:r w:rsidRPr="001D78AE">
        <w:rPr>
          <w:b/>
        </w:rPr>
        <w:t>Art. 12</w:t>
      </w:r>
      <w:r w:rsidRPr="001D78AE">
        <w:tab/>
        <w:t xml:space="preserve">Procédure en cas de refus </w:t>
      </w:r>
      <w:r w:rsidR="003C2346" w:rsidRPr="001D78AE">
        <w:t xml:space="preserve">d’approbation </w:t>
      </w:r>
      <w:r w:rsidRPr="001D78AE">
        <w:t>des comptes (art. 12 al. 3 LFCo)</w:t>
      </w:r>
      <w:bookmarkEnd w:id="23"/>
    </w:p>
    <w:p w:rsidR="00475B4D" w:rsidRPr="001D78AE" w:rsidRDefault="00A9671D" w:rsidP="00475B4D">
      <w:r w:rsidRPr="001D78AE">
        <w:rPr>
          <w:rStyle w:val="Appelnotedebasdep"/>
          <w:position w:val="6"/>
          <w:sz w:val="14"/>
          <w:vertAlign w:val="baseline"/>
        </w:rPr>
        <w:t>1</w:t>
      </w:r>
      <w:r w:rsidRPr="001D78AE">
        <w:rPr>
          <w:position w:val="6"/>
          <w:sz w:val="14"/>
        </w:rPr>
        <w:t xml:space="preserve"> </w:t>
      </w:r>
      <w:r w:rsidR="00475B4D" w:rsidRPr="001D78AE">
        <w:t xml:space="preserve">Lorsque l’assemblée communale ou le conseil général refusent d’approuver les comptes, le conseil communal examine les motifs et remédie aux erreurs éventuelles, avant de resoumettre les comptes à l’assemblée communale ou au conseil général dans </w:t>
      </w:r>
      <w:r w:rsidR="00A04384" w:rsidRPr="001D78AE">
        <w:t>un délai de soixante jours</w:t>
      </w:r>
      <w:r w:rsidR="00475B4D" w:rsidRPr="001D78AE">
        <w:t>.</w:t>
      </w:r>
    </w:p>
    <w:p w:rsidR="00475B4D" w:rsidRPr="001D78AE" w:rsidRDefault="00A9671D" w:rsidP="00475B4D">
      <w:r w:rsidRPr="001D78AE">
        <w:rPr>
          <w:rStyle w:val="Appelnotedebasdep"/>
          <w:position w:val="6"/>
          <w:sz w:val="14"/>
          <w:vertAlign w:val="baseline"/>
        </w:rPr>
        <w:lastRenderedPageBreak/>
        <w:t>2</w:t>
      </w:r>
      <w:r w:rsidRPr="001D78AE">
        <w:rPr>
          <w:position w:val="6"/>
          <w:sz w:val="14"/>
        </w:rPr>
        <w:t xml:space="preserve"> </w:t>
      </w:r>
      <w:r w:rsidR="00475B4D" w:rsidRPr="001D78AE">
        <w:t>Lorsque l’approbation des comptes a été refusée une seconde fois, le conseil communal requiert l’intervention de l’autorité de surveillance ; celle-ci peut également intervenir d’office.</w:t>
      </w:r>
    </w:p>
    <w:p w:rsidR="00475B4D" w:rsidRPr="001D78AE" w:rsidRDefault="00A9671D" w:rsidP="00475B4D">
      <w:r w:rsidRPr="001D78AE">
        <w:rPr>
          <w:rStyle w:val="Appelnotedebasdep"/>
          <w:position w:val="6"/>
          <w:sz w:val="14"/>
          <w:vertAlign w:val="baseline"/>
        </w:rPr>
        <w:t>3</w:t>
      </w:r>
      <w:r w:rsidRPr="001D78AE">
        <w:rPr>
          <w:position w:val="6"/>
          <w:sz w:val="14"/>
        </w:rPr>
        <w:t xml:space="preserve"> </w:t>
      </w:r>
      <w:r w:rsidR="00B74396" w:rsidRPr="001D78AE">
        <w:t>Le S</w:t>
      </w:r>
      <w:r w:rsidR="00475B4D" w:rsidRPr="001D78AE">
        <w:t>ervice et le préfet sont informés sans délai de tout refus d’approbation des comptes.</w:t>
      </w:r>
    </w:p>
    <w:p w:rsidR="00965334" w:rsidRPr="001D78AE" w:rsidRDefault="00834C8A" w:rsidP="005D6324">
      <w:pPr>
        <w:pStyle w:val="NoArt"/>
      </w:pPr>
      <w:bookmarkStart w:id="24" w:name="_Toc522697274"/>
      <w:r w:rsidRPr="001D78AE">
        <w:rPr>
          <w:b/>
        </w:rPr>
        <w:t xml:space="preserve">Art. </w:t>
      </w:r>
      <w:r w:rsidR="005A584F" w:rsidRPr="001D78AE">
        <w:rPr>
          <w:b/>
        </w:rPr>
        <w:t>1</w:t>
      </w:r>
      <w:r w:rsidR="005A6ABA" w:rsidRPr="001D78AE">
        <w:rPr>
          <w:b/>
        </w:rPr>
        <w:t>3</w:t>
      </w:r>
      <w:r w:rsidR="0084421D" w:rsidRPr="001D78AE">
        <w:rPr>
          <w:b/>
        </w:rPr>
        <w:tab/>
      </w:r>
      <w:r w:rsidRPr="001D78AE">
        <w:t>Annexe</w:t>
      </w:r>
      <w:r w:rsidRPr="001D78AE">
        <w:br/>
        <w:t xml:space="preserve">a) </w:t>
      </w:r>
      <w:r w:rsidR="0001217F" w:rsidRPr="001D78AE">
        <w:t xml:space="preserve">Etat </w:t>
      </w:r>
      <w:r w:rsidR="003C2346" w:rsidRPr="001D78AE">
        <w:t>du</w:t>
      </w:r>
      <w:r w:rsidR="00965334" w:rsidRPr="001D78AE">
        <w:t xml:space="preserve"> capita</w:t>
      </w:r>
      <w:r w:rsidR="003C2346" w:rsidRPr="001D78AE">
        <w:t>l</w:t>
      </w:r>
      <w:r w:rsidR="00965334" w:rsidRPr="001D78AE">
        <w:t xml:space="preserve"> propre</w:t>
      </w:r>
      <w:bookmarkEnd w:id="21"/>
      <w:r w:rsidR="0001217F" w:rsidRPr="001D78AE">
        <w:t xml:space="preserve"> (art. 18 al. 1 let. c LFCo)</w:t>
      </w:r>
      <w:bookmarkEnd w:id="24"/>
    </w:p>
    <w:p w:rsidR="00965334" w:rsidRPr="001D78AE" w:rsidRDefault="00264379" w:rsidP="00965334">
      <w:r w:rsidRPr="001D78AE">
        <w:rPr>
          <w:rStyle w:val="Appelnotedebasdep"/>
          <w:position w:val="6"/>
          <w:sz w:val="14"/>
          <w:vertAlign w:val="baseline"/>
        </w:rPr>
        <w:t>1</w:t>
      </w:r>
      <w:r w:rsidRPr="001D78AE">
        <w:rPr>
          <w:position w:val="6"/>
          <w:sz w:val="14"/>
        </w:rPr>
        <w:t xml:space="preserve"> </w:t>
      </w:r>
      <w:r w:rsidR="00965334" w:rsidRPr="001D78AE">
        <w:t>L</w:t>
      </w:r>
      <w:r w:rsidR="007061E8" w:rsidRPr="001D78AE">
        <w:t>’</w:t>
      </w:r>
      <w:r w:rsidR="0001217F" w:rsidRPr="001D78AE">
        <w:t>état</w:t>
      </w:r>
      <w:r w:rsidR="003C2346" w:rsidRPr="001D78AE">
        <w:t xml:space="preserve"> du</w:t>
      </w:r>
      <w:r w:rsidR="00965334" w:rsidRPr="001D78AE">
        <w:t xml:space="preserve"> capita</w:t>
      </w:r>
      <w:r w:rsidR="003C2346" w:rsidRPr="001D78AE">
        <w:t>l</w:t>
      </w:r>
      <w:r w:rsidR="00965334" w:rsidRPr="001D78AE">
        <w:t xml:space="preserve"> propre indique les causes </w:t>
      </w:r>
      <w:r w:rsidR="00694AF3">
        <w:t>de variation</w:t>
      </w:r>
      <w:r w:rsidR="00965334" w:rsidRPr="001D78AE">
        <w:t xml:space="preserve"> du capital propre.</w:t>
      </w:r>
    </w:p>
    <w:p w:rsidR="00965334" w:rsidRPr="001D78AE" w:rsidRDefault="00965334" w:rsidP="005D6324">
      <w:pPr>
        <w:pStyle w:val="NoArt"/>
      </w:pPr>
      <w:bookmarkStart w:id="25" w:name="_Toc379958486"/>
      <w:bookmarkStart w:id="26" w:name="_Toc522697275"/>
      <w:r w:rsidRPr="001D78AE">
        <w:rPr>
          <w:b/>
        </w:rPr>
        <w:t xml:space="preserve">Art. </w:t>
      </w:r>
      <w:r w:rsidR="005A584F" w:rsidRPr="001D78AE">
        <w:rPr>
          <w:b/>
        </w:rPr>
        <w:t>1</w:t>
      </w:r>
      <w:r w:rsidR="005A6ABA" w:rsidRPr="001D78AE">
        <w:rPr>
          <w:b/>
        </w:rPr>
        <w:t>4</w:t>
      </w:r>
      <w:r w:rsidR="0084421D" w:rsidRPr="001D78AE">
        <w:rPr>
          <w:b/>
        </w:rPr>
        <w:tab/>
      </w:r>
      <w:r w:rsidR="00834C8A" w:rsidRPr="001D78AE">
        <w:t xml:space="preserve">b) </w:t>
      </w:r>
      <w:r w:rsidRPr="001D78AE">
        <w:t>Tableau des provisions</w:t>
      </w:r>
      <w:bookmarkEnd w:id="25"/>
      <w:r w:rsidR="0001217F" w:rsidRPr="001D78AE">
        <w:t xml:space="preserve"> (art. 18 al. 1 let. d LFCo)</w:t>
      </w:r>
      <w:bookmarkEnd w:id="26"/>
    </w:p>
    <w:p w:rsidR="00965334" w:rsidRPr="001D78AE" w:rsidRDefault="00C61223" w:rsidP="00965334">
      <w:r w:rsidRPr="001D78AE">
        <w:rPr>
          <w:rStyle w:val="Appelnotedebasdep"/>
          <w:position w:val="6"/>
          <w:sz w:val="14"/>
          <w:vertAlign w:val="baseline"/>
        </w:rPr>
        <w:t>1</w:t>
      </w:r>
      <w:r w:rsidRPr="001D78AE">
        <w:rPr>
          <w:position w:val="6"/>
          <w:sz w:val="14"/>
        </w:rPr>
        <w:t xml:space="preserve"> </w:t>
      </w:r>
      <w:r w:rsidR="00965334" w:rsidRPr="001D78AE">
        <w:t>Toutes les provisions existantes doivent être inscrites individuellement dans le tableau des provisions.</w:t>
      </w:r>
    </w:p>
    <w:p w:rsidR="00965334" w:rsidRPr="001D78AE" w:rsidRDefault="00C61223" w:rsidP="00965334">
      <w:r w:rsidRPr="001D78AE">
        <w:rPr>
          <w:rStyle w:val="Appelnotedebasdep"/>
          <w:position w:val="6"/>
          <w:sz w:val="14"/>
          <w:vertAlign w:val="baseline"/>
        </w:rPr>
        <w:t>2</w:t>
      </w:r>
      <w:r w:rsidRPr="001D78AE">
        <w:rPr>
          <w:position w:val="6"/>
          <w:sz w:val="14"/>
        </w:rPr>
        <w:t xml:space="preserve"> </w:t>
      </w:r>
      <w:r w:rsidR="00965334" w:rsidRPr="001D78AE">
        <w:t>Les provisions doivent être classées par catégorie.</w:t>
      </w:r>
    </w:p>
    <w:p w:rsidR="00965334" w:rsidRPr="001D78AE" w:rsidRDefault="00C61223" w:rsidP="00965334">
      <w:r w:rsidRPr="001D78AE">
        <w:rPr>
          <w:rStyle w:val="Appelnotedebasdep"/>
          <w:position w:val="6"/>
          <w:sz w:val="14"/>
          <w:vertAlign w:val="baseline"/>
        </w:rPr>
        <w:t>3</w:t>
      </w:r>
      <w:r w:rsidRPr="001D78AE">
        <w:rPr>
          <w:position w:val="6"/>
          <w:sz w:val="14"/>
        </w:rPr>
        <w:t xml:space="preserve"> </w:t>
      </w:r>
      <w:r w:rsidR="00965334" w:rsidRPr="001D78AE">
        <w:t>Le tableau des provisions contient</w:t>
      </w:r>
      <w:r w:rsidR="007061E8" w:rsidRPr="001D78AE">
        <w:t> :</w:t>
      </w:r>
    </w:p>
    <w:p w:rsidR="00965334" w:rsidRPr="001D78AE" w:rsidRDefault="005D6324" w:rsidP="005D6324">
      <w:pPr>
        <w:pStyle w:val="Structure1"/>
      </w:pPr>
      <w:r w:rsidRPr="001D78AE">
        <w:t>a)</w:t>
      </w:r>
      <w:r w:rsidRPr="001D78AE">
        <w:tab/>
      </w:r>
      <w:r w:rsidR="00965334" w:rsidRPr="001D78AE">
        <w:t>la d</w:t>
      </w:r>
      <w:r w:rsidR="001D767E" w:rsidRPr="001D78AE">
        <w:t>escription du type de provision</w:t>
      </w:r>
      <w:r w:rsidR="007061E8" w:rsidRPr="001D78AE">
        <w:t> ;</w:t>
      </w:r>
    </w:p>
    <w:p w:rsidR="00965334" w:rsidRPr="001D78AE" w:rsidRDefault="005D6324" w:rsidP="005D6324">
      <w:pPr>
        <w:pStyle w:val="Structure1"/>
      </w:pPr>
      <w:r w:rsidRPr="001D78AE">
        <w:t>b)</w:t>
      </w:r>
      <w:r w:rsidRPr="001D78AE">
        <w:tab/>
      </w:r>
      <w:r w:rsidR="00965334" w:rsidRPr="001D78AE">
        <w:t>le comme</w:t>
      </w:r>
      <w:r w:rsidR="001D767E" w:rsidRPr="001D78AE">
        <w:t>ntaire sur le type de provision</w:t>
      </w:r>
      <w:r w:rsidR="007061E8" w:rsidRPr="001D78AE">
        <w:t> ;</w:t>
      </w:r>
    </w:p>
    <w:p w:rsidR="00965334" w:rsidRPr="001D78AE" w:rsidRDefault="005D6324" w:rsidP="005D6324">
      <w:pPr>
        <w:pStyle w:val="Structure1"/>
      </w:pPr>
      <w:r w:rsidRPr="001D78AE">
        <w:t>c)</w:t>
      </w:r>
      <w:r w:rsidRPr="001D78AE">
        <w:tab/>
      </w:r>
      <w:r w:rsidR="00475B4D" w:rsidRPr="001D78AE">
        <w:t xml:space="preserve">le montant de la provision </w:t>
      </w:r>
      <w:r w:rsidR="00965334" w:rsidRPr="001D78AE">
        <w:t>à la fin de l</w:t>
      </w:r>
      <w:r w:rsidR="007061E8" w:rsidRPr="001D78AE">
        <w:t>’</w:t>
      </w:r>
      <w:r w:rsidR="001D767E" w:rsidRPr="001D78AE">
        <w:t>année précédente</w:t>
      </w:r>
      <w:r w:rsidR="007061E8" w:rsidRPr="001D78AE">
        <w:t> ;</w:t>
      </w:r>
    </w:p>
    <w:p w:rsidR="00965334" w:rsidRPr="001D78AE" w:rsidRDefault="005D6324" w:rsidP="005D6324">
      <w:pPr>
        <w:pStyle w:val="Structure1"/>
      </w:pPr>
      <w:r w:rsidRPr="001D78AE">
        <w:t>d)</w:t>
      </w:r>
      <w:r w:rsidRPr="001D78AE">
        <w:tab/>
      </w:r>
      <w:r w:rsidR="00475B4D" w:rsidRPr="001D78AE">
        <w:t xml:space="preserve">le montant de la provision </w:t>
      </w:r>
      <w:r w:rsidR="00965334" w:rsidRPr="001D78AE">
        <w:t>à la fin de l</w:t>
      </w:r>
      <w:r w:rsidR="007061E8" w:rsidRPr="001D78AE">
        <w:t>’</w:t>
      </w:r>
      <w:r w:rsidR="001D767E" w:rsidRPr="001D78AE">
        <w:t>année en cours</w:t>
      </w:r>
      <w:r w:rsidR="007061E8" w:rsidRPr="001D78AE">
        <w:t> ;</w:t>
      </w:r>
    </w:p>
    <w:p w:rsidR="00965334" w:rsidRPr="001D78AE" w:rsidRDefault="005D6324" w:rsidP="005D6324">
      <w:pPr>
        <w:pStyle w:val="Structure1"/>
      </w:pPr>
      <w:r w:rsidRPr="001D78AE">
        <w:t>e)</w:t>
      </w:r>
      <w:r w:rsidRPr="001D78AE">
        <w:tab/>
      </w:r>
      <w:r w:rsidR="00965334" w:rsidRPr="001D78AE">
        <w:t>le commentaire su</w:t>
      </w:r>
      <w:r w:rsidR="001D767E" w:rsidRPr="001D78AE">
        <w:t xml:space="preserve">r </w:t>
      </w:r>
      <w:r w:rsidR="00694AF3">
        <w:t>la variation</w:t>
      </w:r>
      <w:r w:rsidR="001D767E" w:rsidRPr="001D78AE">
        <w:t xml:space="preserve"> de la provision</w:t>
      </w:r>
      <w:r w:rsidR="007061E8" w:rsidRPr="001D78AE">
        <w:t> ;</w:t>
      </w:r>
    </w:p>
    <w:p w:rsidR="00965334" w:rsidRPr="001D78AE" w:rsidRDefault="005D6324" w:rsidP="005D6324">
      <w:pPr>
        <w:pStyle w:val="Structure1"/>
      </w:pPr>
      <w:r w:rsidRPr="001D78AE">
        <w:t>f)</w:t>
      </w:r>
      <w:r w:rsidRPr="001D78AE">
        <w:tab/>
      </w:r>
      <w:r w:rsidR="00965334" w:rsidRPr="001D78AE">
        <w:t>la justification du maintien de la provision.</w:t>
      </w:r>
    </w:p>
    <w:p w:rsidR="00965334" w:rsidRPr="001D78AE" w:rsidRDefault="00965334" w:rsidP="005D6324">
      <w:pPr>
        <w:pStyle w:val="NoArt"/>
      </w:pPr>
      <w:bookmarkStart w:id="27" w:name="_Toc379958487"/>
      <w:bookmarkStart w:id="28" w:name="_Toc522697276"/>
      <w:r w:rsidRPr="001D78AE">
        <w:rPr>
          <w:b/>
        </w:rPr>
        <w:t xml:space="preserve">Art. </w:t>
      </w:r>
      <w:r w:rsidR="005A584F" w:rsidRPr="001D78AE">
        <w:rPr>
          <w:b/>
        </w:rPr>
        <w:t>1</w:t>
      </w:r>
      <w:r w:rsidR="005A6ABA" w:rsidRPr="001D78AE">
        <w:rPr>
          <w:b/>
        </w:rPr>
        <w:t>5</w:t>
      </w:r>
      <w:r w:rsidR="0084421D" w:rsidRPr="001D78AE">
        <w:rPr>
          <w:b/>
        </w:rPr>
        <w:tab/>
      </w:r>
      <w:r w:rsidR="00834C8A" w:rsidRPr="001D78AE">
        <w:t xml:space="preserve">c) </w:t>
      </w:r>
      <w:r w:rsidRPr="001D78AE">
        <w:t>Tableau des participations</w:t>
      </w:r>
      <w:bookmarkEnd w:id="27"/>
      <w:r w:rsidR="0001217F" w:rsidRPr="001D78AE">
        <w:t xml:space="preserve"> (art. 18 al. 1 let. e LFCo)</w:t>
      </w:r>
      <w:bookmarkEnd w:id="28"/>
    </w:p>
    <w:p w:rsidR="00965334" w:rsidRPr="001D78AE" w:rsidRDefault="00C61223" w:rsidP="00965334">
      <w:r w:rsidRPr="001D78AE">
        <w:rPr>
          <w:rStyle w:val="Appelnotedebasdep"/>
          <w:position w:val="6"/>
          <w:sz w:val="14"/>
          <w:vertAlign w:val="baseline"/>
        </w:rPr>
        <w:t>1</w:t>
      </w:r>
      <w:r w:rsidRPr="001D78AE">
        <w:rPr>
          <w:position w:val="6"/>
          <w:sz w:val="14"/>
        </w:rPr>
        <w:t xml:space="preserve"> </w:t>
      </w:r>
      <w:r w:rsidR="00965334" w:rsidRPr="001D78AE">
        <w:t xml:space="preserve">Les participations en capital ainsi que les organisations </w:t>
      </w:r>
      <w:r w:rsidR="00834C8A" w:rsidRPr="001D78AE">
        <w:t xml:space="preserve">publiques ou privées </w:t>
      </w:r>
      <w:r w:rsidR="00940B4F" w:rsidRPr="001D78AE">
        <w:t xml:space="preserve">que la </w:t>
      </w:r>
      <w:r w:rsidR="00834C8A" w:rsidRPr="001D78AE">
        <w:t xml:space="preserve">commune </w:t>
      </w:r>
      <w:r w:rsidR="00965334" w:rsidRPr="001D78AE">
        <w:t>influenc</w:t>
      </w:r>
      <w:r w:rsidR="00940B4F" w:rsidRPr="001D78AE">
        <w:t>e de façon déterminante</w:t>
      </w:r>
      <w:r w:rsidR="00965334" w:rsidRPr="001D78AE">
        <w:t xml:space="preserve"> doivent être inscrites dans le tableau des participations.</w:t>
      </w:r>
    </w:p>
    <w:p w:rsidR="00965334" w:rsidRPr="001D78AE" w:rsidRDefault="00C61223" w:rsidP="00965334">
      <w:r w:rsidRPr="001D78AE">
        <w:rPr>
          <w:rStyle w:val="Appelnotedebasdep"/>
          <w:position w:val="6"/>
          <w:sz w:val="14"/>
          <w:vertAlign w:val="baseline"/>
        </w:rPr>
        <w:t>2</w:t>
      </w:r>
      <w:r w:rsidRPr="001D78AE">
        <w:rPr>
          <w:position w:val="6"/>
          <w:sz w:val="14"/>
        </w:rPr>
        <w:t xml:space="preserve"> </w:t>
      </w:r>
      <w:r w:rsidR="00965334" w:rsidRPr="001D78AE">
        <w:t>Le tableau des participations contient pour chaque organisation</w:t>
      </w:r>
      <w:r w:rsidR="007061E8" w:rsidRPr="001D78AE">
        <w:t> :</w:t>
      </w:r>
    </w:p>
    <w:p w:rsidR="00965334" w:rsidRPr="001D78AE" w:rsidRDefault="00EA4DEF" w:rsidP="00EA4DEF">
      <w:pPr>
        <w:pStyle w:val="Structure1"/>
      </w:pPr>
      <w:r w:rsidRPr="001D78AE">
        <w:t>a)</w:t>
      </w:r>
      <w:r w:rsidRPr="001D78AE">
        <w:tab/>
      </w:r>
      <w:r w:rsidR="00965334" w:rsidRPr="001D78AE">
        <w:t>le nom et la forme juridique de l</w:t>
      </w:r>
      <w:r w:rsidR="007061E8" w:rsidRPr="001D78AE">
        <w:t>’</w:t>
      </w:r>
      <w:r w:rsidR="00204266" w:rsidRPr="001D78AE">
        <w:t>organisation</w:t>
      </w:r>
      <w:r w:rsidR="007061E8" w:rsidRPr="001D78AE">
        <w:t> ;</w:t>
      </w:r>
    </w:p>
    <w:p w:rsidR="00965334" w:rsidRPr="001D78AE" w:rsidRDefault="00EA4DEF" w:rsidP="00EA4DEF">
      <w:pPr>
        <w:pStyle w:val="Structure1"/>
      </w:pPr>
      <w:r w:rsidRPr="001D78AE">
        <w:t>b)</w:t>
      </w:r>
      <w:r w:rsidRPr="001D78AE">
        <w:tab/>
      </w:r>
      <w:r w:rsidR="00965334" w:rsidRPr="001D78AE">
        <w:t>les activités et l</w:t>
      </w:r>
      <w:r w:rsidR="00204266" w:rsidRPr="001D78AE">
        <w:t>es tâches publiques à effectuer</w:t>
      </w:r>
      <w:r w:rsidR="007061E8" w:rsidRPr="001D78AE">
        <w:t> ;</w:t>
      </w:r>
    </w:p>
    <w:p w:rsidR="000D7BFD" w:rsidRPr="001D78AE" w:rsidRDefault="000D7BFD" w:rsidP="00EA4DEF">
      <w:pPr>
        <w:pStyle w:val="Structure1"/>
        <w:rPr>
          <w:i/>
        </w:rPr>
      </w:pPr>
      <w:r w:rsidRPr="001D78AE">
        <w:t>c)</w:t>
      </w:r>
      <w:r w:rsidRPr="001D78AE">
        <w:tab/>
        <w:t>le cas échéant, la lettre de mission, définissant les relations entre la commune et l’organisation ;</w:t>
      </w:r>
    </w:p>
    <w:p w:rsidR="00965334" w:rsidRPr="001D78AE" w:rsidRDefault="005A276C" w:rsidP="00EA4DEF">
      <w:pPr>
        <w:pStyle w:val="Structure1"/>
      </w:pPr>
      <w:r w:rsidRPr="001D78AE">
        <w:t>d</w:t>
      </w:r>
      <w:r w:rsidR="00EA4DEF" w:rsidRPr="001D78AE">
        <w:t>)</w:t>
      </w:r>
      <w:r w:rsidR="00EA4DEF" w:rsidRPr="001D78AE">
        <w:tab/>
      </w:r>
      <w:r w:rsidR="00965334" w:rsidRPr="001D78AE">
        <w:t>l</w:t>
      </w:r>
      <w:r w:rsidR="007061E8" w:rsidRPr="001D78AE">
        <w:t>’</w:t>
      </w:r>
      <w:r w:rsidR="00965334" w:rsidRPr="001D78AE">
        <w:t>ensemble du capital de l</w:t>
      </w:r>
      <w:r w:rsidR="007061E8" w:rsidRPr="001D78AE">
        <w:t>’</w:t>
      </w:r>
      <w:r w:rsidR="00965334" w:rsidRPr="001D78AE">
        <w:t>organisatio</w:t>
      </w:r>
      <w:r w:rsidR="00204266" w:rsidRPr="001D78AE">
        <w:t>n et la part de la</w:t>
      </w:r>
      <w:r w:rsidR="00834C8A" w:rsidRPr="001D78AE">
        <w:t xml:space="preserve"> commune</w:t>
      </w:r>
      <w:r w:rsidR="007061E8" w:rsidRPr="001D78AE">
        <w:t> ;</w:t>
      </w:r>
    </w:p>
    <w:p w:rsidR="00965334" w:rsidRPr="001D78AE" w:rsidRDefault="005A276C" w:rsidP="00EA4DEF">
      <w:pPr>
        <w:pStyle w:val="Structure1"/>
      </w:pPr>
      <w:r w:rsidRPr="001D78AE">
        <w:t>e</w:t>
      </w:r>
      <w:r w:rsidR="00EA4DEF" w:rsidRPr="001D78AE">
        <w:t>)</w:t>
      </w:r>
      <w:r w:rsidR="00EA4DEF" w:rsidRPr="001D78AE">
        <w:tab/>
      </w:r>
      <w:r w:rsidR="00965334" w:rsidRPr="001D78AE">
        <w:t>la valeur d</w:t>
      </w:r>
      <w:r w:rsidR="007061E8" w:rsidRPr="001D78AE">
        <w:t>’</w:t>
      </w:r>
      <w:r w:rsidR="00965334" w:rsidRPr="001D78AE">
        <w:t>acquisition et la valeu</w:t>
      </w:r>
      <w:r w:rsidR="00204266" w:rsidRPr="001D78AE">
        <w:t>r comptable de la participation</w:t>
      </w:r>
      <w:r w:rsidR="007061E8" w:rsidRPr="001D78AE">
        <w:t> ;</w:t>
      </w:r>
    </w:p>
    <w:p w:rsidR="00965334" w:rsidRPr="001D78AE" w:rsidRDefault="005A276C" w:rsidP="00EA4DEF">
      <w:pPr>
        <w:pStyle w:val="Structure1"/>
      </w:pPr>
      <w:r w:rsidRPr="001D78AE">
        <w:t>f</w:t>
      </w:r>
      <w:r w:rsidR="00EA4DEF" w:rsidRPr="001D78AE">
        <w:t>)</w:t>
      </w:r>
      <w:r w:rsidR="00EA4DEF" w:rsidRPr="001D78AE">
        <w:tab/>
      </w:r>
      <w:r w:rsidR="00965334" w:rsidRPr="001D78AE">
        <w:t>les princip</w:t>
      </w:r>
      <w:r w:rsidR="00204266" w:rsidRPr="001D78AE">
        <w:t>ales autres parties intéressées</w:t>
      </w:r>
      <w:r w:rsidR="007061E8" w:rsidRPr="001D78AE">
        <w:t> ;</w:t>
      </w:r>
    </w:p>
    <w:p w:rsidR="00965334" w:rsidRPr="001D78AE" w:rsidRDefault="005A276C" w:rsidP="00EA4DEF">
      <w:pPr>
        <w:pStyle w:val="Structure1"/>
      </w:pPr>
      <w:r w:rsidRPr="001D78AE">
        <w:t>g</w:t>
      </w:r>
      <w:r w:rsidR="00EA4DEF" w:rsidRPr="001D78AE">
        <w:t>)</w:t>
      </w:r>
      <w:r w:rsidR="00EA4DEF" w:rsidRPr="001D78AE">
        <w:tab/>
      </w:r>
      <w:r w:rsidR="00965334" w:rsidRPr="001D78AE">
        <w:t xml:space="preserve">les participations </w:t>
      </w:r>
      <w:r w:rsidR="00940B4F" w:rsidRPr="001D78AE">
        <w:t xml:space="preserve">que détient en </w:t>
      </w:r>
      <w:r w:rsidR="00965334" w:rsidRPr="001D78AE">
        <w:t>propre l</w:t>
      </w:r>
      <w:r w:rsidR="007061E8" w:rsidRPr="001D78AE">
        <w:t>’</w:t>
      </w:r>
      <w:r w:rsidR="00204266" w:rsidRPr="001D78AE">
        <w:t>organisation</w:t>
      </w:r>
      <w:r w:rsidR="007061E8" w:rsidRPr="001D78AE">
        <w:t> ;</w:t>
      </w:r>
    </w:p>
    <w:p w:rsidR="00965334" w:rsidRPr="001D78AE" w:rsidRDefault="005A276C" w:rsidP="00EA4DEF">
      <w:pPr>
        <w:pStyle w:val="Structure1"/>
      </w:pPr>
      <w:r w:rsidRPr="001D78AE">
        <w:lastRenderedPageBreak/>
        <w:t>h</w:t>
      </w:r>
      <w:r w:rsidR="00EA4DEF" w:rsidRPr="001D78AE">
        <w:t>)</w:t>
      </w:r>
      <w:r w:rsidR="00EA4DEF" w:rsidRPr="001D78AE">
        <w:tab/>
      </w:r>
      <w:r w:rsidR="00965334" w:rsidRPr="001D78AE">
        <w:t>les flux financiers pendant l</w:t>
      </w:r>
      <w:r w:rsidR="007061E8" w:rsidRPr="001D78AE">
        <w:t>’</w:t>
      </w:r>
      <w:r w:rsidR="00965334" w:rsidRPr="001D78AE">
        <w:t xml:space="preserve">année de référence entre la </w:t>
      </w:r>
      <w:r w:rsidR="00834C8A" w:rsidRPr="001D78AE">
        <w:t xml:space="preserve">commune </w:t>
      </w:r>
      <w:r w:rsidR="00965334" w:rsidRPr="001D78AE">
        <w:t>et l</w:t>
      </w:r>
      <w:r w:rsidR="007061E8" w:rsidRPr="001D78AE">
        <w:t>’</w:t>
      </w:r>
      <w:r w:rsidR="00965334" w:rsidRPr="001D78AE">
        <w:t>organisation et les indications sur les prestations fournies par l</w:t>
      </w:r>
      <w:r w:rsidR="007061E8" w:rsidRPr="001D78AE">
        <w:t>’</w:t>
      </w:r>
      <w:r w:rsidR="00204266" w:rsidRPr="001D78AE">
        <w:t>organisation</w:t>
      </w:r>
      <w:r w:rsidR="007061E8" w:rsidRPr="001D78AE">
        <w:t> ;</w:t>
      </w:r>
    </w:p>
    <w:p w:rsidR="00965334" w:rsidRPr="001D78AE" w:rsidRDefault="005A276C" w:rsidP="00EA4DEF">
      <w:pPr>
        <w:pStyle w:val="Structure1"/>
      </w:pPr>
      <w:r w:rsidRPr="001D78AE">
        <w:t>i</w:t>
      </w:r>
      <w:r w:rsidR="00EA4DEF" w:rsidRPr="001D78AE">
        <w:t>)</w:t>
      </w:r>
      <w:r w:rsidR="00EA4DEF" w:rsidRPr="001D78AE">
        <w:tab/>
      </w:r>
      <w:r w:rsidR="00965334" w:rsidRPr="001D78AE">
        <w:t>les déclarations sur les risques spécifiques, y compris les engagements conditionnels et obligations de garantie de l</w:t>
      </w:r>
      <w:r w:rsidR="007061E8" w:rsidRPr="001D78AE">
        <w:t>’</w:t>
      </w:r>
      <w:r w:rsidR="00204266" w:rsidRPr="001D78AE">
        <w:t>organisation</w:t>
      </w:r>
      <w:r w:rsidR="007061E8" w:rsidRPr="001D78AE">
        <w:t> ;</w:t>
      </w:r>
    </w:p>
    <w:p w:rsidR="00965334" w:rsidRPr="001D78AE" w:rsidRDefault="005A276C" w:rsidP="00EA4DEF">
      <w:pPr>
        <w:pStyle w:val="Structure1"/>
      </w:pPr>
      <w:r w:rsidRPr="001D78AE">
        <w:t>j</w:t>
      </w:r>
      <w:r w:rsidR="00EA4DEF" w:rsidRPr="001D78AE">
        <w:t>)</w:t>
      </w:r>
      <w:r w:rsidR="00EA4DEF" w:rsidRPr="001D78AE">
        <w:tab/>
      </w:r>
      <w:r w:rsidR="00965334" w:rsidRPr="001D78AE">
        <w:t>le bilan et le compte de résultats consolidés des derniers comptes annuels de l</w:t>
      </w:r>
      <w:r w:rsidR="007061E8" w:rsidRPr="001D78AE">
        <w:t>’</w:t>
      </w:r>
      <w:r w:rsidR="00965334" w:rsidRPr="001D78AE">
        <w:t>organisation avec indications sur les normes de présentation des comptes appliquées.</w:t>
      </w:r>
    </w:p>
    <w:p w:rsidR="00834C8A" w:rsidRPr="001D78AE" w:rsidRDefault="00C61223" w:rsidP="00834C8A">
      <w:r w:rsidRPr="001D78AE">
        <w:rPr>
          <w:rStyle w:val="Appelnotedebasdep"/>
          <w:position w:val="6"/>
          <w:sz w:val="14"/>
          <w:vertAlign w:val="baseline"/>
        </w:rPr>
        <w:t>3</w:t>
      </w:r>
      <w:r w:rsidRPr="001D78AE">
        <w:rPr>
          <w:position w:val="6"/>
          <w:sz w:val="14"/>
        </w:rPr>
        <w:t xml:space="preserve"> </w:t>
      </w:r>
      <w:r w:rsidR="00834C8A" w:rsidRPr="001D78AE">
        <w:t>Le tableau des participations peut être présenté dans le même tableau que les garanties si cela ne nuit pas à la clarté des informations.</w:t>
      </w:r>
    </w:p>
    <w:p w:rsidR="00965334" w:rsidRPr="001D78AE" w:rsidRDefault="00965334" w:rsidP="00EA4DEF">
      <w:pPr>
        <w:pStyle w:val="NoArt"/>
      </w:pPr>
      <w:bookmarkStart w:id="29" w:name="_Toc379958488"/>
      <w:bookmarkStart w:id="30" w:name="_Toc522697277"/>
      <w:r w:rsidRPr="001D78AE">
        <w:rPr>
          <w:b/>
        </w:rPr>
        <w:t xml:space="preserve">Art. </w:t>
      </w:r>
      <w:r w:rsidR="005A584F" w:rsidRPr="001D78AE">
        <w:rPr>
          <w:b/>
        </w:rPr>
        <w:t>1</w:t>
      </w:r>
      <w:r w:rsidR="005A6ABA" w:rsidRPr="001D78AE">
        <w:rPr>
          <w:b/>
        </w:rPr>
        <w:t>6</w:t>
      </w:r>
      <w:r w:rsidR="0084421D" w:rsidRPr="001D78AE">
        <w:rPr>
          <w:b/>
        </w:rPr>
        <w:tab/>
      </w:r>
      <w:r w:rsidR="00834C8A" w:rsidRPr="001D78AE">
        <w:t xml:space="preserve">d) </w:t>
      </w:r>
      <w:r w:rsidRPr="001D78AE">
        <w:t>Tableau des garanties</w:t>
      </w:r>
      <w:bookmarkEnd w:id="29"/>
      <w:r w:rsidR="0001217F" w:rsidRPr="001D78AE">
        <w:t xml:space="preserve"> (art. 18 al. 1 let. e LFCo)</w:t>
      </w:r>
      <w:bookmarkEnd w:id="30"/>
    </w:p>
    <w:p w:rsidR="00965334" w:rsidRPr="001D78AE" w:rsidRDefault="001A5E25" w:rsidP="00965334">
      <w:r w:rsidRPr="001D78AE">
        <w:rPr>
          <w:rStyle w:val="Appelnotedebasdep"/>
          <w:position w:val="6"/>
          <w:sz w:val="14"/>
          <w:vertAlign w:val="baseline"/>
        </w:rPr>
        <w:t>1</w:t>
      </w:r>
      <w:r w:rsidRPr="001D78AE">
        <w:rPr>
          <w:position w:val="6"/>
          <w:sz w:val="14"/>
        </w:rPr>
        <w:t xml:space="preserve"> </w:t>
      </w:r>
      <w:r w:rsidR="00F474BC">
        <w:t>T</w:t>
      </w:r>
      <w:r w:rsidR="00965334" w:rsidRPr="001D78AE">
        <w:t xml:space="preserve">outes les activités pouvant </w:t>
      </w:r>
      <w:r w:rsidR="00A239D8" w:rsidRPr="001D78AE">
        <w:t>entraîner</w:t>
      </w:r>
      <w:r w:rsidR="00965334" w:rsidRPr="001D78AE">
        <w:t xml:space="preserve"> un engagement </w:t>
      </w:r>
      <w:r w:rsidR="00F474BC">
        <w:t xml:space="preserve">important </w:t>
      </w:r>
      <w:r w:rsidR="00965334" w:rsidRPr="001D78AE">
        <w:t>de</w:t>
      </w:r>
      <w:r w:rsidR="00372912" w:rsidRPr="001D78AE">
        <w:t xml:space="preserve"> la</w:t>
      </w:r>
      <w:r w:rsidR="00965334" w:rsidRPr="001D78AE">
        <w:t xml:space="preserve"> </w:t>
      </w:r>
      <w:r w:rsidR="00834C8A" w:rsidRPr="001D78AE">
        <w:t xml:space="preserve">commune </w:t>
      </w:r>
      <w:r w:rsidR="00965334" w:rsidRPr="001D78AE">
        <w:t>doivent être inscrites</w:t>
      </w:r>
      <w:r w:rsidR="00F474BC">
        <w:t xml:space="preserve"> dans le tableau des garanties, lequel</w:t>
      </w:r>
      <w:r w:rsidR="00965334" w:rsidRPr="001D78AE">
        <w:t xml:space="preserve"> comprend notamment</w:t>
      </w:r>
      <w:r w:rsidR="007061E8" w:rsidRPr="001D78AE">
        <w:t> :</w:t>
      </w:r>
    </w:p>
    <w:p w:rsidR="00965334" w:rsidRPr="001D78AE" w:rsidRDefault="00EA4DEF" w:rsidP="00EA4DEF">
      <w:pPr>
        <w:pStyle w:val="Structure1"/>
      </w:pPr>
      <w:r w:rsidRPr="001D78AE">
        <w:t>a)</w:t>
      </w:r>
      <w:r w:rsidRPr="001D78AE">
        <w:tab/>
      </w:r>
      <w:r w:rsidR="00965334" w:rsidRPr="001D78AE">
        <w:t xml:space="preserve">les engagements conditionnels dans lesquels la </w:t>
      </w:r>
      <w:r w:rsidR="00834C8A" w:rsidRPr="001D78AE">
        <w:t xml:space="preserve">commune </w:t>
      </w:r>
      <w:r w:rsidR="00965334" w:rsidRPr="001D78AE">
        <w:t>s</w:t>
      </w:r>
      <w:r w:rsidR="007061E8" w:rsidRPr="001D78AE">
        <w:t>’</w:t>
      </w:r>
      <w:r w:rsidR="00965334" w:rsidRPr="001D78AE">
        <w:t>engage au profit de tiers, en particulier les cautionnements, les garanties</w:t>
      </w:r>
      <w:r w:rsidR="00F474BC">
        <w:t xml:space="preserve"> et</w:t>
      </w:r>
      <w:r w:rsidR="00F474BC" w:rsidRPr="001D78AE">
        <w:t xml:space="preserve"> </w:t>
      </w:r>
      <w:r w:rsidR="00965334" w:rsidRPr="001D78AE">
        <w:t>les garanties de déficit</w:t>
      </w:r>
      <w:r w:rsidR="007061E8" w:rsidRPr="001D78AE">
        <w:t> ;</w:t>
      </w:r>
    </w:p>
    <w:p w:rsidR="00965334" w:rsidRPr="001D78AE" w:rsidRDefault="00EA4DEF" w:rsidP="00EA4DEF">
      <w:pPr>
        <w:pStyle w:val="Structure1"/>
      </w:pPr>
      <w:r w:rsidRPr="001D78AE">
        <w:t>b)</w:t>
      </w:r>
      <w:r w:rsidRPr="001D78AE">
        <w:tab/>
      </w:r>
      <w:r w:rsidR="00965334" w:rsidRPr="001D78AE">
        <w:t>d</w:t>
      </w:r>
      <w:r w:rsidR="007061E8" w:rsidRPr="001D78AE">
        <w:t>’</w:t>
      </w:r>
      <w:r w:rsidR="00965334" w:rsidRPr="001D78AE">
        <w:t>autres états de fait ayant un caractère conditionnel, pour autant qu</w:t>
      </w:r>
      <w:r w:rsidR="007061E8" w:rsidRPr="001D78AE">
        <w:t>’</w:t>
      </w:r>
      <w:r w:rsidR="00965334" w:rsidRPr="001D78AE">
        <w:t>ils ne soient pas déjà pris en considération en tant que provisions</w:t>
      </w:r>
      <w:r w:rsidR="00834C8A" w:rsidRPr="001D78AE">
        <w:t>.</w:t>
      </w:r>
    </w:p>
    <w:p w:rsidR="00965334" w:rsidRPr="001D78AE" w:rsidRDefault="001A5E25" w:rsidP="00965334">
      <w:r w:rsidRPr="001D78AE">
        <w:rPr>
          <w:rStyle w:val="Appelnotedebasdep"/>
          <w:position w:val="6"/>
          <w:sz w:val="14"/>
          <w:vertAlign w:val="baseline"/>
        </w:rPr>
        <w:t>2</w:t>
      </w:r>
      <w:r w:rsidRPr="001D78AE">
        <w:rPr>
          <w:position w:val="6"/>
          <w:sz w:val="14"/>
        </w:rPr>
        <w:t xml:space="preserve"> </w:t>
      </w:r>
      <w:r w:rsidR="00965334" w:rsidRPr="001D78AE">
        <w:t>Le tableau des garanties contient pour chaque engagement</w:t>
      </w:r>
      <w:r w:rsidR="007061E8" w:rsidRPr="001D78AE">
        <w:t> :</w:t>
      </w:r>
    </w:p>
    <w:p w:rsidR="00965334" w:rsidRPr="001D78AE" w:rsidRDefault="00EA4DEF" w:rsidP="00EA4DEF">
      <w:pPr>
        <w:pStyle w:val="Structure1"/>
      </w:pPr>
      <w:r w:rsidRPr="001D78AE">
        <w:t>a)</w:t>
      </w:r>
      <w:r w:rsidRPr="001D78AE">
        <w:tab/>
      </w:r>
      <w:r w:rsidR="00965334" w:rsidRPr="001D78AE">
        <w:t xml:space="preserve">le nom </w:t>
      </w:r>
      <w:r w:rsidR="00940B4F" w:rsidRPr="001D78AE">
        <w:t>du bénéficiaire</w:t>
      </w:r>
      <w:r w:rsidR="007061E8" w:rsidRPr="001D78AE">
        <w:t> ;</w:t>
      </w:r>
    </w:p>
    <w:p w:rsidR="00965334" w:rsidRPr="001D78AE" w:rsidRDefault="00EA4DEF" w:rsidP="00EA4DEF">
      <w:pPr>
        <w:pStyle w:val="Structure1"/>
      </w:pPr>
      <w:r w:rsidRPr="001D78AE">
        <w:t>b)</w:t>
      </w:r>
      <w:r w:rsidRPr="001D78AE">
        <w:tab/>
      </w:r>
      <w:r w:rsidR="00965334" w:rsidRPr="001D78AE">
        <w:t xml:space="preserve">les propriétaires ou copropriétaires </w:t>
      </w:r>
      <w:r w:rsidR="00940B4F" w:rsidRPr="001D78AE">
        <w:t>majoritaires du bénéficiaire</w:t>
      </w:r>
      <w:r w:rsidR="007061E8" w:rsidRPr="001D78AE">
        <w:t> ;</w:t>
      </w:r>
    </w:p>
    <w:p w:rsidR="00965334" w:rsidRPr="001D78AE" w:rsidRDefault="00EA4DEF" w:rsidP="00EA4DEF">
      <w:pPr>
        <w:pStyle w:val="Structure1"/>
      </w:pPr>
      <w:r w:rsidRPr="001D78AE">
        <w:t>c)</w:t>
      </w:r>
      <w:r w:rsidRPr="001D78AE">
        <w:tab/>
      </w:r>
      <w:r w:rsidR="00965334" w:rsidRPr="001D78AE">
        <w:t>la</w:t>
      </w:r>
      <w:r w:rsidR="00A239D8" w:rsidRPr="001D78AE">
        <w:t xml:space="preserve"> </w:t>
      </w:r>
      <w:r w:rsidR="00940B4F" w:rsidRPr="001D78AE">
        <w:t>nature de l</w:t>
      </w:r>
      <w:r w:rsidR="007061E8" w:rsidRPr="001D78AE">
        <w:t>’</w:t>
      </w:r>
      <w:r w:rsidR="00940B4F" w:rsidRPr="001D78AE">
        <w:t>engagement</w:t>
      </w:r>
      <w:r w:rsidR="007061E8" w:rsidRPr="001D78AE">
        <w:t> ;</w:t>
      </w:r>
    </w:p>
    <w:p w:rsidR="00965334" w:rsidRPr="001D78AE" w:rsidRDefault="00EA4DEF" w:rsidP="00EA4DEF">
      <w:pPr>
        <w:pStyle w:val="Structure1"/>
      </w:pPr>
      <w:r w:rsidRPr="001D78AE">
        <w:t>d)</w:t>
      </w:r>
      <w:r w:rsidRPr="001D78AE">
        <w:tab/>
      </w:r>
      <w:r w:rsidR="00965334" w:rsidRPr="001D78AE">
        <w:t xml:space="preserve">les flux financiers </w:t>
      </w:r>
      <w:r w:rsidR="00F474BC">
        <w:t>durant</w:t>
      </w:r>
      <w:r w:rsidR="00F474BC" w:rsidRPr="001D78AE">
        <w:t xml:space="preserve"> </w:t>
      </w:r>
      <w:r w:rsidR="00965334" w:rsidRPr="001D78AE">
        <w:t>l</w:t>
      </w:r>
      <w:r w:rsidR="007061E8" w:rsidRPr="001D78AE">
        <w:t>’</w:t>
      </w:r>
      <w:r w:rsidR="00965334" w:rsidRPr="001D78AE">
        <w:t xml:space="preserve">année de référence entre </w:t>
      </w:r>
      <w:r w:rsidR="00940B4F" w:rsidRPr="001D78AE">
        <w:t xml:space="preserve">la </w:t>
      </w:r>
      <w:r w:rsidR="00F474BC">
        <w:t>commune</w:t>
      </w:r>
      <w:r w:rsidR="00F474BC" w:rsidRPr="001D78AE">
        <w:t xml:space="preserve"> </w:t>
      </w:r>
      <w:r w:rsidR="00A239D8" w:rsidRPr="001D78AE">
        <w:t xml:space="preserve">et </w:t>
      </w:r>
      <w:r w:rsidR="00940B4F" w:rsidRPr="001D78AE">
        <w:t>le bénéficiaire</w:t>
      </w:r>
      <w:r w:rsidR="007061E8" w:rsidRPr="001D78AE">
        <w:t> ;</w:t>
      </w:r>
    </w:p>
    <w:p w:rsidR="00965334" w:rsidRPr="001D78AE" w:rsidRDefault="00EA4DEF" w:rsidP="00EA4DEF">
      <w:pPr>
        <w:pStyle w:val="Structure1"/>
      </w:pPr>
      <w:r w:rsidRPr="001D78AE">
        <w:t>e)</w:t>
      </w:r>
      <w:r w:rsidRPr="001D78AE">
        <w:tab/>
      </w:r>
      <w:r w:rsidR="00965334" w:rsidRPr="001D78AE">
        <w:t>les indications sur les presta</w:t>
      </w:r>
      <w:r w:rsidR="00A239D8" w:rsidRPr="001D78AE">
        <w:t xml:space="preserve">tions couvertes par </w:t>
      </w:r>
      <w:r w:rsidR="00940B4F" w:rsidRPr="001D78AE">
        <w:t>l</w:t>
      </w:r>
      <w:r w:rsidR="007061E8" w:rsidRPr="001D78AE">
        <w:t>’</w:t>
      </w:r>
      <w:r w:rsidR="00940B4F" w:rsidRPr="001D78AE">
        <w:t>engagement</w:t>
      </w:r>
      <w:r w:rsidR="007061E8" w:rsidRPr="001D78AE">
        <w:t> ;</w:t>
      </w:r>
    </w:p>
    <w:p w:rsidR="00965334" w:rsidRPr="001D78AE" w:rsidRDefault="00EA4DEF" w:rsidP="00EA4DEF">
      <w:pPr>
        <w:pStyle w:val="Structure1"/>
      </w:pPr>
      <w:r w:rsidRPr="001D78AE">
        <w:t>f)</w:t>
      </w:r>
      <w:r w:rsidRPr="001D78AE">
        <w:tab/>
      </w:r>
      <w:r w:rsidR="00965334" w:rsidRPr="001D78AE">
        <w:t>selon l</w:t>
      </w:r>
      <w:r w:rsidR="007061E8" w:rsidRPr="001D78AE">
        <w:t>’</w:t>
      </w:r>
      <w:r w:rsidR="00965334" w:rsidRPr="001D78AE">
        <w:t>étendue et la nature de la garantie, les indications spécifiques supplémentaires.</w:t>
      </w:r>
    </w:p>
    <w:p w:rsidR="00834C8A" w:rsidRPr="001D78AE" w:rsidRDefault="001A5E25" w:rsidP="00834C8A">
      <w:r w:rsidRPr="001D78AE">
        <w:rPr>
          <w:rStyle w:val="Appelnotedebasdep"/>
          <w:position w:val="6"/>
          <w:sz w:val="14"/>
          <w:vertAlign w:val="baseline"/>
        </w:rPr>
        <w:t>3</w:t>
      </w:r>
      <w:r w:rsidRPr="001D78AE">
        <w:rPr>
          <w:position w:val="6"/>
          <w:sz w:val="14"/>
        </w:rPr>
        <w:t xml:space="preserve"> </w:t>
      </w:r>
      <w:r w:rsidR="00834C8A" w:rsidRPr="001D78AE">
        <w:t>Le tableau des garanties peut être présenté dans le même tableau que les participations si cela ne nuit pas à la clarté des informations.</w:t>
      </w:r>
    </w:p>
    <w:p w:rsidR="00965334" w:rsidRPr="001D78AE" w:rsidRDefault="00965334" w:rsidP="0027056F">
      <w:pPr>
        <w:pStyle w:val="NoArt"/>
      </w:pPr>
      <w:bookmarkStart w:id="31" w:name="_Toc379958489"/>
      <w:bookmarkStart w:id="32" w:name="_Toc522697278"/>
      <w:r w:rsidRPr="001D78AE">
        <w:rPr>
          <w:b/>
        </w:rPr>
        <w:t xml:space="preserve">Art. </w:t>
      </w:r>
      <w:r w:rsidR="005A584F" w:rsidRPr="001D78AE">
        <w:rPr>
          <w:b/>
        </w:rPr>
        <w:t>1</w:t>
      </w:r>
      <w:r w:rsidR="005A6ABA" w:rsidRPr="001D78AE">
        <w:rPr>
          <w:b/>
        </w:rPr>
        <w:t>7</w:t>
      </w:r>
      <w:r w:rsidR="0084421D" w:rsidRPr="001D78AE">
        <w:rPr>
          <w:b/>
        </w:rPr>
        <w:tab/>
      </w:r>
      <w:r w:rsidR="00A626D2" w:rsidRPr="001D78AE">
        <w:t>e) T</w:t>
      </w:r>
      <w:r w:rsidRPr="001D78AE">
        <w:t>ableau des immobilisations</w:t>
      </w:r>
      <w:bookmarkEnd w:id="31"/>
      <w:r w:rsidR="0001217F" w:rsidRPr="001D78AE">
        <w:t xml:space="preserve"> (art. 18 al. 1 let. f LFCo)</w:t>
      </w:r>
      <w:bookmarkEnd w:id="32"/>
    </w:p>
    <w:p w:rsidR="00965334" w:rsidRPr="001D78AE" w:rsidRDefault="00A2394C" w:rsidP="00965334">
      <w:r w:rsidRPr="001D78AE">
        <w:rPr>
          <w:rStyle w:val="Appelnotedebasdep"/>
          <w:position w:val="6"/>
          <w:sz w:val="14"/>
          <w:vertAlign w:val="baseline"/>
        </w:rPr>
        <w:t>1</w:t>
      </w:r>
      <w:r w:rsidRPr="001D78AE">
        <w:rPr>
          <w:position w:val="6"/>
          <w:sz w:val="14"/>
        </w:rPr>
        <w:t xml:space="preserve"> </w:t>
      </w:r>
      <w:r w:rsidR="00965334" w:rsidRPr="001D78AE">
        <w:t xml:space="preserve">Le tableau des immobilisations contient le total des valeurs comptables des </w:t>
      </w:r>
      <w:r w:rsidR="00BB0225" w:rsidRPr="001D78AE">
        <w:t xml:space="preserve">immobilisations </w:t>
      </w:r>
      <w:r w:rsidR="00965334" w:rsidRPr="001D78AE">
        <w:t xml:space="preserve">et les </w:t>
      </w:r>
      <w:r w:rsidR="004957FE" w:rsidRPr="001D78AE">
        <w:t xml:space="preserve">amortissements cumulés </w:t>
      </w:r>
      <w:r w:rsidR="00965334" w:rsidRPr="001D78AE">
        <w:t>au début et à la fin de la période.</w:t>
      </w:r>
    </w:p>
    <w:p w:rsidR="00965334" w:rsidRPr="001D78AE" w:rsidRDefault="00A2394C" w:rsidP="00965334">
      <w:r w:rsidRPr="001D78AE">
        <w:rPr>
          <w:rStyle w:val="Appelnotedebasdep"/>
          <w:position w:val="6"/>
          <w:sz w:val="14"/>
          <w:vertAlign w:val="baseline"/>
        </w:rPr>
        <w:t>2</w:t>
      </w:r>
      <w:r w:rsidRPr="001D78AE">
        <w:rPr>
          <w:position w:val="6"/>
          <w:sz w:val="14"/>
        </w:rPr>
        <w:t xml:space="preserve"> </w:t>
      </w:r>
      <w:r w:rsidR="00965334" w:rsidRPr="001D78AE">
        <w:t>Les valeurs comptables brutes doivent être définies en fonction des mouvements suivants</w:t>
      </w:r>
      <w:r w:rsidR="007061E8" w:rsidRPr="001D78AE">
        <w:t> :</w:t>
      </w:r>
    </w:p>
    <w:p w:rsidR="00965334" w:rsidRPr="001D78AE" w:rsidRDefault="0027056F" w:rsidP="0027056F">
      <w:pPr>
        <w:pStyle w:val="Structure1"/>
      </w:pPr>
      <w:r w:rsidRPr="001D78AE">
        <w:lastRenderedPageBreak/>
        <w:t>a)</w:t>
      </w:r>
      <w:r w:rsidRPr="001D78AE">
        <w:tab/>
      </w:r>
      <w:r w:rsidR="007F3A72" w:rsidRPr="001D78AE">
        <w:t>les entrées</w:t>
      </w:r>
      <w:r w:rsidR="007061E8" w:rsidRPr="001D78AE">
        <w:t> ;</w:t>
      </w:r>
    </w:p>
    <w:p w:rsidR="00965334" w:rsidRPr="001D78AE" w:rsidRDefault="0027056F" w:rsidP="0027056F">
      <w:pPr>
        <w:pStyle w:val="Structure1"/>
      </w:pPr>
      <w:r w:rsidRPr="001D78AE">
        <w:t>b)</w:t>
      </w:r>
      <w:r w:rsidRPr="001D78AE">
        <w:tab/>
      </w:r>
      <w:r w:rsidR="007F3A72" w:rsidRPr="001D78AE">
        <w:t>les sorties et les aliénations</w:t>
      </w:r>
      <w:r w:rsidR="007061E8" w:rsidRPr="001D78AE">
        <w:t> ;</w:t>
      </w:r>
    </w:p>
    <w:p w:rsidR="00965334" w:rsidRPr="001D78AE" w:rsidRDefault="00965334" w:rsidP="0027056F">
      <w:pPr>
        <w:pStyle w:val="Structure1"/>
      </w:pPr>
      <w:r w:rsidRPr="001D78AE">
        <w:t>c</w:t>
      </w:r>
      <w:r w:rsidR="0027056F" w:rsidRPr="001D78AE">
        <w:t>)</w:t>
      </w:r>
      <w:r w:rsidR="0027056F" w:rsidRPr="001D78AE">
        <w:tab/>
      </w:r>
      <w:r w:rsidRPr="001D78AE">
        <w:t>les augmentations ou les diminutions pendant la période qui résultent de réévaluations, d</w:t>
      </w:r>
      <w:r w:rsidR="007061E8" w:rsidRPr="001D78AE">
        <w:t>’</w:t>
      </w:r>
      <w:r w:rsidRPr="001D78AE">
        <w:t>augmentations d</w:t>
      </w:r>
      <w:r w:rsidR="007F3A72" w:rsidRPr="001D78AE">
        <w:t>e valeur ou de pertes de valeur</w:t>
      </w:r>
      <w:r w:rsidR="007061E8" w:rsidRPr="001D78AE">
        <w:t> ;</w:t>
      </w:r>
    </w:p>
    <w:p w:rsidR="00965334" w:rsidRPr="001D78AE" w:rsidRDefault="0027056F" w:rsidP="0027056F">
      <w:pPr>
        <w:pStyle w:val="Structure1"/>
      </w:pPr>
      <w:r w:rsidRPr="001D78AE">
        <w:t>d)</w:t>
      </w:r>
      <w:r w:rsidRPr="001D78AE">
        <w:tab/>
      </w:r>
      <w:r w:rsidR="00965334" w:rsidRPr="001D78AE">
        <w:t>les amortissements</w:t>
      </w:r>
      <w:r w:rsidR="007061E8" w:rsidRPr="001D78AE">
        <w:t> ;</w:t>
      </w:r>
    </w:p>
    <w:p w:rsidR="00965334" w:rsidRPr="001D78AE" w:rsidRDefault="00F474BC" w:rsidP="0027056F">
      <w:pPr>
        <w:pStyle w:val="Structure1"/>
      </w:pPr>
      <w:r>
        <w:t>e</w:t>
      </w:r>
      <w:r w:rsidR="0027056F" w:rsidRPr="001D78AE">
        <w:t>)</w:t>
      </w:r>
      <w:r w:rsidR="0027056F" w:rsidRPr="001D78AE">
        <w:tab/>
      </w:r>
      <w:r w:rsidR="00965334" w:rsidRPr="001D78AE">
        <w:t>les autres mouvements.</w:t>
      </w:r>
    </w:p>
    <w:p w:rsidR="00A626D2" w:rsidRPr="001D78AE" w:rsidRDefault="009E0686" w:rsidP="009E0686">
      <w:pPr>
        <w:pStyle w:val="Titre2"/>
      </w:pPr>
      <w:bookmarkStart w:id="33" w:name="_Toc522697279"/>
      <w:r w:rsidRPr="001D78AE">
        <w:t>4. Indicateurs financiers et limitation de l</w:t>
      </w:r>
      <w:r w:rsidR="007061E8" w:rsidRPr="001D78AE">
        <w:t>’</w:t>
      </w:r>
      <w:r w:rsidRPr="001D78AE">
        <w:t>endettement</w:t>
      </w:r>
      <w:bookmarkEnd w:id="33"/>
    </w:p>
    <w:p w:rsidR="00965334" w:rsidRPr="001D78AE" w:rsidRDefault="00965334" w:rsidP="0027056F">
      <w:pPr>
        <w:pStyle w:val="NoArt"/>
      </w:pPr>
      <w:bookmarkStart w:id="34" w:name="_Toc379958494"/>
      <w:bookmarkStart w:id="35" w:name="_Toc522697280"/>
      <w:r w:rsidRPr="001D78AE">
        <w:rPr>
          <w:b/>
        </w:rPr>
        <w:t>Art.</w:t>
      </w:r>
      <w:r w:rsidR="0046688A" w:rsidRPr="001D78AE">
        <w:rPr>
          <w:b/>
        </w:rPr>
        <w:t xml:space="preserve"> </w:t>
      </w:r>
      <w:r w:rsidR="005A584F" w:rsidRPr="001D78AE">
        <w:rPr>
          <w:b/>
        </w:rPr>
        <w:t>18</w:t>
      </w:r>
      <w:r w:rsidR="0084421D" w:rsidRPr="001D78AE">
        <w:rPr>
          <w:b/>
        </w:rPr>
        <w:tab/>
      </w:r>
      <w:r w:rsidR="00D4277E" w:rsidRPr="001D78AE">
        <w:t>I</w:t>
      </w:r>
      <w:r w:rsidRPr="001D78AE">
        <w:t>ndicateurs financier</w:t>
      </w:r>
      <w:bookmarkEnd w:id="34"/>
      <w:r w:rsidR="00A626D2" w:rsidRPr="001D78AE">
        <w:t>s</w:t>
      </w:r>
      <w:r w:rsidR="009F5714" w:rsidRPr="001D78AE">
        <w:t xml:space="preserve"> (art. 23 LFCo)</w:t>
      </w:r>
      <w:bookmarkEnd w:id="35"/>
    </w:p>
    <w:p w:rsidR="009F5714" w:rsidRPr="001D78AE" w:rsidRDefault="000676D1" w:rsidP="0066610F">
      <w:r w:rsidRPr="001D78AE">
        <w:rPr>
          <w:rStyle w:val="Appelnotedebasdep"/>
          <w:position w:val="6"/>
          <w:sz w:val="14"/>
          <w:vertAlign w:val="baseline"/>
        </w:rPr>
        <w:t>1</w:t>
      </w:r>
      <w:r w:rsidRPr="001D78AE">
        <w:rPr>
          <w:position w:val="6"/>
          <w:sz w:val="14"/>
        </w:rPr>
        <w:t xml:space="preserve"> </w:t>
      </w:r>
      <w:r w:rsidR="009F5714" w:rsidRPr="001D78AE">
        <w:t>Les indicateurs financiers sont définis comme suit :</w:t>
      </w:r>
    </w:p>
    <w:p w:rsidR="00D4277E" w:rsidRPr="001D78AE" w:rsidRDefault="009F5714" w:rsidP="009F5714">
      <w:pPr>
        <w:pStyle w:val="Structure1"/>
      </w:pPr>
      <w:r w:rsidRPr="001D78AE">
        <w:t>a)</w:t>
      </w:r>
      <w:r w:rsidRPr="001D78AE">
        <w:tab/>
      </w:r>
      <w:r w:rsidR="00A031E3" w:rsidRPr="001D78AE">
        <w:t>l</w:t>
      </w:r>
      <w:r w:rsidR="00D4277E" w:rsidRPr="001D78AE">
        <w:t>e taux d</w:t>
      </w:r>
      <w:r w:rsidR="007061E8" w:rsidRPr="001D78AE">
        <w:t>’</w:t>
      </w:r>
      <w:r w:rsidR="00D4277E" w:rsidRPr="001D78AE">
        <w:t xml:space="preserve">endettement </w:t>
      </w:r>
      <w:r w:rsidR="00350319" w:rsidRPr="001D78AE">
        <w:t xml:space="preserve">net </w:t>
      </w:r>
      <w:r w:rsidR="005A584F" w:rsidRPr="001D78AE">
        <w:t>exprime la part des revenus fiscaux nécessaire à amortir la dette nette</w:t>
      </w:r>
      <w:r w:rsidR="00A031E3" w:rsidRPr="001D78AE">
        <w:t> ;</w:t>
      </w:r>
    </w:p>
    <w:p w:rsidR="00A04F01" w:rsidRPr="001D78AE" w:rsidRDefault="00A04F01" w:rsidP="0066610F">
      <w:pPr>
        <w:pStyle w:val="Structure1"/>
      </w:pPr>
      <w:r w:rsidRPr="001D78AE">
        <w:t>b)</w:t>
      </w:r>
      <w:r w:rsidRPr="001D78AE">
        <w:tab/>
      </w:r>
      <w:r w:rsidR="00A031E3" w:rsidRPr="001D78AE">
        <w:t>l</w:t>
      </w:r>
      <w:r w:rsidRPr="001D78AE">
        <w:t>e degré d’autofinancement détermine la part des revenus affectée au financeme</w:t>
      </w:r>
      <w:r w:rsidR="00A031E3" w:rsidRPr="001D78AE">
        <w:t>nt des nouveaux investissements ;</w:t>
      </w:r>
    </w:p>
    <w:p w:rsidR="00A04F01" w:rsidRPr="001D78AE" w:rsidRDefault="00A04F01" w:rsidP="0066610F">
      <w:pPr>
        <w:pStyle w:val="Structure1"/>
      </w:pPr>
      <w:r w:rsidRPr="001D78AE">
        <w:t>c)</w:t>
      </w:r>
      <w:r w:rsidRPr="001D78AE">
        <w:tab/>
      </w:r>
      <w:r w:rsidR="00A031E3" w:rsidRPr="001D78AE">
        <w:t>l</w:t>
      </w:r>
      <w:r w:rsidRPr="001D78AE">
        <w:t xml:space="preserve">a part des charges </w:t>
      </w:r>
      <w:r w:rsidR="005A2E16" w:rsidRPr="001D78AE">
        <w:t>d’</w:t>
      </w:r>
      <w:r w:rsidRPr="001D78AE">
        <w:t xml:space="preserve">intérêts détermine le poids des intérêts des dettes </w:t>
      </w:r>
      <w:r w:rsidR="002E0FED" w:rsidRPr="001D78AE">
        <w:t xml:space="preserve">mesuré </w:t>
      </w:r>
      <w:r w:rsidR="00A031E3" w:rsidRPr="001D78AE">
        <w:t>par rapport aux revenus ;</w:t>
      </w:r>
    </w:p>
    <w:p w:rsidR="00A04F01" w:rsidRPr="001D78AE" w:rsidRDefault="00A031E3" w:rsidP="009F5714">
      <w:pPr>
        <w:pStyle w:val="Structure1"/>
      </w:pPr>
      <w:r w:rsidRPr="001D78AE">
        <w:t>d)</w:t>
      </w:r>
      <w:r w:rsidRPr="001D78AE">
        <w:tab/>
        <w:t xml:space="preserve">la dette brute par rapport aux revenus </w:t>
      </w:r>
      <w:r w:rsidR="00A22F8F" w:rsidRPr="001D78AE">
        <w:t>mesure la part des revenus nécessaire à amortir la dette brute</w:t>
      </w:r>
      <w:r w:rsidRPr="001D78AE">
        <w:t> ;</w:t>
      </w:r>
    </w:p>
    <w:p w:rsidR="009E3873" w:rsidRPr="001D78AE" w:rsidRDefault="00A031E3" w:rsidP="0066610F">
      <w:pPr>
        <w:pStyle w:val="Structure1"/>
      </w:pPr>
      <w:r w:rsidRPr="001D78AE">
        <w:t>e)</w:t>
      </w:r>
      <w:r w:rsidRPr="001D78AE">
        <w:tab/>
        <w:t>l</w:t>
      </w:r>
      <w:r w:rsidR="009E3873" w:rsidRPr="001D78AE">
        <w:t>a proportion des investissements mesure l’activité au niveau des investissements et son effet sur l’</w:t>
      </w:r>
      <w:r w:rsidRPr="001D78AE">
        <w:t>endettement net ;</w:t>
      </w:r>
    </w:p>
    <w:p w:rsidR="009E3873" w:rsidRPr="001D78AE" w:rsidRDefault="00A031E3" w:rsidP="0066610F">
      <w:pPr>
        <w:pStyle w:val="Structure1"/>
      </w:pPr>
      <w:r w:rsidRPr="001D78AE">
        <w:t>f)</w:t>
      </w:r>
      <w:r w:rsidRPr="001D78AE">
        <w:tab/>
        <w:t>l</w:t>
      </w:r>
      <w:r w:rsidR="009E3873" w:rsidRPr="001D78AE">
        <w:t xml:space="preserve">a part du service de la dette détermine </w:t>
      </w:r>
      <w:r w:rsidR="003D56CB" w:rsidRPr="001D78AE">
        <w:t>le poids</w:t>
      </w:r>
      <w:r w:rsidR="009E3873" w:rsidRPr="001D78AE">
        <w:t xml:space="preserve"> des charges financières induites par</w:t>
      </w:r>
      <w:r w:rsidR="003D56CB" w:rsidRPr="001D78AE">
        <w:t xml:space="preserve"> les dettes</w:t>
      </w:r>
      <w:r w:rsidR="009E3873" w:rsidRPr="001D78AE">
        <w:t xml:space="preserve"> mesuré par rapport aux revenus</w:t>
      </w:r>
      <w:r w:rsidRPr="001D78AE">
        <w:t> ;</w:t>
      </w:r>
    </w:p>
    <w:p w:rsidR="00184434" w:rsidRPr="001D78AE" w:rsidRDefault="00A031E3" w:rsidP="0066610F">
      <w:pPr>
        <w:pStyle w:val="Structure1"/>
      </w:pPr>
      <w:r w:rsidRPr="001D78AE">
        <w:t>g)</w:t>
      </w:r>
      <w:r w:rsidRPr="001D78AE">
        <w:tab/>
        <w:t>l</w:t>
      </w:r>
      <w:r w:rsidR="003D56CB" w:rsidRPr="001D78AE">
        <w:t>a dette nette par habitant permet l’appréciation et l’analyse comparative de l’endettement</w:t>
      </w:r>
      <w:r w:rsidR="00A22F8F" w:rsidRPr="001D78AE">
        <w:t xml:space="preserve"> net</w:t>
      </w:r>
      <w:r w:rsidRPr="001D78AE">
        <w:t> ;</w:t>
      </w:r>
    </w:p>
    <w:p w:rsidR="00184434" w:rsidRPr="001D78AE" w:rsidRDefault="00A031E3" w:rsidP="0066610F">
      <w:pPr>
        <w:pStyle w:val="Structure1"/>
      </w:pPr>
      <w:r w:rsidRPr="001D78AE">
        <w:t>h)</w:t>
      </w:r>
      <w:r w:rsidRPr="001D78AE">
        <w:tab/>
        <w:t>l</w:t>
      </w:r>
      <w:r w:rsidR="003D56CB" w:rsidRPr="001D78AE">
        <w:t>e taux d’autofinancement caractérise la capacité, respectivement la marge financière dont dispose la commune.</w:t>
      </w:r>
    </w:p>
    <w:p w:rsidR="00A04F01" w:rsidRPr="001D78AE" w:rsidRDefault="000676D1" w:rsidP="00A04F01">
      <w:r w:rsidRPr="001D78AE">
        <w:rPr>
          <w:rStyle w:val="Appelnotedebasdep"/>
          <w:position w:val="6"/>
          <w:sz w:val="14"/>
          <w:vertAlign w:val="baseline"/>
        </w:rPr>
        <w:t>2</w:t>
      </w:r>
      <w:r w:rsidRPr="001D78AE">
        <w:rPr>
          <w:position w:val="6"/>
          <w:sz w:val="14"/>
        </w:rPr>
        <w:t xml:space="preserve"> </w:t>
      </w:r>
      <w:r w:rsidR="00A04F01" w:rsidRPr="001D78AE">
        <w:t>L</w:t>
      </w:r>
      <w:r w:rsidR="00F474BC">
        <w:t>’</w:t>
      </w:r>
      <w:r w:rsidR="00576913" w:rsidRPr="001D78AE">
        <w:t xml:space="preserve">indicateur financier défini </w:t>
      </w:r>
      <w:r w:rsidR="00A031E3" w:rsidRPr="001D78AE">
        <w:t xml:space="preserve">à l’alinéa 1 </w:t>
      </w:r>
      <w:r w:rsidR="00F474BC">
        <w:t xml:space="preserve">let. a </w:t>
      </w:r>
      <w:r w:rsidR="00A04F01" w:rsidRPr="001D78AE">
        <w:t>ne s’applique qu’aux communes.</w:t>
      </w:r>
    </w:p>
    <w:p w:rsidR="004E7D13" w:rsidRPr="001D78AE" w:rsidRDefault="000676D1" w:rsidP="00A031E3">
      <w:r w:rsidRPr="001D78AE">
        <w:rPr>
          <w:rStyle w:val="Appelnotedebasdep"/>
          <w:position w:val="6"/>
          <w:sz w:val="14"/>
          <w:vertAlign w:val="baseline"/>
        </w:rPr>
        <w:t>3</w:t>
      </w:r>
      <w:r w:rsidRPr="001D78AE">
        <w:rPr>
          <w:position w:val="6"/>
          <w:sz w:val="14"/>
        </w:rPr>
        <w:t xml:space="preserve"> </w:t>
      </w:r>
      <w:r w:rsidR="00A031E3" w:rsidRPr="001D78AE">
        <w:t xml:space="preserve">Les formules pour le calcul des indicateurs financiers ainsi que </w:t>
      </w:r>
      <w:r w:rsidR="0066610F" w:rsidRPr="001D78AE">
        <w:t>leurs valeurs de référence permettant leur appréciation sont précisées par l</w:t>
      </w:r>
      <w:r w:rsidR="00FE1E17" w:rsidRPr="001D78AE">
        <w:t>es</w:t>
      </w:r>
      <w:r w:rsidR="0066610F" w:rsidRPr="001D78AE">
        <w:t xml:space="preserve"> directive</w:t>
      </w:r>
      <w:r w:rsidR="00FE1E17" w:rsidRPr="001D78AE">
        <w:t>s</w:t>
      </w:r>
      <w:r w:rsidR="0066610F" w:rsidRPr="001D78AE">
        <w:t xml:space="preserve"> du </w:t>
      </w:r>
      <w:r w:rsidR="00B45430" w:rsidRPr="001D78AE">
        <w:t>S</w:t>
      </w:r>
      <w:r w:rsidR="0066610F" w:rsidRPr="001D78AE">
        <w:t>ervice.</w:t>
      </w:r>
    </w:p>
    <w:p w:rsidR="004E7D13" w:rsidRPr="001D78AE" w:rsidRDefault="000676D1" w:rsidP="004E7D13">
      <w:r w:rsidRPr="001D78AE">
        <w:rPr>
          <w:rStyle w:val="Appelnotedebasdep"/>
          <w:position w:val="6"/>
          <w:sz w:val="14"/>
          <w:vertAlign w:val="baseline"/>
        </w:rPr>
        <w:t>4</w:t>
      </w:r>
      <w:r w:rsidRPr="001D78AE">
        <w:rPr>
          <w:position w:val="6"/>
          <w:sz w:val="14"/>
        </w:rPr>
        <w:t xml:space="preserve"> </w:t>
      </w:r>
      <w:r w:rsidR="0059442E" w:rsidRPr="001D78AE">
        <w:t xml:space="preserve">Les indicateurs sont calculés de telle manière qu’ils permettent une comparaison effective entre toutes les </w:t>
      </w:r>
      <w:r w:rsidR="00B45430" w:rsidRPr="001D78AE">
        <w:t>collectivités de même niveau</w:t>
      </w:r>
      <w:r w:rsidR="004957FE" w:rsidRPr="001D78AE">
        <w:t>.</w:t>
      </w:r>
    </w:p>
    <w:p w:rsidR="009E0686" w:rsidRPr="001D78AE" w:rsidRDefault="009E0686" w:rsidP="009E0686">
      <w:pPr>
        <w:pStyle w:val="NoArt"/>
        <w:rPr>
          <w:i/>
        </w:rPr>
      </w:pPr>
      <w:bookmarkStart w:id="36" w:name="_Toc379958493"/>
      <w:bookmarkStart w:id="37" w:name="_Toc522697281"/>
      <w:r w:rsidRPr="001D78AE">
        <w:rPr>
          <w:b/>
        </w:rPr>
        <w:lastRenderedPageBreak/>
        <w:t>Art.</w:t>
      </w:r>
      <w:r w:rsidR="00184434" w:rsidRPr="001D78AE">
        <w:rPr>
          <w:b/>
        </w:rPr>
        <w:t xml:space="preserve"> </w:t>
      </w:r>
      <w:r w:rsidR="0066610F" w:rsidRPr="001D78AE">
        <w:rPr>
          <w:b/>
        </w:rPr>
        <w:t>19</w:t>
      </w:r>
      <w:r w:rsidRPr="001D78AE">
        <w:rPr>
          <w:b/>
        </w:rPr>
        <w:tab/>
      </w:r>
      <w:r w:rsidRPr="001D78AE">
        <w:t>Limitation de l</w:t>
      </w:r>
      <w:r w:rsidR="007061E8" w:rsidRPr="001D78AE">
        <w:t>’</w:t>
      </w:r>
      <w:r w:rsidRPr="001D78AE">
        <w:t>endettement</w:t>
      </w:r>
      <w:bookmarkEnd w:id="36"/>
      <w:r w:rsidR="0001217F" w:rsidRPr="001D78AE">
        <w:t xml:space="preserve"> </w:t>
      </w:r>
      <w:r w:rsidR="00331EF2" w:rsidRPr="001D78AE">
        <w:t xml:space="preserve">des communes </w:t>
      </w:r>
      <w:r w:rsidR="0001217F" w:rsidRPr="001D78AE">
        <w:t xml:space="preserve">(art. 22 al. 2 </w:t>
      </w:r>
      <w:r w:rsidR="00F407DF" w:rsidRPr="001D78AE">
        <w:t xml:space="preserve">et 3 </w:t>
      </w:r>
      <w:r w:rsidR="0001217F" w:rsidRPr="001D78AE">
        <w:t>LFCo)</w:t>
      </w:r>
      <w:bookmarkEnd w:id="37"/>
    </w:p>
    <w:p w:rsidR="007061E8" w:rsidRPr="001D78AE" w:rsidRDefault="000676D1" w:rsidP="00A82AA4">
      <w:r w:rsidRPr="001D78AE">
        <w:rPr>
          <w:rStyle w:val="Appelnotedebasdep"/>
          <w:position w:val="6"/>
          <w:sz w:val="14"/>
          <w:vertAlign w:val="baseline"/>
        </w:rPr>
        <w:t>1</w:t>
      </w:r>
      <w:r w:rsidRPr="001D78AE">
        <w:rPr>
          <w:position w:val="6"/>
          <w:sz w:val="14"/>
        </w:rPr>
        <w:t xml:space="preserve"> </w:t>
      </w:r>
      <w:r w:rsidR="00DD5815" w:rsidRPr="001D78AE">
        <w:t>Lorsque le taux d’endettement net dépasse 200 %, l</w:t>
      </w:r>
      <w:r w:rsidR="00A82AA4" w:rsidRPr="001D78AE">
        <w:t xml:space="preserve">e degré d’autofinancement </w:t>
      </w:r>
      <w:r w:rsidR="00F474BC">
        <w:t xml:space="preserve">moyen des cinq dernières années </w:t>
      </w:r>
      <w:r w:rsidR="00A82AA4" w:rsidRPr="001D78AE">
        <w:t xml:space="preserve">doit </w:t>
      </w:r>
      <w:r w:rsidR="00DD5815" w:rsidRPr="001D78AE">
        <w:t>atteindre</w:t>
      </w:r>
      <w:r w:rsidR="00A82AA4" w:rsidRPr="001D78AE">
        <w:t xml:space="preserve"> au </w:t>
      </w:r>
      <w:r w:rsidR="00DD5815" w:rsidRPr="001D78AE">
        <w:t>minimum</w:t>
      </w:r>
      <w:bookmarkStart w:id="38" w:name="temp0"/>
      <w:r w:rsidR="00DD5815" w:rsidRPr="001D78AE">
        <w:t xml:space="preserve"> 80 %</w:t>
      </w:r>
      <w:r w:rsidR="00885381" w:rsidRPr="001D78AE">
        <w:t>.</w:t>
      </w:r>
    </w:p>
    <w:p w:rsidR="00AA47F0" w:rsidRPr="001D78AE" w:rsidRDefault="000676D1" w:rsidP="00AA47F0">
      <w:r w:rsidRPr="001D78AE">
        <w:rPr>
          <w:rStyle w:val="Appelnotedebasdep"/>
          <w:position w:val="6"/>
          <w:sz w:val="14"/>
          <w:vertAlign w:val="baseline"/>
        </w:rPr>
        <w:t>2</w:t>
      </w:r>
      <w:r w:rsidRPr="001D78AE">
        <w:rPr>
          <w:position w:val="6"/>
          <w:sz w:val="14"/>
        </w:rPr>
        <w:t xml:space="preserve"> </w:t>
      </w:r>
      <w:r w:rsidR="00AA47F0" w:rsidRPr="001D78AE">
        <w:t xml:space="preserve">A défaut, des mesures doivent être prises afin que ces </w:t>
      </w:r>
      <w:r w:rsidR="00DD5815" w:rsidRPr="001D78AE">
        <w:t>valeurs</w:t>
      </w:r>
      <w:r w:rsidR="00AA47F0" w:rsidRPr="001D78AE">
        <w:t xml:space="preserve"> soient respectées dans un délai </w:t>
      </w:r>
      <w:r w:rsidR="00F407DF" w:rsidRPr="001D78AE">
        <w:t xml:space="preserve">maximal </w:t>
      </w:r>
      <w:r w:rsidR="00AA47F0" w:rsidRPr="001D78AE">
        <w:t xml:space="preserve">de </w:t>
      </w:r>
      <w:r w:rsidR="00F407DF" w:rsidRPr="001D78AE">
        <w:t>cinq</w:t>
      </w:r>
      <w:r w:rsidR="00DD5815" w:rsidRPr="001D78AE">
        <w:t xml:space="preserve"> </w:t>
      </w:r>
      <w:r w:rsidR="00AA47F0" w:rsidRPr="001D78AE">
        <w:t>ans.</w:t>
      </w:r>
    </w:p>
    <w:p w:rsidR="007061E8" w:rsidRPr="001D78AE" w:rsidRDefault="000676D1" w:rsidP="009E0686">
      <w:r w:rsidRPr="001D78AE">
        <w:rPr>
          <w:rStyle w:val="Appelnotedebasdep"/>
          <w:position w:val="6"/>
          <w:sz w:val="14"/>
          <w:vertAlign w:val="baseline"/>
        </w:rPr>
        <w:t>3</w:t>
      </w:r>
      <w:r w:rsidRPr="001D78AE">
        <w:rPr>
          <w:position w:val="6"/>
          <w:sz w:val="14"/>
        </w:rPr>
        <w:t xml:space="preserve"> </w:t>
      </w:r>
      <w:bookmarkEnd w:id="38"/>
      <w:r w:rsidR="007569E6" w:rsidRPr="001D78AE">
        <w:t>La limitation de l</w:t>
      </w:r>
      <w:r w:rsidR="007061E8" w:rsidRPr="001D78AE">
        <w:t>’</w:t>
      </w:r>
      <w:r w:rsidR="007569E6" w:rsidRPr="001D78AE">
        <w:t>endettement ainsi définie ne s</w:t>
      </w:r>
      <w:r w:rsidR="007061E8" w:rsidRPr="001D78AE">
        <w:t>’</w:t>
      </w:r>
      <w:r w:rsidR="007569E6" w:rsidRPr="001D78AE">
        <w:t xml:space="preserve">applique pas aux </w:t>
      </w:r>
      <w:r w:rsidR="00331EF2" w:rsidRPr="001D78AE">
        <w:t>autres collectivités publiques locales.</w:t>
      </w:r>
    </w:p>
    <w:p w:rsidR="00331EF2" w:rsidRPr="001D78AE" w:rsidRDefault="00331EF2" w:rsidP="00331EF2">
      <w:r w:rsidRPr="001D78AE">
        <w:rPr>
          <w:rStyle w:val="Appelnotedebasdep"/>
          <w:position w:val="6"/>
          <w:sz w:val="14"/>
          <w:vertAlign w:val="baseline"/>
        </w:rPr>
        <w:t>4</w:t>
      </w:r>
      <w:r w:rsidR="00F474BC">
        <w:rPr>
          <w:position w:val="6"/>
          <w:sz w:val="14"/>
        </w:rPr>
        <w:t xml:space="preserve"> </w:t>
      </w:r>
      <w:r w:rsidRPr="001D78AE">
        <w:t>Les dispositions statutaires des associations de communes limitant l’endettement</w:t>
      </w:r>
      <w:r w:rsidR="00350319" w:rsidRPr="001D78AE">
        <w:t xml:space="preserve"> de celles-ci</w:t>
      </w:r>
      <w:r w:rsidRPr="001D78AE">
        <w:t xml:space="preserve"> (art. 112 a</w:t>
      </w:r>
      <w:r w:rsidR="00C14577" w:rsidRPr="001D78AE">
        <w:t>l. 1 de la loi sur les communes</w:t>
      </w:r>
      <w:r w:rsidR="00350319" w:rsidRPr="001D78AE">
        <w:t>)</w:t>
      </w:r>
      <w:r w:rsidRPr="001D78AE">
        <w:t xml:space="preserve"> demeurent réservées.</w:t>
      </w:r>
    </w:p>
    <w:p w:rsidR="0027056F" w:rsidRPr="001D78AE" w:rsidRDefault="0027056F" w:rsidP="0027056F">
      <w:pPr>
        <w:pStyle w:val="Titre1"/>
      </w:pPr>
      <w:bookmarkStart w:id="39" w:name="_Toc379958495"/>
      <w:bookmarkStart w:id="40" w:name="_Toc522697282"/>
      <w:r w:rsidRPr="001D78AE">
        <w:t>CHAPITRE 3</w:t>
      </w:r>
      <w:r w:rsidRPr="001D78AE">
        <w:br/>
        <w:t>Droit des crédits</w:t>
      </w:r>
      <w:bookmarkEnd w:id="39"/>
      <w:bookmarkEnd w:id="40"/>
    </w:p>
    <w:p w:rsidR="00965334" w:rsidRPr="001D78AE" w:rsidRDefault="00965334" w:rsidP="0027056F">
      <w:pPr>
        <w:pStyle w:val="NoArt"/>
      </w:pPr>
      <w:bookmarkStart w:id="41" w:name="_Toc379958497"/>
      <w:bookmarkStart w:id="42" w:name="_Toc522697283"/>
      <w:r w:rsidRPr="001D78AE">
        <w:rPr>
          <w:b/>
        </w:rPr>
        <w:t>Art.</w:t>
      </w:r>
      <w:r w:rsidR="00040AE9" w:rsidRPr="001D78AE">
        <w:rPr>
          <w:b/>
        </w:rPr>
        <w:t xml:space="preserve"> </w:t>
      </w:r>
      <w:r w:rsidR="00F469B5" w:rsidRPr="001D78AE">
        <w:rPr>
          <w:b/>
        </w:rPr>
        <w:t>20</w:t>
      </w:r>
      <w:r w:rsidR="0084421D" w:rsidRPr="001D78AE">
        <w:tab/>
      </w:r>
      <w:bookmarkEnd w:id="41"/>
      <w:r w:rsidR="00040AE9" w:rsidRPr="001D78AE">
        <w:t>Crédit d</w:t>
      </w:r>
      <w:r w:rsidR="007061E8" w:rsidRPr="001D78AE">
        <w:t>’</w:t>
      </w:r>
      <w:r w:rsidR="00040AE9" w:rsidRPr="001D78AE">
        <w:t>engagement (art. 25 LFCo)</w:t>
      </w:r>
      <w:bookmarkEnd w:id="42"/>
    </w:p>
    <w:p w:rsidR="00A65803" w:rsidRPr="001D78AE" w:rsidRDefault="000676D1" w:rsidP="00965334">
      <w:r w:rsidRPr="001D78AE">
        <w:rPr>
          <w:rStyle w:val="Appelnotedebasdep"/>
          <w:position w:val="6"/>
          <w:sz w:val="14"/>
          <w:vertAlign w:val="baseline"/>
        </w:rPr>
        <w:t>1</w:t>
      </w:r>
      <w:r w:rsidRPr="001D78AE">
        <w:rPr>
          <w:position w:val="6"/>
          <w:sz w:val="14"/>
        </w:rPr>
        <w:t xml:space="preserve"> </w:t>
      </w:r>
      <w:r w:rsidR="00A65803" w:rsidRPr="001D78AE">
        <w:t xml:space="preserve">Les dépenses nouvelles </w:t>
      </w:r>
      <w:r w:rsidR="00F474BC">
        <w:t>dont le montant excède le seuil de</w:t>
      </w:r>
      <w:r w:rsidR="00A65803" w:rsidRPr="001D78AE">
        <w:t xml:space="preserve"> compétence</w:t>
      </w:r>
      <w:r w:rsidR="00F474BC">
        <w:t xml:space="preserve"> financière</w:t>
      </w:r>
      <w:r w:rsidR="00A65803" w:rsidRPr="001D78AE">
        <w:t xml:space="preserve"> du conseil communal doivent faire l</w:t>
      </w:r>
      <w:r w:rsidR="007061E8" w:rsidRPr="001D78AE">
        <w:t>’</w:t>
      </w:r>
      <w:r w:rsidR="00A65803" w:rsidRPr="001D78AE">
        <w:t>objet d</w:t>
      </w:r>
      <w:r w:rsidR="007061E8" w:rsidRPr="001D78AE">
        <w:t>’</w:t>
      </w:r>
      <w:r w:rsidR="00A65803" w:rsidRPr="001D78AE">
        <w:t>un crédit d</w:t>
      </w:r>
      <w:r w:rsidR="007061E8" w:rsidRPr="001D78AE">
        <w:t>’</w:t>
      </w:r>
      <w:r w:rsidR="00A65803" w:rsidRPr="001D78AE">
        <w:t>engagement.</w:t>
      </w:r>
    </w:p>
    <w:p w:rsidR="007061E8" w:rsidRPr="001D78AE" w:rsidRDefault="000676D1" w:rsidP="00965334">
      <w:r w:rsidRPr="001D78AE">
        <w:rPr>
          <w:rStyle w:val="Appelnotedebasdep"/>
          <w:position w:val="6"/>
          <w:sz w:val="14"/>
          <w:vertAlign w:val="baseline"/>
        </w:rPr>
        <w:t>2</w:t>
      </w:r>
      <w:r w:rsidRPr="001D78AE">
        <w:rPr>
          <w:position w:val="6"/>
          <w:sz w:val="14"/>
        </w:rPr>
        <w:t xml:space="preserve"> </w:t>
      </w:r>
      <w:r w:rsidR="00965334" w:rsidRPr="001D78AE">
        <w:t>L</w:t>
      </w:r>
      <w:r w:rsidR="00040AE9" w:rsidRPr="001D78AE">
        <w:t xml:space="preserve">e </w:t>
      </w:r>
      <w:r w:rsidR="00016EA6" w:rsidRPr="001D78AE">
        <w:t>message</w:t>
      </w:r>
      <w:r w:rsidR="00040AE9" w:rsidRPr="001D78AE">
        <w:t xml:space="preserve"> accompagnant </w:t>
      </w:r>
      <w:r w:rsidR="008B60C8" w:rsidRPr="001D78AE">
        <w:t xml:space="preserve">la </w:t>
      </w:r>
      <w:r w:rsidR="00040AE9" w:rsidRPr="001D78AE">
        <w:t>demande de crédit d</w:t>
      </w:r>
      <w:r w:rsidR="007061E8" w:rsidRPr="001D78AE">
        <w:t>’</w:t>
      </w:r>
      <w:r w:rsidR="00040AE9" w:rsidRPr="001D78AE">
        <w:t>engagement contient au moins les éléments suivants</w:t>
      </w:r>
      <w:r w:rsidR="007061E8" w:rsidRPr="001D78AE">
        <w:t> :</w:t>
      </w:r>
    </w:p>
    <w:p w:rsidR="00965334" w:rsidRPr="001D78AE" w:rsidRDefault="007117AE" w:rsidP="007117AE">
      <w:pPr>
        <w:pStyle w:val="Structure1"/>
      </w:pPr>
      <w:r w:rsidRPr="001D78AE">
        <w:t>a)</w:t>
      </w:r>
      <w:r w:rsidRPr="001D78AE">
        <w:tab/>
        <w:t>l</w:t>
      </w:r>
      <w:r w:rsidR="007061E8" w:rsidRPr="001D78AE">
        <w:t>’</w:t>
      </w:r>
      <w:r w:rsidR="008B60C8" w:rsidRPr="001D78AE">
        <w:t>objet d</w:t>
      </w:r>
      <w:r w:rsidR="00F469B5" w:rsidRPr="001D78AE">
        <w:t>u crédit</w:t>
      </w:r>
      <w:r w:rsidR="007061E8" w:rsidRPr="001D78AE">
        <w:t> ;</w:t>
      </w:r>
    </w:p>
    <w:p w:rsidR="007061E8" w:rsidRPr="001D78AE" w:rsidRDefault="008B60C8" w:rsidP="007117AE">
      <w:pPr>
        <w:pStyle w:val="Structure1"/>
      </w:pPr>
      <w:r w:rsidRPr="001D78AE">
        <w:t>b)</w:t>
      </w:r>
      <w:r w:rsidRPr="001D78AE">
        <w:tab/>
        <w:t>le mode de financement</w:t>
      </w:r>
      <w:r w:rsidR="007061E8" w:rsidRPr="001D78AE">
        <w:t> ;</w:t>
      </w:r>
    </w:p>
    <w:p w:rsidR="008B60C8" w:rsidRPr="001D78AE" w:rsidRDefault="008B60C8" w:rsidP="007117AE">
      <w:pPr>
        <w:pStyle w:val="Structure1"/>
      </w:pPr>
      <w:r w:rsidRPr="001D78AE">
        <w:t>c)</w:t>
      </w:r>
      <w:r w:rsidRPr="001D78AE">
        <w:tab/>
        <w:t>la durée de l</w:t>
      </w:r>
      <w:r w:rsidR="007061E8" w:rsidRPr="001D78AE">
        <w:t>’</w:t>
      </w:r>
      <w:r w:rsidRPr="001D78AE">
        <w:t>engagement et, pour les investissements, la durée d</w:t>
      </w:r>
      <w:r w:rsidR="007061E8" w:rsidRPr="001D78AE">
        <w:t>’</w:t>
      </w:r>
      <w:r w:rsidRPr="001D78AE">
        <w:t>utili</w:t>
      </w:r>
      <w:r w:rsidR="00F469B5" w:rsidRPr="001D78AE">
        <w:t>sation</w:t>
      </w:r>
      <w:r w:rsidR="00F1649C" w:rsidRPr="001D78AE">
        <w:t xml:space="preserve"> conformément à l’article 2</w:t>
      </w:r>
      <w:r w:rsidR="00E03CF3" w:rsidRPr="001D78AE">
        <w:t>3</w:t>
      </w:r>
      <w:r w:rsidR="00F1649C" w:rsidRPr="001D78AE">
        <w:t xml:space="preserve"> de la présente ordonnance</w:t>
      </w:r>
      <w:r w:rsidR="007061E8" w:rsidRPr="001D78AE">
        <w:t> ;</w:t>
      </w:r>
    </w:p>
    <w:p w:rsidR="008B60C8" w:rsidRPr="001D78AE" w:rsidRDefault="008B60C8" w:rsidP="007117AE">
      <w:pPr>
        <w:pStyle w:val="Structure1"/>
      </w:pPr>
      <w:r w:rsidRPr="001D78AE">
        <w:t>d)</w:t>
      </w:r>
      <w:r w:rsidRPr="001D78AE">
        <w:tab/>
        <w:t>en cas d</w:t>
      </w:r>
      <w:r w:rsidR="007061E8" w:rsidRPr="001D78AE">
        <w:t>’</w:t>
      </w:r>
      <w:r w:rsidRPr="001D78AE">
        <w:t>investissements munis d</w:t>
      </w:r>
      <w:r w:rsidR="007061E8" w:rsidRPr="001D78AE">
        <w:t>’</w:t>
      </w:r>
      <w:r w:rsidRPr="001D78AE">
        <w:t>une clause d</w:t>
      </w:r>
      <w:r w:rsidR="007061E8" w:rsidRPr="001D78AE">
        <w:t>’</w:t>
      </w:r>
      <w:r w:rsidRPr="001D78AE">
        <w:t>indexation, les modalités précises de l</w:t>
      </w:r>
      <w:r w:rsidR="007061E8" w:rsidRPr="001D78AE">
        <w:t>’</w:t>
      </w:r>
      <w:r w:rsidRPr="001D78AE">
        <w:t>indexation</w:t>
      </w:r>
      <w:r w:rsidR="007061E8" w:rsidRPr="001D78AE">
        <w:t> ;</w:t>
      </w:r>
    </w:p>
    <w:p w:rsidR="008B60C8" w:rsidRPr="001D78AE" w:rsidRDefault="008B60C8" w:rsidP="007117AE">
      <w:pPr>
        <w:pStyle w:val="Structure1"/>
      </w:pPr>
      <w:r w:rsidRPr="001D78AE">
        <w:t>e)</w:t>
      </w:r>
      <w:r w:rsidRPr="001D78AE">
        <w:tab/>
        <w:t>les charges annuelles d</w:t>
      </w:r>
      <w:r w:rsidR="007061E8" w:rsidRPr="001D78AE">
        <w:t>’</w:t>
      </w:r>
      <w:r w:rsidRPr="001D78AE">
        <w:t>amortissement, d</w:t>
      </w:r>
      <w:r w:rsidR="007061E8" w:rsidRPr="001D78AE">
        <w:t>’</w:t>
      </w:r>
      <w:r w:rsidRPr="001D78AE">
        <w:t>intérêt éventuel et d</w:t>
      </w:r>
      <w:r w:rsidR="007061E8" w:rsidRPr="001D78AE">
        <w:t>’</w:t>
      </w:r>
      <w:r w:rsidRPr="001D78AE">
        <w:t>exploitation</w:t>
      </w:r>
      <w:r w:rsidR="00DD76D0" w:rsidRPr="001D78AE">
        <w:t> ;</w:t>
      </w:r>
    </w:p>
    <w:p w:rsidR="00DD76D0" w:rsidRPr="001D78AE" w:rsidRDefault="00DD76D0" w:rsidP="004339E7">
      <w:pPr>
        <w:pStyle w:val="Structure1"/>
        <w:jc w:val="left"/>
      </w:pPr>
      <w:r w:rsidRPr="001D78AE">
        <w:t>f)</w:t>
      </w:r>
      <w:r w:rsidRPr="001D78AE">
        <w:tab/>
        <w:t>le délai de réalisation ou d’acquisition de l’objet.</w:t>
      </w:r>
    </w:p>
    <w:p w:rsidR="00F469B5" w:rsidRPr="00074E38" w:rsidRDefault="00F469B5" w:rsidP="00F469B5">
      <w:pPr>
        <w:pStyle w:val="NoArt"/>
      </w:pPr>
      <w:bookmarkStart w:id="43" w:name="_Toc522697284"/>
      <w:r w:rsidRPr="00074E38">
        <w:rPr>
          <w:b/>
        </w:rPr>
        <w:t>Art. 21</w:t>
      </w:r>
      <w:r w:rsidRPr="00074E38">
        <w:tab/>
        <w:t>Financements spéciaux (art. 38 LFCo)</w:t>
      </w:r>
      <w:bookmarkEnd w:id="43"/>
    </w:p>
    <w:p w:rsidR="00F469B5" w:rsidRPr="001D78AE" w:rsidRDefault="00264379" w:rsidP="004339E7">
      <w:r w:rsidRPr="00074E38">
        <w:rPr>
          <w:rStyle w:val="Appelnotedebasdep"/>
          <w:position w:val="6"/>
          <w:sz w:val="14"/>
          <w:vertAlign w:val="baseline"/>
        </w:rPr>
        <w:t>1</w:t>
      </w:r>
      <w:r w:rsidRPr="00074E38">
        <w:rPr>
          <w:position w:val="6"/>
          <w:sz w:val="14"/>
        </w:rPr>
        <w:t xml:space="preserve"> </w:t>
      </w:r>
      <w:r w:rsidR="00F469B5" w:rsidRPr="00074E38">
        <w:t>L</w:t>
      </w:r>
      <w:r w:rsidR="0086009D" w:rsidRPr="00074E38">
        <w:t>a constitution d’</w:t>
      </w:r>
      <w:r w:rsidR="00F469B5" w:rsidRPr="00074E38">
        <w:t xml:space="preserve">un financement spécial </w:t>
      </w:r>
      <w:r w:rsidR="0086009D" w:rsidRPr="00074E38">
        <w:t xml:space="preserve">est conditionnée à </w:t>
      </w:r>
      <w:r w:rsidR="00B16486" w:rsidRPr="00074E38">
        <w:t xml:space="preserve">l’existence d’une base légale supérieure ainsi qu’à </w:t>
      </w:r>
      <w:r w:rsidR="0086009D" w:rsidRPr="00074E38">
        <w:t>l’adoption d’un règlement communal spécifique</w:t>
      </w:r>
      <w:r w:rsidR="00C137BE" w:rsidRPr="00074E38">
        <w:t>, de portée générale,</w:t>
      </w:r>
      <w:r w:rsidR="0086009D" w:rsidRPr="00074E38">
        <w:t xml:space="preserve"> qui en précise les modalités financières d’attribution et de prélèvement.</w:t>
      </w:r>
    </w:p>
    <w:p w:rsidR="007A3AD9" w:rsidRPr="001D78AE" w:rsidRDefault="007A3AD9" w:rsidP="007A3AD9">
      <w:pPr>
        <w:pStyle w:val="Titre1"/>
      </w:pPr>
      <w:bookmarkStart w:id="44" w:name="_Toc522697285"/>
      <w:r w:rsidRPr="001D78AE">
        <w:lastRenderedPageBreak/>
        <w:t>CHAPITRE 4</w:t>
      </w:r>
      <w:r w:rsidRPr="001D78AE">
        <w:br/>
        <w:t>Présentation des comptes</w:t>
      </w:r>
      <w:bookmarkEnd w:id="44"/>
    </w:p>
    <w:p w:rsidR="00177D67" w:rsidRPr="001D78AE" w:rsidRDefault="00177D67" w:rsidP="00177D67">
      <w:pPr>
        <w:pStyle w:val="NoArt"/>
      </w:pPr>
      <w:bookmarkStart w:id="45" w:name="_Toc522697286"/>
      <w:r w:rsidRPr="001D78AE">
        <w:rPr>
          <w:b/>
        </w:rPr>
        <w:t>Art. 22</w:t>
      </w:r>
      <w:r w:rsidRPr="001D78AE">
        <w:tab/>
        <w:t>Limite d’activation (art. 42 LFCo)</w:t>
      </w:r>
      <w:bookmarkEnd w:id="45"/>
    </w:p>
    <w:p w:rsidR="00177D67" w:rsidRPr="001D78AE" w:rsidRDefault="000676D1" w:rsidP="00177D67">
      <w:r w:rsidRPr="001D78AE">
        <w:rPr>
          <w:rStyle w:val="Appelnotedebasdep"/>
          <w:position w:val="6"/>
          <w:sz w:val="14"/>
          <w:vertAlign w:val="baseline"/>
        </w:rPr>
        <w:t>1</w:t>
      </w:r>
      <w:r w:rsidRPr="001D78AE">
        <w:rPr>
          <w:position w:val="6"/>
          <w:sz w:val="14"/>
        </w:rPr>
        <w:t xml:space="preserve"> </w:t>
      </w:r>
      <w:r w:rsidR="009E13DE" w:rsidRPr="001D78AE">
        <w:t>L</w:t>
      </w:r>
      <w:r w:rsidR="00CD32F5" w:rsidRPr="001D78AE">
        <w:t>a commune</w:t>
      </w:r>
      <w:r w:rsidR="007F0838" w:rsidRPr="001D78AE">
        <w:t xml:space="preserve"> </w:t>
      </w:r>
      <w:r w:rsidR="00A278C8" w:rsidRPr="001D78AE">
        <w:t>fixe</w:t>
      </w:r>
      <w:r w:rsidR="007F0838" w:rsidRPr="001D78AE">
        <w:t xml:space="preserve"> la limite d’activation de </w:t>
      </w:r>
      <w:r w:rsidR="00A278C8" w:rsidRPr="001D78AE">
        <w:t>ses</w:t>
      </w:r>
      <w:r w:rsidR="007F0838" w:rsidRPr="001D78AE">
        <w:t xml:space="preserve"> dépenses d’in</w:t>
      </w:r>
      <w:r w:rsidR="00A278C8" w:rsidRPr="001D78AE">
        <w:t xml:space="preserve">vestissement dans le règlement </w:t>
      </w:r>
      <w:r w:rsidR="00CD32F5" w:rsidRPr="001D78AE">
        <w:t xml:space="preserve">communal </w:t>
      </w:r>
      <w:r w:rsidR="007F0838" w:rsidRPr="001D78AE">
        <w:t>des finances</w:t>
      </w:r>
      <w:r w:rsidR="00322A0F" w:rsidRPr="001D78AE">
        <w:t>.</w:t>
      </w:r>
    </w:p>
    <w:p w:rsidR="00DF330B" w:rsidRPr="001D78AE" w:rsidRDefault="00DF330B" w:rsidP="00DF330B">
      <w:r w:rsidRPr="001D78AE">
        <w:rPr>
          <w:position w:val="6"/>
          <w:sz w:val="14"/>
        </w:rPr>
        <w:t xml:space="preserve">2 </w:t>
      </w:r>
      <w:r w:rsidRPr="001D78AE">
        <w:t xml:space="preserve">A défaut, les limites d’activation </w:t>
      </w:r>
      <w:r w:rsidR="009A46C0" w:rsidRPr="001D78AE">
        <w:t>applicables</w:t>
      </w:r>
      <w:r w:rsidRPr="001D78AE">
        <w:t xml:space="preserve"> sont définies </w:t>
      </w:r>
      <w:r w:rsidR="009A46C0" w:rsidRPr="001D78AE">
        <w:t>dans</w:t>
      </w:r>
      <w:r w:rsidRPr="001D78AE">
        <w:t xml:space="preserve"> l’annexe de la présente ordonnance.</w:t>
      </w:r>
    </w:p>
    <w:p w:rsidR="00767975" w:rsidRPr="001D78AE" w:rsidRDefault="00DF330B" w:rsidP="00767975">
      <w:r w:rsidRPr="001D78AE">
        <w:rPr>
          <w:position w:val="6"/>
          <w:sz w:val="14"/>
        </w:rPr>
        <w:t>3</w:t>
      </w:r>
      <w:r w:rsidR="000676D1" w:rsidRPr="001D78AE">
        <w:rPr>
          <w:position w:val="6"/>
          <w:sz w:val="14"/>
        </w:rPr>
        <w:t xml:space="preserve"> </w:t>
      </w:r>
      <w:r w:rsidR="00767975" w:rsidRPr="001D78AE">
        <w:t xml:space="preserve">La limite d’activation </w:t>
      </w:r>
      <w:r w:rsidR="00A01481" w:rsidRPr="001D78AE">
        <w:t>fixée</w:t>
      </w:r>
      <w:r w:rsidR="00266B89" w:rsidRPr="001D78AE">
        <w:t xml:space="preserve"> ne doit être modifiée qu’en présence de motifs objectifs et importants.</w:t>
      </w:r>
    </w:p>
    <w:p w:rsidR="004F3FF0" w:rsidRPr="001D78AE" w:rsidRDefault="004F3FF0" w:rsidP="004F3FF0">
      <w:pPr>
        <w:pStyle w:val="NoArt"/>
      </w:pPr>
      <w:bookmarkStart w:id="46" w:name="_Toc522697287"/>
      <w:r w:rsidRPr="001D78AE">
        <w:rPr>
          <w:b/>
        </w:rPr>
        <w:t xml:space="preserve">Art. </w:t>
      </w:r>
      <w:r w:rsidR="00CF290E" w:rsidRPr="001D78AE">
        <w:rPr>
          <w:b/>
        </w:rPr>
        <w:t>2</w:t>
      </w:r>
      <w:r w:rsidR="005A6ABA" w:rsidRPr="001D78AE">
        <w:rPr>
          <w:b/>
        </w:rPr>
        <w:t>3</w:t>
      </w:r>
      <w:r w:rsidR="009A46C0" w:rsidRPr="001D78AE">
        <w:tab/>
        <w:t>A</w:t>
      </w:r>
      <w:r w:rsidRPr="001D78AE">
        <w:t>mortissement</w:t>
      </w:r>
      <w:r w:rsidR="000B3C7B" w:rsidRPr="001D78AE">
        <w:t xml:space="preserve"> (art. </w:t>
      </w:r>
      <w:r w:rsidR="009A46C0" w:rsidRPr="001D78AE">
        <w:t xml:space="preserve">44 al. 2 et </w:t>
      </w:r>
      <w:r w:rsidR="000B3C7B" w:rsidRPr="001D78AE">
        <w:t>45 al. 3 LFCo)</w:t>
      </w:r>
      <w:bookmarkEnd w:id="46"/>
    </w:p>
    <w:p w:rsidR="00A45ABD" w:rsidRPr="001D78AE" w:rsidRDefault="00330A5A" w:rsidP="00A45ABD">
      <w:r w:rsidRPr="001D78AE">
        <w:rPr>
          <w:rStyle w:val="Appelnotedebasdep"/>
          <w:position w:val="6"/>
          <w:sz w:val="14"/>
          <w:vertAlign w:val="baseline"/>
        </w:rPr>
        <w:t>1</w:t>
      </w:r>
      <w:r w:rsidRPr="001D78AE">
        <w:rPr>
          <w:position w:val="6"/>
          <w:sz w:val="14"/>
        </w:rPr>
        <w:t xml:space="preserve"> </w:t>
      </w:r>
      <w:r w:rsidR="00A45ABD" w:rsidRPr="001D78AE">
        <w:t xml:space="preserve">Les taux d’amortissement sont </w:t>
      </w:r>
      <w:r w:rsidR="00A01481" w:rsidRPr="001D78AE">
        <w:t>fixés</w:t>
      </w:r>
      <w:r w:rsidR="00A45ABD" w:rsidRPr="001D78AE">
        <w:t xml:space="preserve"> </w:t>
      </w:r>
      <w:r w:rsidR="00BE581A" w:rsidRPr="001D78AE">
        <w:t xml:space="preserve">en fonction de la catégorie des biens </w:t>
      </w:r>
      <w:r w:rsidR="009A46C0" w:rsidRPr="001D78AE">
        <w:t>dans</w:t>
      </w:r>
      <w:r w:rsidR="00A45ABD" w:rsidRPr="001D78AE">
        <w:t xml:space="preserve"> l’annexe de la présente ordonnance.</w:t>
      </w:r>
    </w:p>
    <w:p w:rsidR="00A45ABD" w:rsidRPr="001D78AE" w:rsidRDefault="00330A5A" w:rsidP="00A45ABD">
      <w:r w:rsidRPr="001D78AE">
        <w:rPr>
          <w:rStyle w:val="Appelnotedebasdep"/>
          <w:position w:val="6"/>
          <w:sz w:val="14"/>
          <w:vertAlign w:val="baseline"/>
        </w:rPr>
        <w:t>2</w:t>
      </w:r>
      <w:r w:rsidRPr="001D78AE">
        <w:rPr>
          <w:position w:val="6"/>
          <w:sz w:val="14"/>
        </w:rPr>
        <w:t xml:space="preserve"> </w:t>
      </w:r>
      <w:r w:rsidR="00A45ABD" w:rsidRPr="001D78AE">
        <w:t>L’amortissement est comptabilisé dès lors que l’objet est utilisable.</w:t>
      </w:r>
    </w:p>
    <w:p w:rsidR="009A46C0" w:rsidRPr="001D78AE" w:rsidRDefault="009A46C0" w:rsidP="009A46C0">
      <w:r w:rsidRPr="001D78AE">
        <w:rPr>
          <w:position w:val="6"/>
          <w:sz w:val="14"/>
        </w:rPr>
        <w:t xml:space="preserve">3 </w:t>
      </w:r>
      <w:r w:rsidRPr="001D78AE">
        <w:t>Lorsqu’un bien perd durablement tout ou partie de sa valeur pour cause de destruction, de vétusté ou d</w:t>
      </w:r>
      <w:r w:rsidR="00B861F5">
        <w:t xml:space="preserve">’autres </w:t>
      </w:r>
      <w:r w:rsidRPr="001D78AE">
        <w:t>circonstances, une correction de valeur est opérée immédiatement au bilan.</w:t>
      </w:r>
    </w:p>
    <w:p w:rsidR="00965334" w:rsidRPr="002B6D74" w:rsidRDefault="00965334" w:rsidP="008B5580">
      <w:pPr>
        <w:pStyle w:val="NoArt"/>
      </w:pPr>
      <w:bookmarkStart w:id="47" w:name="_Toc379958523"/>
      <w:bookmarkStart w:id="48" w:name="_Toc522697288"/>
      <w:r w:rsidRPr="002B6D74">
        <w:rPr>
          <w:b/>
        </w:rPr>
        <w:t>Art.</w:t>
      </w:r>
      <w:r w:rsidR="000B3C7B" w:rsidRPr="002B6D74">
        <w:rPr>
          <w:b/>
        </w:rPr>
        <w:t xml:space="preserve"> </w:t>
      </w:r>
      <w:r w:rsidR="00CF290E" w:rsidRPr="002B6D74">
        <w:rPr>
          <w:b/>
        </w:rPr>
        <w:t>2</w:t>
      </w:r>
      <w:r w:rsidR="005A6ABA" w:rsidRPr="002B6D74">
        <w:rPr>
          <w:b/>
        </w:rPr>
        <w:t>4</w:t>
      </w:r>
      <w:r w:rsidR="0084421D" w:rsidRPr="002B6D74">
        <w:rPr>
          <w:b/>
        </w:rPr>
        <w:tab/>
      </w:r>
      <w:r w:rsidR="00590020" w:rsidRPr="002B6D74">
        <w:t>Ententes intercommunales</w:t>
      </w:r>
      <w:bookmarkEnd w:id="47"/>
      <w:r w:rsidR="000B3C7B" w:rsidRPr="002B6D74">
        <w:t xml:space="preserve"> (art. 47 al. 4 LFCo)</w:t>
      </w:r>
      <w:bookmarkEnd w:id="48"/>
    </w:p>
    <w:p w:rsidR="007C5D7A" w:rsidRPr="002B6D74" w:rsidRDefault="00330A5A" w:rsidP="002246E7">
      <w:r w:rsidRPr="002B6D74">
        <w:rPr>
          <w:rStyle w:val="Appelnotedebasdep"/>
          <w:position w:val="6"/>
          <w:sz w:val="14"/>
          <w:vertAlign w:val="baseline"/>
        </w:rPr>
        <w:t>1</w:t>
      </w:r>
      <w:r w:rsidRPr="002B6D74">
        <w:rPr>
          <w:position w:val="6"/>
          <w:sz w:val="14"/>
        </w:rPr>
        <w:t xml:space="preserve"> </w:t>
      </w:r>
      <w:r w:rsidR="002246E7" w:rsidRPr="002B6D74">
        <w:t xml:space="preserve">La commune pilote </w:t>
      </w:r>
      <w:r w:rsidR="003D4790">
        <w:t xml:space="preserve">établit le </w:t>
      </w:r>
      <w:r w:rsidR="008D36CB">
        <w:t>budget et les comptes</w:t>
      </w:r>
      <w:r w:rsidR="003D4790">
        <w:t xml:space="preserve"> </w:t>
      </w:r>
      <w:r w:rsidR="008D36CB">
        <w:t>relatifs à</w:t>
      </w:r>
      <w:r w:rsidR="002246E7" w:rsidRPr="002B6D74">
        <w:t xml:space="preserve"> l’entente intercommunale.</w:t>
      </w:r>
    </w:p>
    <w:p w:rsidR="007C5D7A" w:rsidRDefault="00ED274E" w:rsidP="007C5D7A">
      <w:r w:rsidRPr="00286617">
        <w:rPr>
          <w:position w:val="6"/>
          <w:sz w:val="14"/>
        </w:rPr>
        <w:t>2</w:t>
      </w:r>
      <w:r w:rsidR="00330A5A" w:rsidRPr="00286617">
        <w:rPr>
          <w:position w:val="6"/>
          <w:sz w:val="14"/>
        </w:rPr>
        <w:t xml:space="preserve"> </w:t>
      </w:r>
      <w:r w:rsidR="00286617">
        <w:t xml:space="preserve">Les comptes </w:t>
      </w:r>
      <w:r w:rsidR="008D36CB">
        <w:t xml:space="preserve">relatifs à l’entente intercommunale </w:t>
      </w:r>
      <w:r w:rsidR="00286617">
        <w:t>sont vérifiés par l’organe de révision de la commune pilote</w:t>
      </w:r>
      <w:r w:rsidR="007C5D7A" w:rsidRPr="00286617">
        <w:t>.</w:t>
      </w:r>
    </w:p>
    <w:p w:rsidR="00286617" w:rsidRPr="00286617" w:rsidRDefault="00286617" w:rsidP="007C5D7A">
      <w:r>
        <w:rPr>
          <w:vertAlign w:val="superscript"/>
        </w:rPr>
        <w:t xml:space="preserve">3 </w:t>
      </w:r>
      <w:r w:rsidR="00941816">
        <w:t>Lorsqu’une entente intercommunale comporte des éléments patrimoniaux, ils sont intégrés dans les comptes de la commune pilote. L’entente peut prévoir que les biens soient intégrés dans les comptes de la commune propriétaire ou des communes copropriétaires.</w:t>
      </w:r>
    </w:p>
    <w:p w:rsidR="00450BCC" w:rsidRPr="001D78AE" w:rsidRDefault="00450BCC" w:rsidP="004339E7">
      <w:pPr>
        <w:pStyle w:val="NoArt"/>
      </w:pPr>
      <w:bookmarkStart w:id="49" w:name="_Toc522697289"/>
      <w:r w:rsidRPr="001D78AE">
        <w:rPr>
          <w:b/>
        </w:rPr>
        <w:t>Art. 2</w:t>
      </w:r>
      <w:r w:rsidR="005A6ABA" w:rsidRPr="001D78AE">
        <w:rPr>
          <w:b/>
        </w:rPr>
        <w:t>5</w:t>
      </w:r>
      <w:r w:rsidRPr="001D78AE">
        <w:tab/>
        <w:t>Entités de droit public (art. 48 al. 3 LFCo)</w:t>
      </w:r>
      <w:bookmarkEnd w:id="49"/>
    </w:p>
    <w:p w:rsidR="00450BCC" w:rsidRPr="001D78AE" w:rsidRDefault="00264379">
      <w:r w:rsidRPr="001D78AE">
        <w:rPr>
          <w:rStyle w:val="Appelnotedebasdep"/>
          <w:position w:val="6"/>
          <w:sz w:val="14"/>
          <w:vertAlign w:val="baseline"/>
        </w:rPr>
        <w:t>1</w:t>
      </w:r>
      <w:r w:rsidRPr="001D78AE">
        <w:rPr>
          <w:position w:val="6"/>
          <w:sz w:val="14"/>
        </w:rPr>
        <w:t xml:space="preserve"> </w:t>
      </w:r>
      <w:r w:rsidR="0038534A" w:rsidRPr="001D78AE">
        <w:t xml:space="preserve">Les </w:t>
      </w:r>
      <w:r w:rsidR="00CF290E" w:rsidRPr="001D78AE">
        <w:t xml:space="preserve">formules des </w:t>
      </w:r>
      <w:r w:rsidR="0038534A" w:rsidRPr="001D78AE">
        <w:t>indicateurs financiers</w:t>
      </w:r>
      <w:r w:rsidR="006366A2" w:rsidRPr="001D78AE">
        <w:t>,</w:t>
      </w:r>
      <w:r w:rsidR="0038534A" w:rsidRPr="001D78AE">
        <w:t xml:space="preserve"> dont un critère se rapporte à l</w:t>
      </w:r>
      <w:r w:rsidR="00CF290E" w:rsidRPr="001D78AE">
        <w:t>a dette</w:t>
      </w:r>
      <w:r w:rsidR="006366A2" w:rsidRPr="001D78AE">
        <w:t>,</w:t>
      </w:r>
      <w:r w:rsidR="00CF290E" w:rsidRPr="001D78AE">
        <w:t xml:space="preserve"> intègrent la part communale </w:t>
      </w:r>
      <w:r w:rsidR="009F6135" w:rsidRPr="001D78AE">
        <w:t xml:space="preserve">aux </w:t>
      </w:r>
      <w:r w:rsidR="00CF290E" w:rsidRPr="001D78AE">
        <w:t>établissement</w:t>
      </w:r>
      <w:r w:rsidR="009F6135" w:rsidRPr="001D78AE">
        <w:t>s communaux</w:t>
      </w:r>
      <w:r w:rsidR="00CF290E" w:rsidRPr="001D78AE">
        <w:t xml:space="preserve"> personnalisé</w:t>
      </w:r>
      <w:r w:rsidR="009F6135" w:rsidRPr="001D78AE">
        <w:t>s</w:t>
      </w:r>
      <w:r w:rsidR="00CF290E" w:rsidRPr="001D78AE">
        <w:t>, aux associations de communes</w:t>
      </w:r>
      <w:r w:rsidR="00516756" w:rsidRPr="001D78AE">
        <w:t xml:space="preserve"> et</w:t>
      </w:r>
      <w:r w:rsidR="00CF290E" w:rsidRPr="001D78AE">
        <w:t xml:space="preserve"> aux agglomérations.</w:t>
      </w:r>
    </w:p>
    <w:p w:rsidR="00ED5E19" w:rsidRPr="001D78AE" w:rsidRDefault="00ED5E19" w:rsidP="00ED5E19">
      <w:pPr>
        <w:pStyle w:val="Titre1"/>
      </w:pPr>
      <w:bookmarkStart w:id="50" w:name="_Toc379958524"/>
      <w:bookmarkStart w:id="51" w:name="_Toc522697290"/>
      <w:r w:rsidRPr="001D78AE">
        <w:lastRenderedPageBreak/>
        <w:t>CHAPITRE 5</w:t>
      </w:r>
      <w:r w:rsidRPr="001D78AE">
        <w:br/>
        <w:t>Gestion financière au niveau de l</w:t>
      </w:r>
      <w:r w:rsidR="007061E8" w:rsidRPr="001D78AE">
        <w:t>’</w:t>
      </w:r>
      <w:r w:rsidRPr="001D78AE">
        <w:t>administration</w:t>
      </w:r>
      <w:bookmarkEnd w:id="50"/>
      <w:bookmarkEnd w:id="51"/>
    </w:p>
    <w:p w:rsidR="00CF290E" w:rsidRPr="001D78AE" w:rsidRDefault="00CF290E" w:rsidP="00CF290E">
      <w:pPr>
        <w:pStyle w:val="NoArt"/>
      </w:pPr>
      <w:bookmarkStart w:id="52" w:name="_Toc522697291"/>
      <w:r w:rsidRPr="001D78AE">
        <w:rPr>
          <w:b/>
        </w:rPr>
        <w:t>Art. 2</w:t>
      </w:r>
      <w:r w:rsidR="005A6ABA" w:rsidRPr="001D78AE">
        <w:rPr>
          <w:b/>
        </w:rPr>
        <w:t>6</w:t>
      </w:r>
      <w:r w:rsidRPr="001D78AE">
        <w:tab/>
        <w:t>Imputations internes</w:t>
      </w:r>
      <w:r w:rsidR="00B24DB5" w:rsidRPr="001D78AE">
        <w:t xml:space="preserve"> (art. 51 LFCo)</w:t>
      </w:r>
      <w:bookmarkEnd w:id="52"/>
    </w:p>
    <w:p w:rsidR="0080511D" w:rsidRPr="001D78AE" w:rsidRDefault="00330A5A" w:rsidP="004339E7">
      <w:r w:rsidRPr="001D78AE">
        <w:rPr>
          <w:rStyle w:val="Appelnotedebasdep"/>
          <w:position w:val="6"/>
          <w:sz w:val="14"/>
          <w:vertAlign w:val="baseline"/>
        </w:rPr>
        <w:t>1</w:t>
      </w:r>
      <w:r w:rsidRPr="001D78AE">
        <w:rPr>
          <w:position w:val="6"/>
          <w:sz w:val="14"/>
        </w:rPr>
        <w:t xml:space="preserve"> </w:t>
      </w:r>
      <w:r w:rsidR="0080511D" w:rsidRPr="001D78AE">
        <w:t xml:space="preserve">Les </w:t>
      </w:r>
      <w:r w:rsidR="006366A2" w:rsidRPr="001D78AE">
        <w:t>opérations d’</w:t>
      </w:r>
      <w:r w:rsidR="0080511D" w:rsidRPr="001D78AE">
        <w:t xml:space="preserve">imputations internes sont effectuées pour toutes les </w:t>
      </w:r>
      <w:r w:rsidR="0080511D" w:rsidRPr="008D36CB">
        <w:t xml:space="preserve">tâches </w:t>
      </w:r>
      <w:r w:rsidR="0033796A" w:rsidRPr="008D36CB">
        <w:t>en lien avec des financements spéciaux</w:t>
      </w:r>
      <w:r w:rsidR="00ED1B5E" w:rsidRPr="008D36CB">
        <w:t>.</w:t>
      </w:r>
    </w:p>
    <w:p w:rsidR="00CF290E" w:rsidRPr="001D78AE" w:rsidRDefault="00330A5A" w:rsidP="004339E7">
      <w:r w:rsidRPr="001D78AE">
        <w:rPr>
          <w:rStyle w:val="Appelnotedebasdep"/>
          <w:position w:val="6"/>
          <w:sz w:val="14"/>
          <w:vertAlign w:val="baseline"/>
        </w:rPr>
        <w:t>2</w:t>
      </w:r>
      <w:r w:rsidRPr="001D78AE">
        <w:rPr>
          <w:position w:val="6"/>
          <w:sz w:val="14"/>
        </w:rPr>
        <w:t xml:space="preserve"> </w:t>
      </w:r>
      <w:r w:rsidR="00ED1B5E" w:rsidRPr="001D78AE">
        <w:t>Pour l</w:t>
      </w:r>
      <w:r w:rsidR="00CF290E" w:rsidRPr="001D78AE">
        <w:t>e</w:t>
      </w:r>
      <w:r w:rsidR="00ED1B5E" w:rsidRPr="001D78AE">
        <w:t>s autres tâches, le</w:t>
      </w:r>
      <w:r w:rsidR="00CF290E" w:rsidRPr="001D78AE">
        <w:t xml:space="preserve"> règlement communal des finances peut préciser</w:t>
      </w:r>
      <w:r w:rsidR="008D36CB">
        <w:t>,</w:t>
      </w:r>
      <w:r w:rsidR="00CF290E" w:rsidRPr="001D78AE">
        <w:t xml:space="preserve"> </w:t>
      </w:r>
      <w:r w:rsidR="008D36CB">
        <w:t xml:space="preserve">conformément au principe d’importance, </w:t>
      </w:r>
      <w:r w:rsidR="00CF290E" w:rsidRPr="001D78AE">
        <w:t xml:space="preserve">le seuil à partir duquel une imputation interne doit être </w:t>
      </w:r>
      <w:r w:rsidR="0080511D" w:rsidRPr="001D78AE">
        <w:t>opérée</w:t>
      </w:r>
      <w:r w:rsidR="00CF290E" w:rsidRPr="001D78AE">
        <w:t>.</w:t>
      </w:r>
    </w:p>
    <w:p w:rsidR="00ED5E19" w:rsidRPr="001D78AE" w:rsidRDefault="00ED5E19" w:rsidP="00ED5E19">
      <w:pPr>
        <w:pStyle w:val="NoArt"/>
      </w:pPr>
      <w:bookmarkStart w:id="53" w:name="_Toc379958531"/>
      <w:bookmarkStart w:id="54" w:name="_Toc522697292"/>
      <w:r w:rsidRPr="001D78AE">
        <w:rPr>
          <w:b/>
        </w:rPr>
        <w:t>Art. 2</w:t>
      </w:r>
      <w:r w:rsidR="005A6ABA" w:rsidRPr="001D78AE">
        <w:rPr>
          <w:b/>
        </w:rPr>
        <w:t>7</w:t>
      </w:r>
      <w:r w:rsidRPr="001D78AE">
        <w:rPr>
          <w:b/>
        </w:rPr>
        <w:tab/>
      </w:r>
      <w:r w:rsidRPr="001D78AE">
        <w:t>Comptabilité des immobilisations</w:t>
      </w:r>
      <w:bookmarkEnd w:id="53"/>
      <w:r w:rsidRPr="001D78AE">
        <w:t xml:space="preserve"> (art. 53</w:t>
      </w:r>
      <w:r w:rsidR="00B72223" w:rsidRPr="001D78AE">
        <w:t xml:space="preserve"> al. </w:t>
      </w:r>
      <w:r w:rsidR="005D6616">
        <w:t>3</w:t>
      </w:r>
      <w:r w:rsidRPr="001D78AE">
        <w:t xml:space="preserve"> LFCo)</w:t>
      </w:r>
      <w:bookmarkEnd w:id="54"/>
    </w:p>
    <w:p w:rsidR="006366A2" w:rsidRPr="001D78AE" w:rsidRDefault="00264379" w:rsidP="006366A2">
      <w:r w:rsidRPr="001D78AE">
        <w:rPr>
          <w:rStyle w:val="Appelnotedebasdep"/>
          <w:position w:val="6"/>
          <w:sz w:val="14"/>
          <w:vertAlign w:val="baseline"/>
        </w:rPr>
        <w:t>1</w:t>
      </w:r>
      <w:r w:rsidRPr="001D78AE">
        <w:rPr>
          <w:position w:val="6"/>
          <w:sz w:val="14"/>
        </w:rPr>
        <w:t xml:space="preserve"> </w:t>
      </w:r>
      <w:r w:rsidR="006366A2" w:rsidRPr="001D78AE">
        <w:t xml:space="preserve">La comptabilité des immobilisations doit </w:t>
      </w:r>
      <w:r w:rsidR="00C73861" w:rsidRPr="001D78AE">
        <w:t>fournir</w:t>
      </w:r>
      <w:r w:rsidR="006366A2" w:rsidRPr="001D78AE">
        <w:t xml:space="preserve">, </w:t>
      </w:r>
      <w:r w:rsidR="00C73861" w:rsidRPr="001D78AE">
        <w:t>pour chaque objet, les éléments</w:t>
      </w:r>
      <w:r w:rsidR="006366A2" w:rsidRPr="001D78AE">
        <w:t xml:space="preserve"> suivants :</w:t>
      </w:r>
    </w:p>
    <w:p w:rsidR="00446685" w:rsidRPr="001D78AE" w:rsidRDefault="006366A2" w:rsidP="00446685">
      <w:pPr>
        <w:pStyle w:val="Structure1"/>
        <w:jc w:val="left"/>
      </w:pPr>
      <w:r w:rsidRPr="001D78AE">
        <w:t>a)</w:t>
      </w:r>
      <w:r w:rsidRPr="001D78AE">
        <w:tab/>
      </w:r>
      <w:r w:rsidR="00C73861" w:rsidRPr="001D78AE">
        <w:t>le coût d’acquisition ou de construction</w:t>
      </w:r>
      <w:r w:rsidR="00446685" w:rsidRPr="001D78AE">
        <w:t> ;</w:t>
      </w:r>
    </w:p>
    <w:p w:rsidR="00446685" w:rsidRPr="001D78AE" w:rsidRDefault="00446685" w:rsidP="00446685">
      <w:pPr>
        <w:pStyle w:val="Structure1"/>
        <w:jc w:val="left"/>
      </w:pPr>
      <w:r w:rsidRPr="001D78AE">
        <w:t>b)</w:t>
      </w:r>
      <w:r w:rsidRPr="001D78AE">
        <w:tab/>
      </w:r>
      <w:r w:rsidR="00523F37" w:rsidRPr="001D78AE">
        <w:t>la revalorisation ou la dépréciation</w:t>
      </w:r>
      <w:r w:rsidRPr="001D78AE">
        <w:t> ;</w:t>
      </w:r>
    </w:p>
    <w:p w:rsidR="00446685" w:rsidRPr="001D78AE" w:rsidRDefault="00446685" w:rsidP="00446685">
      <w:pPr>
        <w:pStyle w:val="Structure1"/>
        <w:jc w:val="left"/>
      </w:pPr>
      <w:r w:rsidRPr="001D78AE">
        <w:t>c)</w:t>
      </w:r>
      <w:r w:rsidRPr="001D78AE">
        <w:tab/>
        <w:t>la vente ;</w:t>
      </w:r>
    </w:p>
    <w:p w:rsidR="00446685" w:rsidRPr="001D78AE" w:rsidRDefault="00446685" w:rsidP="00446685">
      <w:pPr>
        <w:pStyle w:val="Structure1"/>
        <w:jc w:val="left"/>
      </w:pPr>
      <w:r w:rsidRPr="001D78AE">
        <w:t>d)</w:t>
      </w:r>
      <w:r w:rsidRPr="001D78AE">
        <w:tab/>
        <w:t>le transfert de patrimoine ;</w:t>
      </w:r>
    </w:p>
    <w:p w:rsidR="00481596" w:rsidRPr="001D78AE" w:rsidRDefault="00481596" w:rsidP="00481596">
      <w:pPr>
        <w:pStyle w:val="Structure1"/>
        <w:jc w:val="left"/>
      </w:pPr>
      <w:r w:rsidRPr="001D78AE">
        <w:t>e)</w:t>
      </w:r>
      <w:r w:rsidRPr="001D78AE">
        <w:tab/>
        <w:t>l’amortissement</w:t>
      </w:r>
      <w:r w:rsidR="00523F37" w:rsidRPr="001D78AE">
        <w:t xml:space="preserve"> planifié</w:t>
      </w:r>
      <w:r w:rsidR="000A3672" w:rsidRPr="001D78AE">
        <w:t> ;</w:t>
      </w:r>
    </w:p>
    <w:p w:rsidR="000A3672" w:rsidRPr="001D78AE" w:rsidRDefault="000A3672" w:rsidP="004339E7">
      <w:pPr>
        <w:pStyle w:val="Structure1"/>
        <w:jc w:val="left"/>
      </w:pPr>
      <w:r w:rsidRPr="001D78AE">
        <w:t>f)</w:t>
      </w:r>
      <w:r w:rsidRPr="001D78AE">
        <w:tab/>
        <w:t>la valeur résiduelle.</w:t>
      </w:r>
    </w:p>
    <w:p w:rsidR="00965334" w:rsidRPr="001D78AE" w:rsidRDefault="0069250D" w:rsidP="00FF71B2">
      <w:pPr>
        <w:pStyle w:val="NoArt"/>
      </w:pPr>
      <w:bookmarkStart w:id="55" w:name="_Toc379958538"/>
      <w:bookmarkStart w:id="56" w:name="_Toc522697293"/>
      <w:r w:rsidRPr="001D78AE">
        <w:rPr>
          <w:b/>
        </w:rPr>
        <w:t>Art.</w:t>
      </w:r>
      <w:r w:rsidR="00B72223" w:rsidRPr="001D78AE">
        <w:rPr>
          <w:b/>
        </w:rPr>
        <w:t xml:space="preserve"> </w:t>
      </w:r>
      <w:r w:rsidR="007B50C2" w:rsidRPr="001D78AE">
        <w:rPr>
          <w:b/>
        </w:rPr>
        <w:t>2</w:t>
      </w:r>
      <w:r w:rsidR="005A6ABA" w:rsidRPr="001D78AE">
        <w:rPr>
          <w:b/>
        </w:rPr>
        <w:t>8</w:t>
      </w:r>
      <w:r w:rsidR="0084421D" w:rsidRPr="001D78AE">
        <w:rPr>
          <w:b/>
        </w:rPr>
        <w:tab/>
      </w:r>
      <w:r w:rsidR="00965334" w:rsidRPr="001D78AE">
        <w:t>Système de contrôle interne</w:t>
      </w:r>
      <w:bookmarkEnd w:id="55"/>
      <w:r w:rsidR="00B72223" w:rsidRPr="001D78AE">
        <w:t xml:space="preserve"> (art. 56 al. 3 LFCo)</w:t>
      </w:r>
      <w:bookmarkEnd w:id="56"/>
    </w:p>
    <w:p w:rsidR="004339E7" w:rsidRPr="001D78AE" w:rsidRDefault="00264379" w:rsidP="001D48D4">
      <w:r w:rsidRPr="001D78AE">
        <w:rPr>
          <w:rStyle w:val="Appelnotedebasdep"/>
          <w:position w:val="6"/>
          <w:sz w:val="14"/>
          <w:vertAlign w:val="baseline"/>
        </w:rPr>
        <w:t>1</w:t>
      </w:r>
      <w:r w:rsidRPr="001D78AE">
        <w:rPr>
          <w:position w:val="6"/>
          <w:sz w:val="14"/>
        </w:rPr>
        <w:t xml:space="preserve"> </w:t>
      </w:r>
      <w:r w:rsidR="00685184" w:rsidRPr="001D78AE">
        <w:t xml:space="preserve">Les éléments essentiels du système de contrôle interne sont précisés dans </w:t>
      </w:r>
      <w:r w:rsidR="006D39F3" w:rsidRPr="001D78AE">
        <w:t>les directives du Service</w:t>
      </w:r>
      <w:r w:rsidR="00685184" w:rsidRPr="001D78AE">
        <w:t>.</w:t>
      </w:r>
    </w:p>
    <w:p w:rsidR="00965334" w:rsidRPr="001D78AE" w:rsidRDefault="00FF71B2" w:rsidP="00FF71B2">
      <w:pPr>
        <w:pStyle w:val="Titre1"/>
      </w:pPr>
      <w:bookmarkStart w:id="57" w:name="_Toc379958539"/>
      <w:bookmarkStart w:id="58" w:name="_Toc522697294"/>
      <w:r w:rsidRPr="001D78AE">
        <w:t>CHAPITRE 6</w:t>
      </w:r>
      <w:r w:rsidRPr="001D78AE">
        <w:br/>
      </w:r>
      <w:bookmarkEnd w:id="57"/>
      <w:r w:rsidR="00B72223" w:rsidRPr="001D78AE">
        <w:t xml:space="preserve">Contrôle externe de la comptabilité et des </w:t>
      </w:r>
      <w:r w:rsidR="00732419" w:rsidRPr="001D78AE">
        <w:t>comptes</w:t>
      </w:r>
      <w:bookmarkEnd w:id="58"/>
    </w:p>
    <w:p w:rsidR="007E17D3" w:rsidRPr="001D78AE" w:rsidRDefault="007E17D3" w:rsidP="007E17D3">
      <w:pPr>
        <w:pStyle w:val="NoArt"/>
      </w:pPr>
      <w:bookmarkStart w:id="59" w:name="_Toc522697295"/>
      <w:r w:rsidRPr="001D78AE">
        <w:rPr>
          <w:b/>
        </w:rPr>
        <w:t>Art.</w:t>
      </w:r>
      <w:r w:rsidR="005A6ABA" w:rsidRPr="001D78AE">
        <w:rPr>
          <w:b/>
        </w:rPr>
        <w:t xml:space="preserve"> 29</w:t>
      </w:r>
      <w:r w:rsidRPr="001D78AE">
        <w:tab/>
        <w:t>Qualifications de l</w:t>
      </w:r>
      <w:r w:rsidR="007061E8" w:rsidRPr="001D78AE">
        <w:t>’</w:t>
      </w:r>
      <w:r w:rsidRPr="001D78AE">
        <w:t>organe de révision (art. 58 LFCo)</w:t>
      </w:r>
      <w:bookmarkEnd w:id="59"/>
    </w:p>
    <w:p w:rsidR="00B72223" w:rsidRPr="001D78AE" w:rsidRDefault="00CE3B5A" w:rsidP="00B72223">
      <w:r w:rsidRPr="001D78AE">
        <w:rPr>
          <w:vertAlign w:val="superscript"/>
        </w:rPr>
        <w:t>1</w:t>
      </w:r>
      <w:r w:rsidRPr="001D78AE">
        <w:t xml:space="preserve"> </w:t>
      </w:r>
      <w:r w:rsidR="00C9771E" w:rsidRPr="001D78AE">
        <w:t>Pour ê</w:t>
      </w:r>
      <w:r w:rsidR="007E17D3" w:rsidRPr="001D78AE">
        <w:t>tre désignée en qualité d</w:t>
      </w:r>
      <w:r w:rsidR="007061E8" w:rsidRPr="001D78AE">
        <w:t>’</w:t>
      </w:r>
      <w:r w:rsidR="007E17D3" w:rsidRPr="001D78AE">
        <w:t>organe de révision, une personne physique ou une entreprise de révision doit être agréée en qualité de réviseur par l</w:t>
      </w:r>
      <w:r w:rsidR="007061E8" w:rsidRPr="001D78AE">
        <w:t>’</w:t>
      </w:r>
      <w:r w:rsidR="007E17D3" w:rsidRPr="001D78AE">
        <w:t>Autorité fédérale de surveillance en matière de révision.</w:t>
      </w:r>
    </w:p>
    <w:p w:rsidR="007E17D3" w:rsidRPr="001D78AE" w:rsidRDefault="007E17D3" w:rsidP="007E17D3">
      <w:pPr>
        <w:pStyle w:val="NoArt"/>
      </w:pPr>
      <w:bookmarkStart w:id="60" w:name="_Toc522697296"/>
      <w:r w:rsidRPr="001D78AE">
        <w:rPr>
          <w:b/>
        </w:rPr>
        <w:t xml:space="preserve">Art. </w:t>
      </w:r>
      <w:r w:rsidR="00E3583D" w:rsidRPr="001D78AE">
        <w:rPr>
          <w:b/>
        </w:rPr>
        <w:t>3</w:t>
      </w:r>
      <w:r w:rsidR="005A6ABA" w:rsidRPr="001D78AE">
        <w:rPr>
          <w:b/>
        </w:rPr>
        <w:t>0</w:t>
      </w:r>
      <w:r w:rsidRPr="001D78AE">
        <w:tab/>
        <w:t>Indépendance de l</w:t>
      </w:r>
      <w:r w:rsidR="007061E8" w:rsidRPr="001D78AE">
        <w:t>’</w:t>
      </w:r>
      <w:r w:rsidRPr="001D78AE">
        <w:t>organe de révision (art. 59 LFCo)</w:t>
      </w:r>
      <w:bookmarkEnd w:id="60"/>
    </w:p>
    <w:p w:rsidR="00C31638" w:rsidRPr="001D78AE" w:rsidRDefault="00330A5A" w:rsidP="00C31638">
      <w:pPr>
        <w:rPr>
          <w:rFonts w:ascii="Times" w:hAnsi="Times" w:cs="Times"/>
          <w:lang w:eastAsia="fr-FR"/>
        </w:rPr>
      </w:pPr>
      <w:r w:rsidRPr="001D78AE">
        <w:rPr>
          <w:rStyle w:val="Appelnotedebasdep"/>
          <w:position w:val="6"/>
          <w:sz w:val="14"/>
          <w:vertAlign w:val="baseline"/>
        </w:rPr>
        <w:t>1</w:t>
      </w:r>
      <w:r w:rsidRPr="001D78AE">
        <w:rPr>
          <w:position w:val="6"/>
          <w:sz w:val="14"/>
        </w:rPr>
        <w:t xml:space="preserve"> </w:t>
      </w:r>
      <w:r w:rsidR="00C31638" w:rsidRPr="001D78AE">
        <w:rPr>
          <w:rFonts w:ascii="Times" w:hAnsi="Times" w:cs="Times"/>
          <w:lang w:eastAsia="fr-FR"/>
        </w:rPr>
        <w:t>L</w:t>
      </w:r>
      <w:r w:rsidR="007061E8" w:rsidRPr="001D78AE">
        <w:rPr>
          <w:rFonts w:ascii="Times" w:hAnsi="Times" w:cs="Times"/>
          <w:lang w:eastAsia="fr-FR"/>
        </w:rPr>
        <w:t>’</w:t>
      </w:r>
      <w:r w:rsidR="00C31638" w:rsidRPr="001D78AE">
        <w:rPr>
          <w:rFonts w:ascii="Times" w:hAnsi="Times" w:cs="Times"/>
          <w:lang w:eastAsia="fr-FR"/>
        </w:rPr>
        <w:t>indépendance de l</w:t>
      </w:r>
      <w:r w:rsidR="007061E8" w:rsidRPr="001D78AE">
        <w:rPr>
          <w:rFonts w:ascii="Times" w:hAnsi="Times" w:cs="Times"/>
          <w:lang w:eastAsia="fr-FR"/>
        </w:rPr>
        <w:t>’</w:t>
      </w:r>
      <w:r w:rsidR="00C31638" w:rsidRPr="001D78AE">
        <w:rPr>
          <w:rFonts w:ascii="Times" w:hAnsi="Times" w:cs="Times"/>
          <w:lang w:eastAsia="fr-FR"/>
        </w:rPr>
        <w:t>organe de révision ne doit être restreinte ni dans les faits, ni en apparence.</w:t>
      </w:r>
    </w:p>
    <w:p w:rsidR="00C31638" w:rsidRPr="001D78AE" w:rsidRDefault="00330A5A" w:rsidP="00C31638">
      <w:pPr>
        <w:rPr>
          <w:rFonts w:ascii="Times" w:hAnsi="Times" w:cs="Times"/>
          <w:lang w:eastAsia="fr-FR"/>
        </w:rPr>
      </w:pPr>
      <w:r w:rsidRPr="001D78AE">
        <w:rPr>
          <w:rStyle w:val="Appelnotedebasdep"/>
          <w:position w:val="6"/>
          <w:sz w:val="14"/>
          <w:vertAlign w:val="baseline"/>
        </w:rPr>
        <w:t>2</w:t>
      </w:r>
      <w:r w:rsidRPr="001D78AE">
        <w:rPr>
          <w:position w:val="6"/>
          <w:sz w:val="14"/>
        </w:rPr>
        <w:t xml:space="preserve"> </w:t>
      </w:r>
      <w:r w:rsidR="00C31638" w:rsidRPr="001D78AE">
        <w:rPr>
          <w:rFonts w:ascii="Times" w:hAnsi="Times" w:cs="Times"/>
          <w:lang w:eastAsia="fr-FR"/>
        </w:rPr>
        <w:t>L</w:t>
      </w:r>
      <w:r w:rsidR="007061E8" w:rsidRPr="001D78AE">
        <w:rPr>
          <w:rFonts w:ascii="Times" w:hAnsi="Times" w:cs="Times"/>
          <w:lang w:eastAsia="fr-FR"/>
        </w:rPr>
        <w:t>’</w:t>
      </w:r>
      <w:r w:rsidR="00C31638" w:rsidRPr="001D78AE">
        <w:rPr>
          <w:rFonts w:ascii="Times" w:hAnsi="Times" w:cs="Times"/>
          <w:lang w:eastAsia="fr-FR"/>
        </w:rPr>
        <w:t>indépendance de l</w:t>
      </w:r>
      <w:r w:rsidR="007061E8" w:rsidRPr="001D78AE">
        <w:rPr>
          <w:rFonts w:ascii="Times" w:hAnsi="Times" w:cs="Times"/>
          <w:lang w:eastAsia="fr-FR"/>
        </w:rPr>
        <w:t>’</w:t>
      </w:r>
      <w:r w:rsidR="00C31638" w:rsidRPr="001D78AE">
        <w:rPr>
          <w:rFonts w:ascii="Times" w:hAnsi="Times" w:cs="Times"/>
          <w:lang w:eastAsia="fr-FR"/>
        </w:rPr>
        <w:t>organe de révision est, en particulier, incompatible avec</w:t>
      </w:r>
      <w:r w:rsidR="007061E8" w:rsidRPr="001D78AE">
        <w:rPr>
          <w:rFonts w:ascii="Times" w:hAnsi="Times" w:cs="Times"/>
          <w:lang w:eastAsia="fr-FR"/>
        </w:rPr>
        <w:t> :</w:t>
      </w:r>
    </w:p>
    <w:p w:rsidR="00C31638" w:rsidRPr="001D78AE" w:rsidRDefault="00C31638" w:rsidP="00C31638">
      <w:pPr>
        <w:pStyle w:val="Structure1"/>
        <w:rPr>
          <w:rFonts w:ascii="Times" w:hAnsi="Times" w:cs="Times"/>
          <w:lang w:eastAsia="fr-FR"/>
        </w:rPr>
      </w:pPr>
      <w:r w:rsidRPr="001D78AE">
        <w:rPr>
          <w:rFonts w:ascii="Times" w:hAnsi="Times" w:cs="Times"/>
          <w:lang w:eastAsia="fr-FR"/>
        </w:rPr>
        <w:lastRenderedPageBreak/>
        <w:t>a)</w:t>
      </w:r>
      <w:r w:rsidRPr="001D78AE">
        <w:rPr>
          <w:rFonts w:ascii="Times" w:hAnsi="Times" w:cs="Times"/>
          <w:lang w:eastAsia="fr-FR"/>
        </w:rPr>
        <w:tab/>
      </w:r>
      <w:r w:rsidRPr="001D78AE">
        <w:rPr>
          <w:rFonts w:ascii="Times" w:hAnsi="Times" w:cs="Times"/>
        </w:rPr>
        <w:t>l</w:t>
      </w:r>
      <w:r w:rsidR="007061E8" w:rsidRPr="001D78AE">
        <w:rPr>
          <w:rFonts w:ascii="Times" w:hAnsi="Times" w:cs="Times"/>
        </w:rPr>
        <w:t>’</w:t>
      </w:r>
      <w:r w:rsidRPr="001D78AE">
        <w:rPr>
          <w:rFonts w:ascii="Times" w:hAnsi="Times" w:cs="Times"/>
        </w:rPr>
        <w:t>appartenance</w:t>
      </w:r>
      <w:r w:rsidRPr="001D78AE">
        <w:rPr>
          <w:rFonts w:ascii="Times" w:hAnsi="Times" w:cs="Times"/>
          <w:lang w:eastAsia="fr-FR"/>
        </w:rPr>
        <w:t xml:space="preserve"> au conseil communal, à la commission financière ou des rapports de service avec la commune</w:t>
      </w:r>
      <w:r w:rsidR="007061E8" w:rsidRPr="001D78AE">
        <w:rPr>
          <w:rFonts w:ascii="Times" w:hAnsi="Times" w:cs="Times"/>
          <w:lang w:eastAsia="fr-FR"/>
        </w:rPr>
        <w:t> ;</w:t>
      </w:r>
    </w:p>
    <w:p w:rsidR="00C31638" w:rsidRPr="001D78AE" w:rsidRDefault="00C31638" w:rsidP="00C31638">
      <w:pPr>
        <w:pStyle w:val="Structure1"/>
        <w:rPr>
          <w:rFonts w:ascii="Times" w:hAnsi="Times" w:cs="Times"/>
          <w:lang w:eastAsia="fr-FR"/>
        </w:rPr>
      </w:pPr>
      <w:r w:rsidRPr="001D78AE">
        <w:rPr>
          <w:rFonts w:ascii="Times" w:hAnsi="Times" w:cs="Times"/>
          <w:lang w:eastAsia="fr-FR"/>
        </w:rPr>
        <w:t>b)</w:t>
      </w:r>
      <w:r w:rsidRPr="001D78AE">
        <w:rPr>
          <w:rFonts w:ascii="Times" w:hAnsi="Times" w:cs="Times"/>
          <w:lang w:eastAsia="fr-FR"/>
        </w:rPr>
        <w:tab/>
        <w:t xml:space="preserve">une </w:t>
      </w:r>
      <w:r w:rsidRPr="001D78AE">
        <w:rPr>
          <w:rFonts w:ascii="Times" w:hAnsi="Times" w:cs="Times"/>
        </w:rPr>
        <w:t>relation</w:t>
      </w:r>
      <w:r w:rsidRPr="001D78AE">
        <w:rPr>
          <w:rFonts w:ascii="Times" w:hAnsi="Times" w:cs="Times"/>
          <w:lang w:eastAsia="fr-FR"/>
        </w:rPr>
        <w:t xml:space="preserve"> étroite entre la personne qui dirige la révision et l</w:t>
      </w:r>
      <w:r w:rsidR="007061E8" w:rsidRPr="001D78AE">
        <w:rPr>
          <w:rFonts w:ascii="Times" w:hAnsi="Times" w:cs="Times"/>
          <w:lang w:eastAsia="fr-FR"/>
        </w:rPr>
        <w:t>’</w:t>
      </w:r>
      <w:r w:rsidRPr="001D78AE">
        <w:rPr>
          <w:rFonts w:ascii="Times" w:hAnsi="Times" w:cs="Times"/>
          <w:lang w:eastAsia="fr-FR"/>
        </w:rPr>
        <w:t>un des membres du conseil communal, de la commission financière ou l</w:t>
      </w:r>
      <w:r w:rsidR="00A31CE0" w:rsidRPr="001D78AE">
        <w:rPr>
          <w:rFonts w:ascii="Times" w:hAnsi="Times" w:cs="Times"/>
          <w:lang w:eastAsia="fr-FR"/>
        </w:rPr>
        <w:t>’administrateur ou l’administratrice</w:t>
      </w:r>
      <w:r w:rsidR="000747C3" w:rsidRPr="001D78AE">
        <w:rPr>
          <w:rFonts w:ascii="Times" w:hAnsi="Times" w:cs="Times"/>
          <w:lang w:eastAsia="fr-FR"/>
        </w:rPr>
        <w:t xml:space="preserve"> des </w:t>
      </w:r>
      <w:r w:rsidR="00E3583D" w:rsidRPr="001D78AE">
        <w:rPr>
          <w:rFonts w:ascii="Times" w:hAnsi="Times" w:cs="Times"/>
          <w:lang w:eastAsia="fr-FR"/>
        </w:rPr>
        <w:t>finances</w:t>
      </w:r>
      <w:r w:rsidR="007061E8" w:rsidRPr="001D78AE">
        <w:rPr>
          <w:rFonts w:ascii="Times" w:hAnsi="Times" w:cs="Times"/>
          <w:lang w:eastAsia="fr-FR"/>
        </w:rPr>
        <w:t> ;</w:t>
      </w:r>
    </w:p>
    <w:p w:rsidR="00C31638" w:rsidRPr="001D78AE" w:rsidRDefault="00C31638" w:rsidP="00C31638">
      <w:pPr>
        <w:pStyle w:val="Structure1"/>
        <w:rPr>
          <w:rFonts w:ascii="Times" w:hAnsi="Times" w:cs="Times"/>
          <w:lang w:eastAsia="fr-FR"/>
        </w:rPr>
      </w:pPr>
      <w:r w:rsidRPr="001D78AE">
        <w:rPr>
          <w:rFonts w:ascii="Times" w:hAnsi="Times" w:cs="Times"/>
          <w:lang w:eastAsia="fr-FR"/>
        </w:rPr>
        <w:t>c)</w:t>
      </w:r>
      <w:r w:rsidRPr="001D78AE">
        <w:rPr>
          <w:rFonts w:ascii="Times" w:hAnsi="Times" w:cs="Times"/>
          <w:lang w:eastAsia="fr-FR"/>
        </w:rPr>
        <w:tab/>
        <w:t xml:space="preserve">la </w:t>
      </w:r>
      <w:r w:rsidRPr="001D78AE">
        <w:rPr>
          <w:rFonts w:ascii="Times" w:hAnsi="Times" w:cs="Times"/>
        </w:rPr>
        <w:t>collaboration</w:t>
      </w:r>
      <w:r w:rsidRPr="001D78AE">
        <w:rPr>
          <w:rFonts w:ascii="Times" w:hAnsi="Times" w:cs="Times"/>
          <w:lang w:eastAsia="fr-FR"/>
        </w:rPr>
        <w:t xml:space="preserve"> à la tenue de la comptabilité ainsi que la fourniture d</w:t>
      </w:r>
      <w:r w:rsidR="007061E8" w:rsidRPr="001D78AE">
        <w:rPr>
          <w:rFonts w:ascii="Times" w:hAnsi="Times" w:cs="Times"/>
          <w:lang w:eastAsia="fr-FR"/>
        </w:rPr>
        <w:t>’</w:t>
      </w:r>
      <w:r w:rsidRPr="001D78AE">
        <w:rPr>
          <w:rFonts w:ascii="Times" w:hAnsi="Times" w:cs="Times"/>
          <w:lang w:eastAsia="fr-FR"/>
        </w:rPr>
        <w:t>autres prestations qui entraînent le risque de devoir contrôler son propre travail en tant qu</w:t>
      </w:r>
      <w:r w:rsidR="007061E8" w:rsidRPr="001D78AE">
        <w:rPr>
          <w:rFonts w:ascii="Times" w:hAnsi="Times" w:cs="Times"/>
          <w:lang w:eastAsia="fr-FR"/>
        </w:rPr>
        <w:t>’</w:t>
      </w:r>
      <w:r w:rsidRPr="001D78AE">
        <w:rPr>
          <w:rFonts w:ascii="Times" w:hAnsi="Times" w:cs="Times"/>
          <w:lang w:eastAsia="fr-FR"/>
        </w:rPr>
        <w:t>organe de révision</w:t>
      </w:r>
      <w:r w:rsidR="007061E8" w:rsidRPr="001D78AE">
        <w:rPr>
          <w:rFonts w:ascii="Times" w:hAnsi="Times" w:cs="Times"/>
          <w:lang w:eastAsia="fr-FR"/>
        </w:rPr>
        <w:t> ;</w:t>
      </w:r>
    </w:p>
    <w:p w:rsidR="00C31638" w:rsidRPr="001D78AE" w:rsidRDefault="00C31638" w:rsidP="00C31638">
      <w:pPr>
        <w:pStyle w:val="Structure1"/>
        <w:rPr>
          <w:rFonts w:ascii="Times" w:hAnsi="Times" w:cs="Times"/>
          <w:lang w:eastAsia="fr-FR"/>
        </w:rPr>
      </w:pPr>
      <w:r w:rsidRPr="001D78AE">
        <w:rPr>
          <w:rFonts w:ascii="Times" w:hAnsi="Times" w:cs="Times"/>
          <w:lang w:eastAsia="fr-FR"/>
        </w:rPr>
        <w:t>d)</w:t>
      </w:r>
      <w:r w:rsidRPr="001D78AE">
        <w:rPr>
          <w:rFonts w:ascii="Times" w:hAnsi="Times" w:cs="Times"/>
          <w:lang w:eastAsia="fr-FR"/>
        </w:rPr>
        <w:tab/>
      </w:r>
      <w:r w:rsidRPr="001D78AE">
        <w:rPr>
          <w:rFonts w:ascii="Times" w:hAnsi="Times" w:cs="Times"/>
        </w:rPr>
        <w:t>l</w:t>
      </w:r>
      <w:r w:rsidR="007061E8" w:rsidRPr="001D78AE">
        <w:rPr>
          <w:rFonts w:ascii="Times" w:hAnsi="Times" w:cs="Times"/>
        </w:rPr>
        <w:t>’</w:t>
      </w:r>
      <w:r w:rsidRPr="001D78AE">
        <w:rPr>
          <w:rFonts w:ascii="Times" w:hAnsi="Times" w:cs="Times"/>
        </w:rPr>
        <w:t>acceptation</w:t>
      </w:r>
      <w:r w:rsidRPr="001D78AE">
        <w:rPr>
          <w:rFonts w:ascii="Times" w:hAnsi="Times" w:cs="Times"/>
          <w:lang w:eastAsia="fr-FR"/>
        </w:rPr>
        <w:t xml:space="preserve"> d</w:t>
      </w:r>
      <w:r w:rsidR="007061E8" w:rsidRPr="001D78AE">
        <w:rPr>
          <w:rFonts w:ascii="Times" w:hAnsi="Times" w:cs="Times"/>
          <w:lang w:eastAsia="fr-FR"/>
        </w:rPr>
        <w:t>’</w:t>
      </w:r>
      <w:r w:rsidRPr="001D78AE">
        <w:rPr>
          <w:rFonts w:ascii="Times" w:hAnsi="Times" w:cs="Times"/>
          <w:lang w:eastAsia="fr-FR"/>
        </w:rPr>
        <w:t>un mandat qui entraîne une dépendance économique</w:t>
      </w:r>
      <w:r w:rsidR="007061E8" w:rsidRPr="001D78AE">
        <w:rPr>
          <w:rFonts w:ascii="Times" w:hAnsi="Times" w:cs="Times"/>
          <w:lang w:eastAsia="fr-FR"/>
        </w:rPr>
        <w:t> ;</w:t>
      </w:r>
    </w:p>
    <w:p w:rsidR="00C31638" w:rsidRPr="001D78AE" w:rsidRDefault="00C31638" w:rsidP="00C31638">
      <w:pPr>
        <w:pStyle w:val="Structure1"/>
        <w:rPr>
          <w:rFonts w:ascii="Times" w:hAnsi="Times" w:cs="Times"/>
          <w:lang w:eastAsia="fr-FR"/>
        </w:rPr>
      </w:pPr>
      <w:r w:rsidRPr="001D78AE">
        <w:rPr>
          <w:rFonts w:ascii="Times" w:hAnsi="Times" w:cs="Times"/>
          <w:lang w:eastAsia="fr-FR"/>
        </w:rPr>
        <w:t>e)</w:t>
      </w:r>
      <w:r w:rsidRPr="001D78AE">
        <w:rPr>
          <w:rFonts w:ascii="Times" w:hAnsi="Times" w:cs="Times"/>
          <w:lang w:eastAsia="fr-FR"/>
        </w:rPr>
        <w:tab/>
        <w:t xml:space="preserve">la </w:t>
      </w:r>
      <w:r w:rsidRPr="001D78AE">
        <w:rPr>
          <w:rFonts w:ascii="Times" w:hAnsi="Times" w:cs="Times"/>
        </w:rPr>
        <w:t>conclusion</w:t>
      </w:r>
      <w:r w:rsidRPr="001D78AE">
        <w:rPr>
          <w:rFonts w:ascii="Times" w:hAnsi="Times" w:cs="Times"/>
          <w:lang w:eastAsia="fr-FR"/>
        </w:rPr>
        <w:t xml:space="preserve"> d</w:t>
      </w:r>
      <w:r w:rsidR="007061E8" w:rsidRPr="001D78AE">
        <w:rPr>
          <w:rFonts w:ascii="Times" w:hAnsi="Times" w:cs="Times"/>
          <w:lang w:eastAsia="fr-FR"/>
        </w:rPr>
        <w:t>’</w:t>
      </w:r>
      <w:r w:rsidRPr="001D78AE">
        <w:rPr>
          <w:rFonts w:ascii="Times" w:hAnsi="Times" w:cs="Times"/>
          <w:lang w:eastAsia="fr-FR"/>
        </w:rPr>
        <w:t>un contrat à des conditions non conformes aux règles du marché ou d</w:t>
      </w:r>
      <w:r w:rsidR="007061E8" w:rsidRPr="001D78AE">
        <w:rPr>
          <w:rFonts w:ascii="Times" w:hAnsi="Times" w:cs="Times"/>
          <w:lang w:eastAsia="fr-FR"/>
        </w:rPr>
        <w:t>’</w:t>
      </w:r>
      <w:r w:rsidRPr="001D78AE">
        <w:rPr>
          <w:rFonts w:ascii="Times" w:hAnsi="Times" w:cs="Times"/>
          <w:lang w:eastAsia="fr-FR"/>
        </w:rPr>
        <w:t>un contrat par lequel l</w:t>
      </w:r>
      <w:r w:rsidR="007061E8" w:rsidRPr="001D78AE">
        <w:rPr>
          <w:rFonts w:ascii="Times" w:hAnsi="Times" w:cs="Times"/>
          <w:lang w:eastAsia="fr-FR"/>
        </w:rPr>
        <w:t>’</w:t>
      </w:r>
      <w:r w:rsidRPr="001D78AE">
        <w:rPr>
          <w:rFonts w:ascii="Times" w:hAnsi="Times" w:cs="Times"/>
          <w:lang w:eastAsia="fr-FR"/>
        </w:rPr>
        <w:t>organe de révision acquiert un intérêt au résultat du contrôle</w:t>
      </w:r>
      <w:r w:rsidR="007061E8" w:rsidRPr="001D78AE">
        <w:rPr>
          <w:rFonts w:ascii="Times" w:hAnsi="Times" w:cs="Times"/>
          <w:lang w:eastAsia="fr-FR"/>
        </w:rPr>
        <w:t> ;</w:t>
      </w:r>
    </w:p>
    <w:p w:rsidR="00C31638" w:rsidRPr="001D78AE" w:rsidRDefault="00C31638" w:rsidP="00C31638">
      <w:pPr>
        <w:pStyle w:val="Structure1"/>
        <w:rPr>
          <w:rFonts w:ascii="Times" w:hAnsi="Times" w:cs="Times"/>
          <w:lang w:eastAsia="fr-FR"/>
        </w:rPr>
      </w:pPr>
      <w:r w:rsidRPr="001D78AE">
        <w:rPr>
          <w:rFonts w:ascii="Times" w:hAnsi="Times" w:cs="Times"/>
          <w:lang w:eastAsia="fr-FR"/>
        </w:rPr>
        <w:t>f)</w:t>
      </w:r>
      <w:r w:rsidRPr="001D78AE">
        <w:rPr>
          <w:rFonts w:ascii="Times" w:hAnsi="Times" w:cs="Times"/>
          <w:lang w:eastAsia="fr-FR"/>
        </w:rPr>
        <w:tab/>
      </w:r>
      <w:r w:rsidRPr="001D78AE">
        <w:rPr>
          <w:rFonts w:ascii="Times" w:hAnsi="Times" w:cs="Times"/>
        </w:rPr>
        <w:t>l</w:t>
      </w:r>
      <w:r w:rsidR="007061E8" w:rsidRPr="001D78AE">
        <w:rPr>
          <w:rFonts w:ascii="Times" w:hAnsi="Times" w:cs="Times"/>
        </w:rPr>
        <w:t>’</w:t>
      </w:r>
      <w:r w:rsidRPr="001D78AE">
        <w:rPr>
          <w:rFonts w:ascii="Times" w:hAnsi="Times" w:cs="Times"/>
        </w:rPr>
        <w:t>acceptation</w:t>
      </w:r>
      <w:r w:rsidRPr="001D78AE">
        <w:rPr>
          <w:rFonts w:ascii="Times" w:hAnsi="Times" w:cs="Times"/>
          <w:lang w:eastAsia="fr-FR"/>
        </w:rPr>
        <w:t xml:space="preserve"> de cadeaux de valeur ou d</w:t>
      </w:r>
      <w:r w:rsidR="007061E8" w:rsidRPr="001D78AE">
        <w:rPr>
          <w:rFonts w:ascii="Times" w:hAnsi="Times" w:cs="Times"/>
          <w:lang w:eastAsia="fr-FR"/>
        </w:rPr>
        <w:t>’</w:t>
      </w:r>
      <w:r w:rsidRPr="001D78AE">
        <w:rPr>
          <w:rFonts w:ascii="Times" w:hAnsi="Times" w:cs="Times"/>
          <w:lang w:eastAsia="fr-FR"/>
        </w:rPr>
        <w:t>avantages particuliers.</w:t>
      </w:r>
    </w:p>
    <w:p w:rsidR="00C31638" w:rsidRPr="001D78AE" w:rsidRDefault="00330A5A" w:rsidP="00C31638">
      <w:pPr>
        <w:rPr>
          <w:rFonts w:ascii="Times" w:hAnsi="Times" w:cs="Times"/>
          <w:lang w:eastAsia="fr-FR"/>
        </w:rPr>
      </w:pPr>
      <w:r w:rsidRPr="001D78AE">
        <w:rPr>
          <w:rStyle w:val="Appelnotedebasdep"/>
          <w:position w:val="6"/>
          <w:sz w:val="14"/>
          <w:vertAlign w:val="baseline"/>
        </w:rPr>
        <w:t>3</w:t>
      </w:r>
      <w:r w:rsidRPr="001D78AE">
        <w:rPr>
          <w:position w:val="6"/>
          <w:sz w:val="14"/>
        </w:rPr>
        <w:t xml:space="preserve"> </w:t>
      </w:r>
      <w:r w:rsidR="00C31638" w:rsidRPr="001D78AE">
        <w:rPr>
          <w:rFonts w:ascii="Times" w:hAnsi="Times" w:cs="Times"/>
          <w:lang w:eastAsia="fr-FR"/>
        </w:rPr>
        <w:t>Les dispositions relatives à l</w:t>
      </w:r>
      <w:r w:rsidR="007061E8" w:rsidRPr="001D78AE">
        <w:rPr>
          <w:rFonts w:ascii="Times" w:hAnsi="Times" w:cs="Times"/>
          <w:lang w:eastAsia="fr-FR"/>
        </w:rPr>
        <w:t>’</w:t>
      </w:r>
      <w:r w:rsidR="00C31638" w:rsidRPr="001D78AE">
        <w:rPr>
          <w:rFonts w:ascii="Times" w:hAnsi="Times" w:cs="Times"/>
          <w:lang w:eastAsia="fr-FR"/>
        </w:rPr>
        <w:t>indépendance s</w:t>
      </w:r>
      <w:r w:rsidR="007061E8" w:rsidRPr="001D78AE">
        <w:rPr>
          <w:rFonts w:ascii="Times" w:hAnsi="Times" w:cs="Times"/>
          <w:lang w:eastAsia="fr-FR"/>
        </w:rPr>
        <w:t>’</w:t>
      </w:r>
      <w:r w:rsidR="00C31638" w:rsidRPr="001D78AE">
        <w:rPr>
          <w:rFonts w:ascii="Times" w:hAnsi="Times" w:cs="Times"/>
          <w:lang w:eastAsia="fr-FR"/>
        </w:rPr>
        <w:t>appliquent à toutes les personnes participant à la révision. Si l</w:t>
      </w:r>
      <w:r w:rsidR="007061E8" w:rsidRPr="001D78AE">
        <w:rPr>
          <w:rFonts w:ascii="Times" w:hAnsi="Times" w:cs="Times"/>
          <w:lang w:eastAsia="fr-FR"/>
        </w:rPr>
        <w:t>’</w:t>
      </w:r>
      <w:r w:rsidR="00C31638" w:rsidRPr="001D78AE">
        <w:rPr>
          <w:rFonts w:ascii="Times" w:hAnsi="Times" w:cs="Times"/>
          <w:lang w:eastAsia="fr-FR"/>
        </w:rPr>
        <w:t>organe de révision est une société de personnes ou une personne morale, ces dispositions s</w:t>
      </w:r>
      <w:r w:rsidR="007061E8" w:rsidRPr="001D78AE">
        <w:rPr>
          <w:rFonts w:ascii="Times" w:hAnsi="Times" w:cs="Times"/>
          <w:lang w:eastAsia="fr-FR"/>
        </w:rPr>
        <w:t>’</w:t>
      </w:r>
      <w:r w:rsidR="00C31638" w:rsidRPr="001D78AE">
        <w:rPr>
          <w:rFonts w:ascii="Times" w:hAnsi="Times" w:cs="Times"/>
          <w:lang w:eastAsia="fr-FR"/>
        </w:rPr>
        <w:t>appliquent également aux membres de l</w:t>
      </w:r>
      <w:r w:rsidR="007061E8" w:rsidRPr="001D78AE">
        <w:rPr>
          <w:rFonts w:ascii="Times" w:hAnsi="Times" w:cs="Times"/>
          <w:lang w:eastAsia="fr-FR"/>
        </w:rPr>
        <w:t>’</w:t>
      </w:r>
      <w:r w:rsidR="00C31638" w:rsidRPr="001D78AE">
        <w:rPr>
          <w:rFonts w:ascii="Times" w:hAnsi="Times" w:cs="Times"/>
          <w:lang w:eastAsia="fr-FR"/>
        </w:rPr>
        <w:t>organe supérieur de direction ou d</w:t>
      </w:r>
      <w:r w:rsidR="007061E8" w:rsidRPr="001D78AE">
        <w:rPr>
          <w:rFonts w:ascii="Times" w:hAnsi="Times" w:cs="Times"/>
          <w:lang w:eastAsia="fr-FR"/>
        </w:rPr>
        <w:t>’</w:t>
      </w:r>
      <w:r w:rsidR="00C31638" w:rsidRPr="001D78AE">
        <w:rPr>
          <w:rFonts w:ascii="Times" w:hAnsi="Times" w:cs="Times"/>
          <w:lang w:eastAsia="fr-FR"/>
        </w:rPr>
        <w:t>administration et aux autres personnes qui exercent des fonctions décisionnelles.</w:t>
      </w:r>
    </w:p>
    <w:p w:rsidR="00C31638" w:rsidRPr="001D78AE" w:rsidRDefault="00A9708E" w:rsidP="00C31638">
      <w:pPr>
        <w:rPr>
          <w:rFonts w:ascii="Times" w:hAnsi="Times" w:cs="Times"/>
          <w:lang w:eastAsia="fr-FR"/>
        </w:rPr>
      </w:pPr>
      <w:r>
        <w:rPr>
          <w:position w:val="6"/>
          <w:sz w:val="14"/>
        </w:rPr>
        <w:t>4</w:t>
      </w:r>
      <w:r w:rsidR="00330A5A" w:rsidRPr="001D78AE">
        <w:rPr>
          <w:position w:val="6"/>
          <w:sz w:val="14"/>
        </w:rPr>
        <w:t xml:space="preserve"> </w:t>
      </w:r>
      <w:r w:rsidR="00C31638" w:rsidRPr="001D78AE">
        <w:rPr>
          <w:rFonts w:ascii="Times" w:hAnsi="Times" w:cs="Times"/>
          <w:lang w:eastAsia="fr-FR"/>
        </w:rPr>
        <w:t>L</w:t>
      </w:r>
      <w:r w:rsidR="007061E8" w:rsidRPr="001D78AE">
        <w:rPr>
          <w:rFonts w:ascii="Times" w:hAnsi="Times" w:cs="Times"/>
          <w:lang w:eastAsia="fr-FR"/>
        </w:rPr>
        <w:t>’</w:t>
      </w:r>
      <w:r w:rsidR="00C31638" w:rsidRPr="001D78AE">
        <w:rPr>
          <w:rFonts w:ascii="Times" w:hAnsi="Times" w:cs="Times"/>
          <w:lang w:eastAsia="fr-FR"/>
        </w:rPr>
        <w:t>indépendance n</w:t>
      </w:r>
      <w:r w:rsidR="007061E8" w:rsidRPr="001D78AE">
        <w:rPr>
          <w:rFonts w:ascii="Times" w:hAnsi="Times" w:cs="Times"/>
          <w:lang w:eastAsia="fr-FR"/>
        </w:rPr>
        <w:t>’</w:t>
      </w:r>
      <w:r w:rsidR="00C31638" w:rsidRPr="001D78AE">
        <w:rPr>
          <w:rFonts w:ascii="Times" w:hAnsi="Times" w:cs="Times"/>
          <w:lang w:eastAsia="fr-FR"/>
        </w:rPr>
        <w:t>est pas non plus garantie lorsque des personnes proches de l</w:t>
      </w:r>
      <w:r w:rsidR="007061E8" w:rsidRPr="001D78AE">
        <w:rPr>
          <w:rFonts w:ascii="Times" w:hAnsi="Times" w:cs="Times"/>
          <w:lang w:eastAsia="fr-FR"/>
        </w:rPr>
        <w:t>’</w:t>
      </w:r>
      <w:r w:rsidR="00C31638" w:rsidRPr="001D78AE">
        <w:rPr>
          <w:rFonts w:ascii="Times" w:hAnsi="Times" w:cs="Times"/>
          <w:lang w:eastAsia="fr-FR"/>
        </w:rPr>
        <w:t>organe de révision, de personnes participant à la révision, de membres de l</w:t>
      </w:r>
      <w:r w:rsidR="007061E8" w:rsidRPr="001D78AE">
        <w:rPr>
          <w:rFonts w:ascii="Times" w:hAnsi="Times" w:cs="Times"/>
          <w:lang w:eastAsia="fr-FR"/>
        </w:rPr>
        <w:t>’</w:t>
      </w:r>
      <w:r w:rsidR="00C31638" w:rsidRPr="001D78AE">
        <w:rPr>
          <w:rFonts w:ascii="Times" w:hAnsi="Times" w:cs="Times"/>
          <w:lang w:eastAsia="fr-FR"/>
        </w:rPr>
        <w:t>organe supérieur de direction ou d</w:t>
      </w:r>
      <w:r w:rsidR="007061E8" w:rsidRPr="001D78AE">
        <w:rPr>
          <w:rFonts w:ascii="Times" w:hAnsi="Times" w:cs="Times"/>
          <w:lang w:eastAsia="fr-FR"/>
        </w:rPr>
        <w:t>’</w:t>
      </w:r>
      <w:r w:rsidR="00C31638" w:rsidRPr="001D78AE">
        <w:rPr>
          <w:rFonts w:ascii="Times" w:hAnsi="Times" w:cs="Times"/>
          <w:lang w:eastAsia="fr-FR"/>
        </w:rPr>
        <w:t>administration ou d</w:t>
      </w:r>
      <w:r w:rsidR="007061E8" w:rsidRPr="001D78AE">
        <w:rPr>
          <w:rFonts w:ascii="Times" w:hAnsi="Times" w:cs="Times"/>
          <w:lang w:eastAsia="fr-FR"/>
        </w:rPr>
        <w:t>’</w:t>
      </w:r>
      <w:r w:rsidR="00C31638" w:rsidRPr="001D78AE">
        <w:rPr>
          <w:rFonts w:ascii="Times" w:hAnsi="Times" w:cs="Times"/>
          <w:lang w:eastAsia="fr-FR"/>
        </w:rPr>
        <w:t>autres personnes qui exercent des fonctions décisionnelles ne remplissent pas les exigences relatives à l</w:t>
      </w:r>
      <w:r w:rsidR="007061E8" w:rsidRPr="001D78AE">
        <w:rPr>
          <w:rFonts w:ascii="Times" w:hAnsi="Times" w:cs="Times"/>
          <w:lang w:eastAsia="fr-FR"/>
        </w:rPr>
        <w:t>’</w:t>
      </w:r>
      <w:r w:rsidR="00C31638" w:rsidRPr="001D78AE">
        <w:rPr>
          <w:rFonts w:ascii="Times" w:hAnsi="Times" w:cs="Times"/>
          <w:lang w:eastAsia="fr-FR"/>
        </w:rPr>
        <w:t>indépendance.</w:t>
      </w:r>
    </w:p>
    <w:p w:rsidR="002D2DF1" w:rsidRPr="001D78AE" w:rsidRDefault="002D2DF1" w:rsidP="002D2DF1">
      <w:pPr>
        <w:pStyle w:val="NoArt"/>
        <w:rPr>
          <w:rFonts w:ascii="Times" w:hAnsi="Times" w:cs="Times"/>
        </w:rPr>
      </w:pPr>
      <w:bookmarkStart w:id="61" w:name="_Toc522697297"/>
      <w:r w:rsidRPr="001D78AE">
        <w:rPr>
          <w:rFonts w:ascii="Times" w:hAnsi="Times" w:cs="Times"/>
          <w:b/>
        </w:rPr>
        <w:t>Art. 3</w:t>
      </w:r>
      <w:r w:rsidR="00820D91" w:rsidRPr="001D78AE">
        <w:rPr>
          <w:rFonts w:ascii="Times" w:hAnsi="Times" w:cs="Times"/>
          <w:b/>
        </w:rPr>
        <w:t>1</w:t>
      </w:r>
      <w:r w:rsidRPr="001D78AE">
        <w:rPr>
          <w:rFonts w:ascii="Times" w:hAnsi="Times" w:cs="Times"/>
          <w:b/>
        </w:rPr>
        <w:tab/>
      </w:r>
      <w:r w:rsidR="00820D91" w:rsidRPr="001D78AE">
        <w:rPr>
          <w:rFonts w:ascii="Times" w:hAnsi="Times" w:cs="Times"/>
        </w:rPr>
        <w:t>Attributions de l’organe de révision</w:t>
      </w:r>
      <w:r w:rsidRPr="001D78AE">
        <w:rPr>
          <w:rFonts w:ascii="Times" w:hAnsi="Times" w:cs="Times"/>
        </w:rPr>
        <w:t xml:space="preserve"> (art. 61 LFCo)</w:t>
      </w:r>
      <w:bookmarkEnd w:id="61"/>
    </w:p>
    <w:p w:rsidR="002D2DF1" w:rsidRPr="001D78AE" w:rsidRDefault="006305D1" w:rsidP="002D2DF1">
      <w:pPr>
        <w:rPr>
          <w:rFonts w:ascii="Times" w:hAnsi="Times" w:cs="Times"/>
        </w:rPr>
      </w:pPr>
      <w:r w:rsidRPr="001D78AE">
        <w:rPr>
          <w:rStyle w:val="Appelnotedebasdep"/>
          <w:position w:val="6"/>
          <w:sz w:val="14"/>
          <w:vertAlign w:val="baseline"/>
        </w:rPr>
        <w:t>1</w:t>
      </w:r>
      <w:r w:rsidRPr="001D78AE">
        <w:rPr>
          <w:position w:val="6"/>
          <w:sz w:val="14"/>
        </w:rPr>
        <w:t xml:space="preserve"> </w:t>
      </w:r>
      <w:r w:rsidRPr="001D78AE">
        <w:rPr>
          <w:rFonts w:ascii="Times" w:hAnsi="Times" w:cs="Times"/>
        </w:rPr>
        <w:t>L</w:t>
      </w:r>
      <w:r w:rsidR="002D2DF1" w:rsidRPr="001D78AE">
        <w:rPr>
          <w:rFonts w:ascii="Times" w:hAnsi="Times" w:cs="Times"/>
        </w:rPr>
        <w:t>’organe de révision exerce son activité notamment en s’assurant de l’application correcte du droit</w:t>
      </w:r>
      <w:r w:rsidR="00FB0849">
        <w:rPr>
          <w:rFonts w:ascii="Times" w:hAnsi="Times" w:cs="Times"/>
        </w:rPr>
        <w:t xml:space="preserve"> et</w:t>
      </w:r>
      <w:r w:rsidR="002D2DF1" w:rsidRPr="001D78AE">
        <w:rPr>
          <w:rFonts w:ascii="Times" w:hAnsi="Times" w:cs="Times"/>
        </w:rPr>
        <w:t xml:space="preserve"> de l’exactitude </w:t>
      </w:r>
      <w:r w:rsidR="00FB0849">
        <w:rPr>
          <w:rFonts w:ascii="Times" w:hAnsi="Times" w:cs="Times"/>
        </w:rPr>
        <w:t>des comptes et de la comptabilité</w:t>
      </w:r>
      <w:r w:rsidR="002D2DF1" w:rsidRPr="001D78AE">
        <w:rPr>
          <w:rFonts w:ascii="Times" w:hAnsi="Times" w:cs="Times"/>
        </w:rPr>
        <w:t>.</w:t>
      </w:r>
    </w:p>
    <w:p w:rsidR="002D2DF1" w:rsidRPr="001D78AE" w:rsidRDefault="006305D1" w:rsidP="002D2DF1">
      <w:pPr>
        <w:rPr>
          <w:rFonts w:ascii="Times" w:hAnsi="Times" w:cs="Times"/>
        </w:rPr>
      </w:pPr>
      <w:r w:rsidRPr="001D78AE">
        <w:rPr>
          <w:rStyle w:val="Appelnotedebasdep"/>
          <w:position w:val="6"/>
          <w:sz w:val="14"/>
          <w:vertAlign w:val="baseline"/>
        </w:rPr>
        <w:t>2</w:t>
      </w:r>
      <w:r w:rsidRPr="001D78AE">
        <w:rPr>
          <w:position w:val="6"/>
          <w:sz w:val="14"/>
        </w:rPr>
        <w:t xml:space="preserve"> </w:t>
      </w:r>
      <w:r w:rsidR="002D2DF1" w:rsidRPr="001D78AE">
        <w:rPr>
          <w:rFonts w:ascii="Times" w:hAnsi="Times" w:cs="Times"/>
        </w:rPr>
        <w:t>Le Service peut édicter des directives concrétisant les tâches de vérification.</w:t>
      </w:r>
    </w:p>
    <w:p w:rsidR="002D2DF1" w:rsidRPr="001D78AE" w:rsidRDefault="006305D1" w:rsidP="00C31638">
      <w:pPr>
        <w:rPr>
          <w:rFonts w:ascii="Times" w:hAnsi="Times" w:cs="Times"/>
        </w:rPr>
      </w:pPr>
      <w:r w:rsidRPr="001D78AE">
        <w:rPr>
          <w:rStyle w:val="Appelnotedebasdep"/>
          <w:position w:val="6"/>
          <w:sz w:val="14"/>
          <w:vertAlign w:val="baseline"/>
        </w:rPr>
        <w:t>3</w:t>
      </w:r>
      <w:r w:rsidRPr="001D78AE">
        <w:rPr>
          <w:position w:val="6"/>
          <w:sz w:val="14"/>
        </w:rPr>
        <w:t xml:space="preserve"> </w:t>
      </w:r>
      <w:r w:rsidR="002D2DF1" w:rsidRPr="001D78AE">
        <w:rPr>
          <w:rFonts w:ascii="Times" w:hAnsi="Times" w:cs="Times"/>
        </w:rPr>
        <w:t>Pour effectuer ses tâches, l’organe de révision a accès à l’ensemble des pièces comptables ainsi que, notamment, aux dispositifs des taxations fiscales, aux registres des autres contributions publiques, aux dispositifs des décisions des commissions sociales et au regi</w:t>
      </w:r>
      <w:r w:rsidR="00820D91" w:rsidRPr="001D78AE">
        <w:rPr>
          <w:rFonts w:ascii="Times" w:hAnsi="Times" w:cs="Times"/>
        </w:rPr>
        <w:t>stre du contrôle des habitants.</w:t>
      </w:r>
    </w:p>
    <w:p w:rsidR="00CE3B5A" w:rsidRPr="001D78AE" w:rsidRDefault="00CE3B5A" w:rsidP="00CE3B5A">
      <w:pPr>
        <w:pStyle w:val="Titre1"/>
      </w:pPr>
      <w:bookmarkStart w:id="62" w:name="_Toc522697298"/>
      <w:r w:rsidRPr="001D78AE">
        <w:lastRenderedPageBreak/>
        <w:t>CHAPITRE 7</w:t>
      </w:r>
      <w:r w:rsidRPr="001D78AE">
        <w:br/>
        <w:t>Ressources fiscales</w:t>
      </w:r>
      <w:bookmarkEnd w:id="62"/>
    </w:p>
    <w:p w:rsidR="00CE3B5A" w:rsidRPr="001D78AE" w:rsidRDefault="00CE3B5A" w:rsidP="00CE3B5A">
      <w:pPr>
        <w:pStyle w:val="NoArt"/>
      </w:pPr>
      <w:bookmarkStart w:id="63" w:name="_Toc522697299"/>
      <w:r w:rsidRPr="001D78AE">
        <w:rPr>
          <w:b/>
        </w:rPr>
        <w:t>Art. 32</w:t>
      </w:r>
      <w:r w:rsidRPr="001D78AE">
        <w:rPr>
          <w:b/>
        </w:rPr>
        <w:tab/>
      </w:r>
      <w:r w:rsidRPr="001D78AE">
        <w:t>Hausse obligatoire (art. 65 al. 2 LFCo)</w:t>
      </w:r>
      <w:bookmarkEnd w:id="63"/>
    </w:p>
    <w:p w:rsidR="00CE3B5A" w:rsidRPr="001D78AE" w:rsidRDefault="00264379" w:rsidP="00CE3B5A">
      <w:r w:rsidRPr="001D78AE">
        <w:rPr>
          <w:rStyle w:val="Appelnotedebasdep"/>
          <w:position w:val="6"/>
          <w:sz w:val="14"/>
          <w:vertAlign w:val="baseline"/>
        </w:rPr>
        <w:t>1</w:t>
      </w:r>
      <w:r w:rsidRPr="001D78AE">
        <w:rPr>
          <w:position w:val="6"/>
          <w:sz w:val="14"/>
        </w:rPr>
        <w:t xml:space="preserve"> </w:t>
      </w:r>
      <w:r w:rsidR="00CE3B5A" w:rsidRPr="001D78AE">
        <w:t xml:space="preserve">A défaut de mesures prises par la commune en cas de découvert </w:t>
      </w:r>
      <w:r w:rsidR="00020667" w:rsidRPr="001D78AE">
        <w:t>au bilan non amorti ou de limitation</w:t>
      </w:r>
      <w:r w:rsidR="00CE3B5A" w:rsidRPr="001D78AE">
        <w:t xml:space="preserve"> d’endettement non respectée dans les délais </w:t>
      </w:r>
      <w:r w:rsidR="00020667" w:rsidRPr="001D78AE">
        <w:t>légaux</w:t>
      </w:r>
      <w:r w:rsidR="00CE3B5A" w:rsidRPr="001D78AE">
        <w:t xml:space="preserve">, le Conseil d’Etat </w:t>
      </w:r>
      <w:r w:rsidR="00020667" w:rsidRPr="001D78AE">
        <w:t>dé</w:t>
      </w:r>
      <w:r w:rsidR="00CE3B5A" w:rsidRPr="001D78AE">
        <w:t xml:space="preserve">cide les coefficients et taux d’impôts pour l’année </w:t>
      </w:r>
      <w:r w:rsidR="00020667" w:rsidRPr="001D78AE">
        <w:t>suivante</w:t>
      </w:r>
      <w:r w:rsidR="00CE3B5A" w:rsidRPr="001D78AE">
        <w:t>.</w:t>
      </w:r>
    </w:p>
    <w:p w:rsidR="00B72223" w:rsidRPr="001D78AE" w:rsidRDefault="00020667" w:rsidP="00B72223">
      <w:pPr>
        <w:pStyle w:val="Titre1"/>
      </w:pPr>
      <w:bookmarkStart w:id="64" w:name="_Toc522697300"/>
      <w:r w:rsidRPr="001D78AE">
        <w:t>CHAPITRE 8</w:t>
      </w:r>
      <w:r w:rsidR="00B72223" w:rsidRPr="001D78AE">
        <w:br/>
        <w:t>Compétences des organes communaux</w:t>
      </w:r>
      <w:bookmarkEnd w:id="64"/>
    </w:p>
    <w:p w:rsidR="00A21542" w:rsidRPr="001D78AE" w:rsidRDefault="00C35D7B" w:rsidP="007E17D3">
      <w:pPr>
        <w:pStyle w:val="NoArt"/>
      </w:pPr>
      <w:bookmarkStart w:id="65" w:name="_Toc522697301"/>
      <w:r w:rsidRPr="001D78AE">
        <w:rPr>
          <w:b/>
        </w:rPr>
        <w:t xml:space="preserve">Art. </w:t>
      </w:r>
      <w:r w:rsidR="00E3583D" w:rsidRPr="001D78AE">
        <w:rPr>
          <w:b/>
        </w:rPr>
        <w:t>3</w:t>
      </w:r>
      <w:r w:rsidR="00020667" w:rsidRPr="001D78AE">
        <w:rPr>
          <w:b/>
        </w:rPr>
        <w:t>3</w:t>
      </w:r>
      <w:r w:rsidR="00A21542" w:rsidRPr="001D78AE">
        <w:rPr>
          <w:b/>
        </w:rPr>
        <w:tab/>
      </w:r>
      <w:r w:rsidR="007A3993" w:rsidRPr="001D78AE">
        <w:t>R</w:t>
      </w:r>
      <w:r w:rsidR="00A21542" w:rsidRPr="001D78AE">
        <w:t>èglement communal des finances</w:t>
      </w:r>
      <w:r w:rsidR="007A3993" w:rsidRPr="001D78AE">
        <w:t xml:space="preserve"> (art. 67 al. 1 LFCo)</w:t>
      </w:r>
      <w:bookmarkEnd w:id="65"/>
    </w:p>
    <w:p w:rsidR="007061E8" w:rsidRPr="001D78AE" w:rsidRDefault="00264379" w:rsidP="00BE2BA3">
      <w:r w:rsidRPr="001D78AE">
        <w:rPr>
          <w:rStyle w:val="Appelnotedebasdep"/>
          <w:position w:val="6"/>
          <w:sz w:val="14"/>
          <w:vertAlign w:val="baseline"/>
        </w:rPr>
        <w:t>1</w:t>
      </w:r>
      <w:r w:rsidRPr="001D78AE">
        <w:rPr>
          <w:position w:val="6"/>
          <w:sz w:val="14"/>
        </w:rPr>
        <w:t xml:space="preserve"> </w:t>
      </w:r>
      <w:r w:rsidR="00A21542" w:rsidRPr="001D78AE">
        <w:t>Le règlement communal des finances régit au moins les domaines suivants</w:t>
      </w:r>
      <w:r w:rsidR="007061E8" w:rsidRPr="001D78AE">
        <w:t> :</w:t>
      </w:r>
    </w:p>
    <w:p w:rsidR="00766858" w:rsidRPr="001D78AE" w:rsidRDefault="00FF0818" w:rsidP="00BE2BA3">
      <w:pPr>
        <w:pStyle w:val="Structure1"/>
      </w:pPr>
      <w:r w:rsidRPr="001D78AE">
        <w:t>a</w:t>
      </w:r>
      <w:r w:rsidR="00766858" w:rsidRPr="001D78AE">
        <w:t>)</w:t>
      </w:r>
      <w:r w:rsidR="00766858" w:rsidRPr="001D78AE">
        <w:tab/>
      </w:r>
      <w:r w:rsidRPr="001D78AE">
        <w:t>les compétences financières du conseil communal</w:t>
      </w:r>
      <w:r w:rsidR="00E10308" w:rsidRPr="001D78AE">
        <w:t xml:space="preserve"> pour les dépenses </w:t>
      </w:r>
      <w:r w:rsidR="005350A4" w:rsidRPr="001D78AE">
        <w:t xml:space="preserve">nouvelles, </w:t>
      </w:r>
      <w:r w:rsidR="00E10308" w:rsidRPr="001D78AE">
        <w:t xml:space="preserve">pour les crédits additionnels et </w:t>
      </w:r>
      <w:r w:rsidR="005350A4" w:rsidRPr="001D78AE">
        <w:t xml:space="preserve">les crédits </w:t>
      </w:r>
      <w:r w:rsidR="00E10308" w:rsidRPr="001D78AE">
        <w:t>supplémentaire</w:t>
      </w:r>
      <w:r w:rsidR="005350A4" w:rsidRPr="001D78AE">
        <w:t>s</w:t>
      </w:r>
      <w:r w:rsidR="007061E8" w:rsidRPr="001D78AE">
        <w:t> ;</w:t>
      </w:r>
    </w:p>
    <w:p w:rsidR="00766858" w:rsidRPr="001D78AE" w:rsidRDefault="00FF0818" w:rsidP="00BE2BA3">
      <w:pPr>
        <w:pStyle w:val="Structure1"/>
      </w:pPr>
      <w:r w:rsidRPr="001D78AE">
        <w:t>b</w:t>
      </w:r>
      <w:r w:rsidR="00766858" w:rsidRPr="001D78AE">
        <w:t>)</w:t>
      </w:r>
      <w:r w:rsidR="00766858" w:rsidRPr="001D78AE">
        <w:tab/>
      </w:r>
      <w:r w:rsidRPr="001D78AE">
        <w:t>la limite d</w:t>
      </w:r>
      <w:r w:rsidR="007061E8" w:rsidRPr="001D78AE">
        <w:t>’</w:t>
      </w:r>
      <w:r w:rsidRPr="001D78AE">
        <w:t>activation des investissements</w:t>
      </w:r>
      <w:r w:rsidR="007061E8" w:rsidRPr="001D78AE">
        <w:t> ;</w:t>
      </w:r>
    </w:p>
    <w:p w:rsidR="00766858" w:rsidRPr="001D78AE" w:rsidRDefault="00003C85" w:rsidP="00BE2BA3">
      <w:pPr>
        <w:pStyle w:val="Structure1"/>
      </w:pPr>
      <w:r w:rsidRPr="001D78AE">
        <w:t>c</w:t>
      </w:r>
      <w:r w:rsidR="00766858" w:rsidRPr="001D78AE">
        <w:t>)</w:t>
      </w:r>
      <w:r w:rsidR="00766858" w:rsidRPr="001D78AE">
        <w:tab/>
      </w:r>
      <w:r w:rsidR="00FF0818" w:rsidRPr="001D78AE">
        <w:t>pour les communes dotées d</w:t>
      </w:r>
      <w:r w:rsidR="007061E8" w:rsidRPr="001D78AE">
        <w:t>’</w:t>
      </w:r>
      <w:r w:rsidR="00FF0818" w:rsidRPr="001D78AE">
        <w:t>un conseil général, le seuil au-delà duquel une dépense nouvelle est soumise au referendum</w:t>
      </w:r>
      <w:r w:rsidR="006C4D90">
        <w:t>.</w:t>
      </w:r>
    </w:p>
    <w:p w:rsidR="00820D91" w:rsidRPr="001D78AE" w:rsidRDefault="00820D91" w:rsidP="00820D91">
      <w:pPr>
        <w:pStyle w:val="NoArt"/>
        <w:rPr>
          <w:rFonts w:ascii="Times" w:hAnsi="Times" w:cs="Times"/>
        </w:rPr>
      </w:pPr>
      <w:bookmarkStart w:id="66" w:name="_Toc522697302"/>
      <w:r w:rsidRPr="001D78AE">
        <w:rPr>
          <w:rFonts w:ascii="Times" w:hAnsi="Times" w:cs="Times"/>
          <w:b/>
        </w:rPr>
        <w:t>Art. 3</w:t>
      </w:r>
      <w:r w:rsidR="00020667" w:rsidRPr="001D78AE">
        <w:rPr>
          <w:rFonts w:ascii="Times" w:hAnsi="Times" w:cs="Times"/>
          <w:b/>
        </w:rPr>
        <w:t>4</w:t>
      </w:r>
      <w:r w:rsidRPr="001D78AE">
        <w:rPr>
          <w:rFonts w:ascii="Times" w:hAnsi="Times" w:cs="Times"/>
          <w:b/>
        </w:rPr>
        <w:tab/>
      </w:r>
      <w:r w:rsidRPr="001D78AE">
        <w:rPr>
          <w:rFonts w:ascii="Times" w:hAnsi="Times" w:cs="Times"/>
        </w:rPr>
        <w:t>Secrétariat de la commission financière (art. 70 LFCo)</w:t>
      </w:r>
      <w:bookmarkEnd w:id="66"/>
    </w:p>
    <w:p w:rsidR="00820D91" w:rsidRPr="001D78AE" w:rsidRDefault="00264379" w:rsidP="00820D91">
      <w:pPr>
        <w:rPr>
          <w:rFonts w:ascii="Times" w:hAnsi="Times" w:cs="Times"/>
          <w:i/>
        </w:rPr>
      </w:pPr>
      <w:r w:rsidRPr="001D78AE">
        <w:rPr>
          <w:rStyle w:val="Appelnotedebasdep"/>
          <w:position w:val="6"/>
          <w:sz w:val="14"/>
          <w:vertAlign w:val="baseline"/>
        </w:rPr>
        <w:t>1</w:t>
      </w:r>
      <w:r w:rsidRPr="001D78AE">
        <w:rPr>
          <w:position w:val="6"/>
          <w:sz w:val="14"/>
        </w:rPr>
        <w:t xml:space="preserve"> </w:t>
      </w:r>
      <w:r w:rsidR="00020667" w:rsidRPr="001D78AE">
        <w:rPr>
          <w:rFonts w:ascii="Times" w:hAnsi="Times" w:cs="Times"/>
        </w:rPr>
        <w:t xml:space="preserve">La commission financière désigne un ou une secrétaire. </w:t>
      </w:r>
      <w:r w:rsidR="00820D91" w:rsidRPr="001D78AE">
        <w:rPr>
          <w:rFonts w:ascii="Times" w:hAnsi="Times" w:cs="Times"/>
        </w:rPr>
        <w:t>L’administrat</w:t>
      </w:r>
      <w:r w:rsidR="00A31CE0" w:rsidRPr="001D78AE">
        <w:rPr>
          <w:rFonts w:ascii="Times" w:hAnsi="Times" w:cs="Times"/>
        </w:rPr>
        <w:t>eur ou l’administratrice</w:t>
      </w:r>
      <w:r w:rsidR="00820D91" w:rsidRPr="001D78AE">
        <w:rPr>
          <w:rFonts w:ascii="Times" w:hAnsi="Times" w:cs="Times"/>
        </w:rPr>
        <w:t xml:space="preserve"> des finances ne peut pas </w:t>
      </w:r>
      <w:r w:rsidR="00020667" w:rsidRPr="001D78AE">
        <w:rPr>
          <w:rFonts w:ascii="Times" w:hAnsi="Times" w:cs="Times"/>
        </w:rPr>
        <w:t>assumer cette fonction</w:t>
      </w:r>
      <w:r w:rsidR="00820D91" w:rsidRPr="001D78AE">
        <w:rPr>
          <w:rFonts w:ascii="Times" w:hAnsi="Times" w:cs="Times"/>
        </w:rPr>
        <w:t>.</w:t>
      </w:r>
    </w:p>
    <w:p w:rsidR="007E17D3" w:rsidRPr="001D78AE" w:rsidRDefault="007E17D3" w:rsidP="007E17D3">
      <w:pPr>
        <w:pStyle w:val="NoArt"/>
      </w:pPr>
      <w:bookmarkStart w:id="67" w:name="_Toc522697303"/>
      <w:r w:rsidRPr="001D78AE">
        <w:rPr>
          <w:b/>
        </w:rPr>
        <w:t xml:space="preserve">Art. </w:t>
      </w:r>
      <w:r w:rsidR="00DD76D0" w:rsidRPr="001D78AE">
        <w:rPr>
          <w:b/>
        </w:rPr>
        <w:t>3</w:t>
      </w:r>
      <w:r w:rsidR="00020667" w:rsidRPr="001D78AE">
        <w:rPr>
          <w:b/>
        </w:rPr>
        <w:t>5</w:t>
      </w:r>
      <w:r w:rsidRPr="001D78AE">
        <w:tab/>
      </w:r>
      <w:r w:rsidR="006F3054" w:rsidRPr="001D78AE">
        <w:t>Contenu minimal des m</w:t>
      </w:r>
      <w:r w:rsidR="00F04980" w:rsidRPr="001D78AE">
        <w:t xml:space="preserve">essages </w:t>
      </w:r>
      <w:r w:rsidR="00DD76D0" w:rsidRPr="001D78AE">
        <w:t xml:space="preserve">explicatifs </w:t>
      </w:r>
      <w:r w:rsidR="00F04980" w:rsidRPr="001D78AE">
        <w:t xml:space="preserve">du conseil communal </w:t>
      </w:r>
      <w:r w:rsidRPr="001D78AE">
        <w:t xml:space="preserve">(art. 73 </w:t>
      </w:r>
      <w:r w:rsidR="00D9164B">
        <w:t xml:space="preserve">al. 3 </w:t>
      </w:r>
      <w:r w:rsidRPr="001D78AE">
        <w:t>LFCo)</w:t>
      </w:r>
      <w:bookmarkEnd w:id="67"/>
    </w:p>
    <w:p w:rsidR="007061E8" w:rsidRPr="001D78AE" w:rsidRDefault="006305D1" w:rsidP="00B72223">
      <w:r w:rsidRPr="001D78AE">
        <w:rPr>
          <w:rStyle w:val="Appelnotedebasdep"/>
          <w:position w:val="6"/>
          <w:sz w:val="14"/>
          <w:vertAlign w:val="baseline"/>
        </w:rPr>
        <w:t>1</w:t>
      </w:r>
      <w:r w:rsidRPr="001D78AE">
        <w:rPr>
          <w:position w:val="6"/>
          <w:sz w:val="14"/>
        </w:rPr>
        <w:t xml:space="preserve"> </w:t>
      </w:r>
      <w:r w:rsidR="007E17D3" w:rsidRPr="001D78AE">
        <w:t xml:space="preserve">Les messages </w:t>
      </w:r>
      <w:r w:rsidR="00702EFF" w:rsidRPr="001D78AE">
        <w:t>relatifs aux crédits d</w:t>
      </w:r>
      <w:r w:rsidR="007061E8" w:rsidRPr="001D78AE">
        <w:t>’</w:t>
      </w:r>
      <w:r w:rsidR="00702EFF" w:rsidRPr="001D78AE">
        <w:t xml:space="preserve">engagements et autres décisions assimilées aux dépenses </w:t>
      </w:r>
      <w:r w:rsidR="006F3054" w:rsidRPr="001D78AE">
        <w:t xml:space="preserve">contiennent </w:t>
      </w:r>
      <w:r w:rsidR="007E17D3" w:rsidRPr="001D78AE">
        <w:t>les éléments mentionnés à l</w:t>
      </w:r>
      <w:r w:rsidR="007061E8" w:rsidRPr="001D78AE">
        <w:t>’</w:t>
      </w:r>
      <w:r w:rsidR="007E17D3" w:rsidRPr="001D78AE">
        <w:t xml:space="preserve">article </w:t>
      </w:r>
      <w:r w:rsidR="00DD76D0" w:rsidRPr="001D78AE">
        <w:t xml:space="preserve">20 </w:t>
      </w:r>
      <w:r w:rsidR="007E17D3" w:rsidRPr="001D78AE">
        <w:t>de cette ordonnance</w:t>
      </w:r>
      <w:r w:rsidR="00702EFF" w:rsidRPr="001D78AE">
        <w:t>.</w:t>
      </w:r>
    </w:p>
    <w:p w:rsidR="006965F3" w:rsidRPr="001D78AE" w:rsidRDefault="006305D1" w:rsidP="00B72223">
      <w:r w:rsidRPr="001D78AE">
        <w:rPr>
          <w:rStyle w:val="Appelnotedebasdep"/>
          <w:position w:val="6"/>
          <w:sz w:val="14"/>
          <w:vertAlign w:val="baseline"/>
        </w:rPr>
        <w:t>2</w:t>
      </w:r>
      <w:r w:rsidRPr="001D78AE">
        <w:rPr>
          <w:position w:val="6"/>
          <w:sz w:val="14"/>
        </w:rPr>
        <w:t xml:space="preserve"> </w:t>
      </w:r>
      <w:r w:rsidR="006965F3" w:rsidRPr="001D78AE">
        <w:t xml:space="preserve">Pour le budget, le message du conseil communal </w:t>
      </w:r>
      <w:r w:rsidR="00702EFF" w:rsidRPr="001D78AE">
        <w:t xml:space="preserve">contient </w:t>
      </w:r>
      <w:r w:rsidR="00786C2F" w:rsidRPr="001D78AE">
        <w:t>des explications sur les points suivants</w:t>
      </w:r>
      <w:r w:rsidR="009C034E" w:rsidRPr="001D78AE">
        <w:t> :</w:t>
      </w:r>
    </w:p>
    <w:p w:rsidR="009C034E" w:rsidRPr="001D78AE" w:rsidRDefault="009C034E" w:rsidP="009C034E">
      <w:pPr>
        <w:pStyle w:val="Structure1"/>
        <w:jc w:val="left"/>
      </w:pPr>
      <w:r w:rsidRPr="001D78AE">
        <w:t>a)</w:t>
      </w:r>
      <w:r w:rsidRPr="001D78AE">
        <w:tab/>
        <w:t>les charges</w:t>
      </w:r>
      <w:r w:rsidR="00D2071F" w:rsidRPr="001D78AE">
        <w:t xml:space="preserve"> et les dépenses nouvelles ;</w:t>
      </w:r>
    </w:p>
    <w:p w:rsidR="00D2071F" w:rsidRPr="001D78AE" w:rsidRDefault="00D2071F" w:rsidP="00D2071F">
      <w:pPr>
        <w:pStyle w:val="Structure1"/>
        <w:jc w:val="left"/>
      </w:pPr>
      <w:r w:rsidRPr="001D78AE">
        <w:t>b)</w:t>
      </w:r>
      <w:r w:rsidRPr="001D78AE">
        <w:tab/>
        <w:t xml:space="preserve">les dépenses liées </w:t>
      </w:r>
      <w:r w:rsidR="00207A39" w:rsidRPr="001D78AE">
        <w:t xml:space="preserve">qui ne figuraient </w:t>
      </w:r>
      <w:r w:rsidR="00786C2F" w:rsidRPr="001D78AE">
        <w:t xml:space="preserve">pas </w:t>
      </w:r>
      <w:r w:rsidR="00207A39" w:rsidRPr="001D78AE">
        <w:t xml:space="preserve">dans </w:t>
      </w:r>
      <w:r w:rsidR="004F22C4" w:rsidRPr="001D78AE">
        <w:t xml:space="preserve">le budget </w:t>
      </w:r>
      <w:r w:rsidR="00E94B40" w:rsidRPr="001D78AE">
        <w:t xml:space="preserve">de l’année </w:t>
      </w:r>
      <w:r w:rsidR="004F22C4" w:rsidRPr="001D78AE">
        <w:t>précédent</w:t>
      </w:r>
      <w:r w:rsidR="00E94B40" w:rsidRPr="001D78AE">
        <w:t>e</w:t>
      </w:r>
      <w:r w:rsidRPr="001D78AE">
        <w:t> ;</w:t>
      </w:r>
    </w:p>
    <w:p w:rsidR="00D2071F" w:rsidRPr="001D78AE" w:rsidRDefault="00D2071F" w:rsidP="004339E7">
      <w:pPr>
        <w:pStyle w:val="Structure1"/>
        <w:jc w:val="left"/>
      </w:pPr>
      <w:r w:rsidRPr="001D78AE">
        <w:t>c)</w:t>
      </w:r>
      <w:r w:rsidRPr="001D78AE">
        <w:tab/>
        <w:t xml:space="preserve">les variations </w:t>
      </w:r>
      <w:r w:rsidR="0090372F">
        <w:t>importantes</w:t>
      </w:r>
      <w:r w:rsidR="0090372F" w:rsidRPr="001D78AE">
        <w:t xml:space="preserve"> </w:t>
      </w:r>
      <w:r w:rsidRPr="001D78AE">
        <w:t>avec le budget de l’année précédente</w:t>
      </w:r>
      <w:r w:rsidR="00D229B8" w:rsidRPr="001D78AE">
        <w:t>.</w:t>
      </w:r>
    </w:p>
    <w:p w:rsidR="006965F3" w:rsidRPr="001D78AE" w:rsidRDefault="006305D1" w:rsidP="00B72223">
      <w:r w:rsidRPr="001D78AE">
        <w:rPr>
          <w:rStyle w:val="Appelnotedebasdep"/>
          <w:position w:val="6"/>
          <w:sz w:val="14"/>
          <w:vertAlign w:val="baseline"/>
        </w:rPr>
        <w:t>3</w:t>
      </w:r>
      <w:r w:rsidRPr="001D78AE">
        <w:rPr>
          <w:position w:val="6"/>
          <w:sz w:val="14"/>
        </w:rPr>
        <w:t xml:space="preserve"> </w:t>
      </w:r>
      <w:r w:rsidR="006965F3" w:rsidRPr="001D78AE">
        <w:t>Pour les comptes, le message du conseil communal</w:t>
      </w:r>
      <w:r w:rsidR="00702EFF" w:rsidRPr="001D78AE">
        <w:t xml:space="preserve"> contient </w:t>
      </w:r>
      <w:r w:rsidR="00786C2F" w:rsidRPr="001D78AE">
        <w:t>des explications sur les points suivants</w:t>
      </w:r>
      <w:r w:rsidR="00D229B8" w:rsidRPr="001D78AE">
        <w:t> :</w:t>
      </w:r>
    </w:p>
    <w:p w:rsidR="00D229B8" w:rsidRPr="001D78AE" w:rsidRDefault="00D229B8" w:rsidP="00D229B8">
      <w:pPr>
        <w:pStyle w:val="Structure1"/>
        <w:jc w:val="left"/>
      </w:pPr>
      <w:r w:rsidRPr="001D78AE">
        <w:lastRenderedPageBreak/>
        <w:t>a)</w:t>
      </w:r>
      <w:r w:rsidRPr="001D78AE">
        <w:tab/>
      </w:r>
      <w:r w:rsidR="00120D66" w:rsidRPr="001D78AE">
        <w:t>les charges et les dépenses imprévisibles non prévues au budget ;</w:t>
      </w:r>
    </w:p>
    <w:p w:rsidR="00120D66" w:rsidRPr="001D78AE" w:rsidRDefault="00120D66" w:rsidP="00120D66">
      <w:pPr>
        <w:pStyle w:val="Structure1"/>
        <w:jc w:val="left"/>
      </w:pPr>
      <w:r w:rsidRPr="001D78AE">
        <w:t>b)</w:t>
      </w:r>
      <w:r w:rsidRPr="001D78AE">
        <w:tab/>
        <w:t xml:space="preserve">les variations </w:t>
      </w:r>
      <w:r w:rsidR="0090372F">
        <w:t>importantes</w:t>
      </w:r>
      <w:r w:rsidR="0090372F" w:rsidRPr="001D78AE">
        <w:t xml:space="preserve"> </w:t>
      </w:r>
      <w:r w:rsidRPr="001D78AE">
        <w:t>avec les comptes de l’année précédente ;</w:t>
      </w:r>
    </w:p>
    <w:p w:rsidR="00120D66" w:rsidRPr="001D78AE" w:rsidRDefault="00120D66" w:rsidP="00120D66">
      <w:pPr>
        <w:pStyle w:val="Structure1"/>
        <w:jc w:val="left"/>
      </w:pPr>
      <w:r w:rsidRPr="001D78AE">
        <w:t>c)</w:t>
      </w:r>
      <w:r w:rsidRPr="001D78AE">
        <w:tab/>
        <w:t xml:space="preserve">les variations </w:t>
      </w:r>
      <w:r w:rsidR="0090372F">
        <w:t>importantes</w:t>
      </w:r>
      <w:r w:rsidR="0090372F" w:rsidRPr="001D78AE">
        <w:t xml:space="preserve"> </w:t>
      </w:r>
      <w:r w:rsidRPr="001D78AE">
        <w:t>avec le budget ;</w:t>
      </w:r>
    </w:p>
    <w:p w:rsidR="00120D66" w:rsidRPr="001D78AE" w:rsidRDefault="00120D66" w:rsidP="004339E7">
      <w:pPr>
        <w:pStyle w:val="Structure1"/>
        <w:jc w:val="left"/>
      </w:pPr>
      <w:r w:rsidRPr="001D78AE">
        <w:t>d)</w:t>
      </w:r>
      <w:r w:rsidRPr="001D78AE">
        <w:tab/>
        <w:t>les décomptes intermédiaires des investissements en cours et les décomptes fina</w:t>
      </w:r>
      <w:r w:rsidR="00E94B40" w:rsidRPr="001D78AE">
        <w:t>ux des investissements réalisés</w:t>
      </w:r>
      <w:r w:rsidR="006474AA" w:rsidRPr="001D78AE">
        <w:t>.</w:t>
      </w:r>
    </w:p>
    <w:p w:rsidR="00820D91" w:rsidRPr="001D78AE" w:rsidRDefault="00820D91" w:rsidP="00820D91">
      <w:pPr>
        <w:pStyle w:val="NoArt"/>
        <w:rPr>
          <w:rFonts w:ascii="Times" w:hAnsi="Times" w:cs="Times"/>
        </w:rPr>
      </w:pPr>
      <w:bookmarkStart w:id="68" w:name="_Toc522697304"/>
      <w:r w:rsidRPr="001D78AE">
        <w:rPr>
          <w:rFonts w:ascii="Times" w:hAnsi="Times" w:cs="Times"/>
          <w:b/>
        </w:rPr>
        <w:t>Art. 3</w:t>
      </w:r>
      <w:r w:rsidR="00020667" w:rsidRPr="001D78AE">
        <w:rPr>
          <w:rFonts w:ascii="Times" w:hAnsi="Times" w:cs="Times"/>
          <w:b/>
        </w:rPr>
        <w:t>6</w:t>
      </w:r>
      <w:r w:rsidRPr="001D78AE">
        <w:rPr>
          <w:rFonts w:ascii="Times" w:hAnsi="Times" w:cs="Times"/>
          <w:b/>
        </w:rPr>
        <w:tab/>
      </w:r>
      <w:r w:rsidRPr="001D78AE">
        <w:rPr>
          <w:rFonts w:ascii="Times" w:hAnsi="Times" w:cs="Times"/>
        </w:rPr>
        <w:t>Retraits de fonds</w:t>
      </w:r>
      <w:r w:rsidR="006F3054" w:rsidRPr="001D78AE">
        <w:rPr>
          <w:rFonts w:ascii="Times" w:hAnsi="Times" w:cs="Times"/>
        </w:rPr>
        <w:t xml:space="preserve"> (a</w:t>
      </w:r>
      <w:r w:rsidRPr="001D78AE">
        <w:rPr>
          <w:rFonts w:ascii="Times" w:hAnsi="Times" w:cs="Times"/>
        </w:rPr>
        <w:t xml:space="preserve">rt. 73 </w:t>
      </w:r>
      <w:r w:rsidR="00D9164B">
        <w:rPr>
          <w:rFonts w:ascii="Times" w:hAnsi="Times" w:cs="Times"/>
        </w:rPr>
        <w:t xml:space="preserve">al. 3 </w:t>
      </w:r>
      <w:r w:rsidRPr="001D78AE">
        <w:rPr>
          <w:rFonts w:ascii="Times" w:hAnsi="Times" w:cs="Times"/>
        </w:rPr>
        <w:t>LFCo)</w:t>
      </w:r>
      <w:bookmarkEnd w:id="68"/>
    </w:p>
    <w:p w:rsidR="00820D91" w:rsidRPr="001D78AE" w:rsidRDefault="006305D1" w:rsidP="00820D91">
      <w:pPr>
        <w:rPr>
          <w:rFonts w:ascii="Times" w:hAnsi="Times" w:cs="Times"/>
        </w:rPr>
      </w:pPr>
      <w:r w:rsidRPr="001D78AE">
        <w:rPr>
          <w:rStyle w:val="Appelnotedebasdep"/>
          <w:position w:val="6"/>
          <w:sz w:val="14"/>
          <w:vertAlign w:val="baseline"/>
        </w:rPr>
        <w:t>1</w:t>
      </w:r>
      <w:r w:rsidRPr="001D78AE">
        <w:rPr>
          <w:position w:val="6"/>
          <w:sz w:val="14"/>
        </w:rPr>
        <w:t xml:space="preserve"> </w:t>
      </w:r>
      <w:r w:rsidR="00820D91" w:rsidRPr="001D78AE">
        <w:rPr>
          <w:rFonts w:ascii="Times" w:hAnsi="Times" w:cs="Times"/>
        </w:rPr>
        <w:t>Le conseil communal détermine, dans un règlement d’exécution sur les finances</w:t>
      </w:r>
      <w:r w:rsidR="00020667" w:rsidRPr="001D78AE">
        <w:rPr>
          <w:rFonts w:ascii="Times" w:hAnsi="Times" w:cs="Times"/>
        </w:rPr>
        <w:t xml:space="preserve"> communales</w:t>
      </w:r>
      <w:r w:rsidR="00820D91" w:rsidRPr="001D78AE">
        <w:rPr>
          <w:rFonts w:ascii="Times" w:hAnsi="Times" w:cs="Times"/>
        </w:rPr>
        <w:t>, les conditions de</w:t>
      </w:r>
      <w:r w:rsidR="006F3054" w:rsidRPr="001D78AE">
        <w:rPr>
          <w:rFonts w:ascii="Times" w:hAnsi="Times" w:cs="Times"/>
        </w:rPr>
        <w:t>s</w:t>
      </w:r>
      <w:r w:rsidR="00820D91" w:rsidRPr="001D78AE">
        <w:rPr>
          <w:rFonts w:ascii="Times" w:hAnsi="Times" w:cs="Times"/>
        </w:rPr>
        <w:t xml:space="preserve"> retrait</w:t>
      </w:r>
      <w:r w:rsidR="006F3054" w:rsidRPr="001D78AE">
        <w:rPr>
          <w:rFonts w:ascii="Times" w:hAnsi="Times" w:cs="Times"/>
        </w:rPr>
        <w:t>s</w:t>
      </w:r>
      <w:r w:rsidR="00820D91" w:rsidRPr="001D78AE">
        <w:rPr>
          <w:rFonts w:ascii="Times" w:hAnsi="Times" w:cs="Times"/>
        </w:rPr>
        <w:t xml:space="preserve"> de fonds.</w:t>
      </w:r>
    </w:p>
    <w:p w:rsidR="00820D91" w:rsidRPr="001D78AE" w:rsidRDefault="006305D1" w:rsidP="00820D91">
      <w:pPr>
        <w:rPr>
          <w:rFonts w:ascii="Times" w:hAnsi="Times" w:cs="Times"/>
        </w:rPr>
      </w:pPr>
      <w:r w:rsidRPr="001D78AE">
        <w:rPr>
          <w:rStyle w:val="Appelnotedebasdep"/>
          <w:position w:val="6"/>
          <w:sz w:val="14"/>
          <w:vertAlign w:val="baseline"/>
        </w:rPr>
        <w:t>2</w:t>
      </w:r>
      <w:r w:rsidRPr="001D78AE">
        <w:rPr>
          <w:position w:val="6"/>
          <w:sz w:val="14"/>
        </w:rPr>
        <w:t xml:space="preserve"> </w:t>
      </w:r>
      <w:r w:rsidR="00820D91" w:rsidRPr="001D78AE">
        <w:rPr>
          <w:rFonts w:ascii="Times" w:hAnsi="Times" w:cs="Times"/>
        </w:rPr>
        <w:t>Dans tous les cas, l’ordre de retrait doit porter la signature d’un membre du conseil communal et d’une collaboratrice ou d’un collaborateur de l’administration.</w:t>
      </w:r>
    </w:p>
    <w:p w:rsidR="00820D91" w:rsidRPr="001D78AE" w:rsidRDefault="006305D1" w:rsidP="00820D91">
      <w:pPr>
        <w:rPr>
          <w:rFonts w:ascii="Times" w:hAnsi="Times" w:cs="Times"/>
        </w:rPr>
      </w:pPr>
      <w:r w:rsidRPr="001D78AE">
        <w:rPr>
          <w:rStyle w:val="Appelnotedebasdep"/>
          <w:position w:val="6"/>
          <w:sz w:val="14"/>
          <w:vertAlign w:val="baseline"/>
        </w:rPr>
        <w:t>3</w:t>
      </w:r>
      <w:r w:rsidRPr="001D78AE">
        <w:rPr>
          <w:position w:val="6"/>
          <w:sz w:val="14"/>
        </w:rPr>
        <w:t xml:space="preserve"> </w:t>
      </w:r>
      <w:r w:rsidR="00820D91" w:rsidRPr="001D78AE">
        <w:t xml:space="preserve">Toutefois, </w:t>
      </w:r>
      <w:r w:rsidR="00820D91" w:rsidRPr="001D78AE">
        <w:rPr>
          <w:rFonts w:ascii="Times" w:hAnsi="Times" w:cs="Times"/>
        </w:rPr>
        <w:t>pour des montants de minime importance dont le seuil est fixé dans le règlement d’exécution sur les finances, la double signature peut être le fait de deux membres du personnel de l’administration.</w:t>
      </w:r>
    </w:p>
    <w:p w:rsidR="00820D91" w:rsidRPr="001D78AE" w:rsidRDefault="006305D1" w:rsidP="00820D91">
      <w:pPr>
        <w:rPr>
          <w:rFonts w:ascii="Times" w:hAnsi="Times" w:cs="Times"/>
        </w:rPr>
      </w:pPr>
      <w:r w:rsidRPr="001D78AE">
        <w:rPr>
          <w:rStyle w:val="Appelnotedebasdep"/>
          <w:position w:val="6"/>
          <w:sz w:val="14"/>
          <w:vertAlign w:val="baseline"/>
        </w:rPr>
        <w:t>4</w:t>
      </w:r>
      <w:r w:rsidRPr="001D78AE">
        <w:rPr>
          <w:position w:val="6"/>
          <w:sz w:val="14"/>
        </w:rPr>
        <w:t xml:space="preserve"> </w:t>
      </w:r>
      <w:r w:rsidR="00820D91" w:rsidRPr="001D78AE">
        <w:rPr>
          <w:rFonts w:ascii="Times" w:hAnsi="Times" w:cs="Times"/>
        </w:rPr>
        <w:t>L’établissement d’ordres en blanc est interdit.</w:t>
      </w:r>
    </w:p>
    <w:p w:rsidR="00820D91" w:rsidRPr="001D78AE" w:rsidRDefault="00820D91" w:rsidP="00820D91">
      <w:pPr>
        <w:pStyle w:val="NoArt"/>
        <w:rPr>
          <w:rFonts w:ascii="Times" w:hAnsi="Times" w:cs="Times"/>
        </w:rPr>
      </w:pPr>
      <w:bookmarkStart w:id="69" w:name="_Toc522697305"/>
      <w:r w:rsidRPr="001D78AE">
        <w:rPr>
          <w:rFonts w:ascii="Times" w:hAnsi="Times" w:cs="Times"/>
          <w:b/>
        </w:rPr>
        <w:t>Art. 3</w:t>
      </w:r>
      <w:r w:rsidR="00020667" w:rsidRPr="001D78AE">
        <w:rPr>
          <w:rFonts w:ascii="Times" w:hAnsi="Times" w:cs="Times"/>
          <w:b/>
        </w:rPr>
        <w:t>7</w:t>
      </w:r>
      <w:r w:rsidRPr="001D78AE">
        <w:rPr>
          <w:rFonts w:ascii="Times" w:hAnsi="Times" w:cs="Times"/>
          <w:b/>
        </w:rPr>
        <w:tab/>
      </w:r>
      <w:r w:rsidRPr="001D78AE">
        <w:rPr>
          <w:rFonts w:ascii="Times" w:hAnsi="Times" w:cs="Times"/>
        </w:rPr>
        <w:t>Pièces comptables</w:t>
      </w:r>
      <w:r w:rsidR="006F3054" w:rsidRPr="001D78AE">
        <w:rPr>
          <w:rFonts w:ascii="Times" w:hAnsi="Times" w:cs="Times"/>
        </w:rPr>
        <w:t xml:space="preserve"> (a</w:t>
      </w:r>
      <w:r w:rsidRPr="001D78AE">
        <w:rPr>
          <w:rFonts w:ascii="Times" w:hAnsi="Times" w:cs="Times"/>
        </w:rPr>
        <w:t>rt. 73 et 74 LFCo)</w:t>
      </w:r>
      <w:bookmarkEnd w:id="69"/>
    </w:p>
    <w:p w:rsidR="00820D91" w:rsidRPr="001D78AE" w:rsidRDefault="000B6A24" w:rsidP="00820D91">
      <w:pPr>
        <w:rPr>
          <w:rFonts w:ascii="Times" w:hAnsi="Times" w:cs="Times"/>
        </w:rPr>
      </w:pPr>
      <w:r w:rsidRPr="001D78AE">
        <w:rPr>
          <w:rStyle w:val="Appelnotedebasdep"/>
          <w:position w:val="6"/>
          <w:sz w:val="14"/>
          <w:vertAlign w:val="baseline"/>
        </w:rPr>
        <w:t>1</w:t>
      </w:r>
      <w:r w:rsidRPr="001D78AE">
        <w:rPr>
          <w:position w:val="6"/>
          <w:sz w:val="14"/>
        </w:rPr>
        <w:t xml:space="preserve"> </w:t>
      </w:r>
      <w:r w:rsidR="00820D91" w:rsidRPr="001D78AE">
        <w:rPr>
          <w:rFonts w:ascii="Times" w:hAnsi="Times" w:cs="Times"/>
        </w:rPr>
        <w:t>Chaque opération comptable doit être fondée sur une pièce comptable, munie du visa de contrôle de la personne compétente.</w:t>
      </w:r>
    </w:p>
    <w:p w:rsidR="00820D91" w:rsidRPr="001D78AE" w:rsidRDefault="000B6A24" w:rsidP="00820D91">
      <w:pPr>
        <w:rPr>
          <w:rFonts w:ascii="Times" w:hAnsi="Times" w:cs="Times"/>
        </w:rPr>
      </w:pPr>
      <w:r w:rsidRPr="001D78AE">
        <w:rPr>
          <w:rStyle w:val="Appelnotedebasdep"/>
          <w:position w:val="6"/>
          <w:sz w:val="14"/>
          <w:vertAlign w:val="baseline"/>
        </w:rPr>
        <w:t>2</w:t>
      </w:r>
      <w:r w:rsidRPr="001D78AE">
        <w:rPr>
          <w:position w:val="6"/>
          <w:sz w:val="14"/>
        </w:rPr>
        <w:t xml:space="preserve"> </w:t>
      </w:r>
      <w:r w:rsidR="00820D91" w:rsidRPr="001D78AE">
        <w:rPr>
          <w:rFonts w:ascii="Times" w:hAnsi="Times" w:cs="Times"/>
        </w:rPr>
        <w:t>Les pièces comptables revêtent la forme écrite. Toutefois, le conseil communal peut prévoir l’usage de la forme électronique.</w:t>
      </w:r>
    </w:p>
    <w:p w:rsidR="00820D91" w:rsidRPr="001D78AE" w:rsidRDefault="000B6A24" w:rsidP="00820D91">
      <w:pPr>
        <w:rPr>
          <w:rFonts w:ascii="Times" w:hAnsi="Times" w:cs="Times"/>
        </w:rPr>
      </w:pPr>
      <w:r w:rsidRPr="001D78AE">
        <w:rPr>
          <w:rStyle w:val="Appelnotedebasdep"/>
          <w:position w:val="6"/>
          <w:sz w:val="14"/>
          <w:vertAlign w:val="baseline"/>
        </w:rPr>
        <w:t>3</w:t>
      </w:r>
      <w:r w:rsidRPr="001D78AE">
        <w:rPr>
          <w:position w:val="6"/>
          <w:sz w:val="14"/>
        </w:rPr>
        <w:t xml:space="preserve"> </w:t>
      </w:r>
      <w:r w:rsidR="00820D91" w:rsidRPr="001D78AE">
        <w:rPr>
          <w:rFonts w:ascii="Times" w:hAnsi="Times" w:cs="Times"/>
        </w:rPr>
        <w:t>A défaut de précision dans le règlement d’exécution sur les finances, la pièce doit être visée par le membre du conseil communal en charge du dicastère concerné.</w:t>
      </w:r>
    </w:p>
    <w:p w:rsidR="00820D91" w:rsidRPr="001D78AE" w:rsidRDefault="000B6A24" w:rsidP="00820D91">
      <w:pPr>
        <w:rPr>
          <w:rFonts w:ascii="Times" w:hAnsi="Times" w:cs="Times"/>
        </w:rPr>
      </w:pPr>
      <w:r w:rsidRPr="001D78AE">
        <w:rPr>
          <w:rStyle w:val="Appelnotedebasdep"/>
          <w:position w:val="6"/>
          <w:sz w:val="14"/>
          <w:vertAlign w:val="baseline"/>
        </w:rPr>
        <w:t>4</w:t>
      </w:r>
      <w:r w:rsidRPr="001D78AE">
        <w:rPr>
          <w:position w:val="6"/>
          <w:sz w:val="14"/>
        </w:rPr>
        <w:t xml:space="preserve"> </w:t>
      </w:r>
      <w:r w:rsidR="00820D91" w:rsidRPr="001D78AE">
        <w:rPr>
          <w:rFonts w:ascii="Times" w:hAnsi="Times" w:cs="Times"/>
        </w:rPr>
        <w:t>Pour le surplus, les articles 2 al. 2 ainsi que 3 à 10 de l’ordonnance fédérale du 24 avril 2002 concernant la tenue et la conservation des livres de comptes (</w:t>
      </w:r>
      <w:proofErr w:type="spellStart"/>
      <w:r w:rsidR="00820D91" w:rsidRPr="001D78AE">
        <w:rPr>
          <w:rFonts w:ascii="Times" w:hAnsi="Times" w:cs="Times"/>
        </w:rPr>
        <w:t>Olico</w:t>
      </w:r>
      <w:proofErr w:type="spellEnd"/>
      <w:r w:rsidR="00820D91" w:rsidRPr="001D78AE">
        <w:rPr>
          <w:rFonts w:ascii="Times" w:hAnsi="Times" w:cs="Times"/>
        </w:rPr>
        <w:t> ; RS 221.431) s’appliquent par analogie.</w:t>
      </w:r>
    </w:p>
    <w:p w:rsidR="007B4282" w:rsidRPr="001D78AE" w:rsidRDefault="007B4282" w:rsidP="007B4282">
      <w:pPr>
        <w:pStyle w:val="NoArt"/>
      </w:pPr>
      <w:bookmarkStart w:id="70" w:name="_Toc522697306"/>
      <w:r w:rsidRPr="001D78AE">
        <w:rPr>
          <w:b/>
        </w:rPr>
        <w:t xml:space="preserve">Art. </w:t>
      </w:r>
      <w:r w:rsidR="00C35D7B" w:rsidRPr="001D78AE">
        <w:rPr>
          <w:b/>
        </w:rPr>
        <w:t>3</w:t>
      </w:r>
      <w:r w:rsidR="00020667" w:rsidRPr="001D78AE">
        <w:rPr>
          <w:b/>
        </w:rPr>
        <w:t>8</w:t>
      </w:r>
      <w:r w:rsidRPr="001D78AE">
        <w:tab/>
        <w:t>Administration des finances</w:t>
      </w:r>
      <w:r w:rsidR="00820D91" w:rsidRPr="001D78AE">
        <w:t xml:space="preserve"> (art. 74 LFCo)</w:t>
      </w:r>
      <w:r w:rsidRPr="001D78AE">
        <w:br/>
        <w:t xml:space="preserve">a) </w:t>
      </w:r>
      <w:r w:rsidR="005C2EDB" w:rsidRPr="001D78AE">
        <w:t xml:space="preserve">Changement de </w:t>
      </w:r>
      <w:r w:rsidRPr="001D78AE">
        <w:t>titulaire</w:t>
      </w:r>
      <w:bookmarkEnd w:id="70"/>
    </w:p>
    <w:p w:rsidR="007B4282" w:rsidRPr="001D78AE" w:rsidRDefault="000B6A24" w:rsidP="005C2EDB">
      <w:r w:rsidRPr="001D78AE">
        <w:rPr>
          <w:rStyle w:val="Appelnotedebasdep"/>
          <w:position w:val="6"/>
          <w:sz w:val="14"/>
          <w:vertAlign w:val="baseline"/>
        </w:rPr>
        <w:t>1</w:t>
      </w:r>
      <w:r w:rsidRPr="001D78AE">
        <w:rPr>
          <w:position w:val="6"/>
          <w:sz w:val="14"/>
        </w:rPr>
        <w:t xml:space="preserve"> </w:t>
      </w:r>
      <w:r w:rsidR="005C2EDB" w:rsidRPr="001D78AE">
        <w:t>Lorsqu</w:t>
      </w:r>
      <w:r w:rsidR="007061E8" w:rsidRPr="001D78AE">
        <w:t>’</w:t>
      </w:r>
      <w:r w:rsidR="00FE5203" w:rsidRPr="001D78AE">
        <w:t>un</w:t>
      </w:r>
      <w:r w:rsidR="005C2EDB" w:rsidRPr="001D78AE">
        <w:t xml:space="preserve"> administrat</w:t>
      </w:r>
      <w:r w:rsidR="003C25DA" w:rsidRPr="001D78AE">
        <w:t>eur</w:t>
      </w:r>
      <w:r w:rsidR="005C2EDB" w:rsidRPr="001D78AE">
        <w:t xml:space="preserve"> ou un</w:t>
      </w:r>
      <w:r w:rsidR="00FE5203" w:rsidRPr="001D78AE">
        <w:t>e</w:t>
      </w:r>
      <w:r w:rsidR="005C2EDB" w:rsidRPr="001D78AE">
        <w:t xml:space="preserve"> </w:t>
      </w:r>
      <w:r w:rsidR="003C25DA" w:rsidRPr="001D78AE">
        <w:t>administratrice</w:t>
      </w:r>
      <w:r w:rsidR="007B4282" w:rsidRPr="001D78AE">
        <w:t xml:space="preserve"> des finances quitte sa fonction, le conseil communal procède ou fait procéder à une remise de la comptabilité et fait dresser un inventaire des documents qui sont remis au nouveau </w:t>
      </w:r>
      <w:r w:rsidR="00FE5203" w:rsidRPr="001D78AE">
        <w:t xml:space="preserve">ou à la nouvelle </w:t>
      </w:r>
      <w:r w:rsidR="007B4282" w:rsidRPr="001D78AE">
        <w:t>titulaire.</w:t>
      </w:r>
    </w:p>
    <w:p w:rsidR="002B0F03" w:rsidRPr="001D78AE" w:rsidRDefault="000B6A24" w:rsidP="002B0F03">
      <w:pPr>
        <w:rPr>
          <w:rFonts w:ascii="Times" w:hAnsi="Times" w:cs="Times"/>
        </w:rPr>
      </w:pPr>
      <w:r w:rsidRPr="001D78AE">
        <w:rPr>
          <w:rStyle w:val="Appelnotedebasdep"/>
          <w:position w:val="6"/>
          <w:sz w:val="14"/>
          <w:vertAlign w:val="baseline"/>
        </w:rPr>
        <w:t>2</w:t>
      </w:r>
      <w:r w:rsidRPr="001D78AE">
        <w:rPr>
          <w:position w:val="6"/>
          <w:sz w:val="14"/>
        </w:rPr>
        <w:t xml:space="preserve"> </w:t>
      </w:r>
      <w:r w:rsidR="002B0F03" w:rsidRPr="001D78AE">
        <w:rPr>
          <w:rFonts w:ascii="Times" w:hAnsi="Times" w:cs="Times"/>
        </w:rPr>
        <w:t>Les documents non remis sont répertoriés et intégrés aux archives communales.</w:t>
      </w:r>
    </w:p>
    <w:p w:rsidR="002B0F03" w:rsidRPr="001D78AE" w:rsidRDefault="000B6A24" w:rsidP="002B0F03">
      <w:pPr>
        <w:rPr>
          <w:rFonts w:ascii="Times" w:hAnsi="Times" w:cs="Times"/>
        </w:rPr>
      </w:pPr>
      <w:r w:rsidRPr="001D78AE">
        <w:rPr>
          <w:rStyle w:val="Appelnotedebasdep"/>
          <w:position w:val="6"/>
          <w:sz w:val="14"/>
          <w:vertAlign w:val="baseline"/>
        </w:rPr>
        <w:t>3</w:t>
      </w:r>
      <w:r w:rsidRPr="001D78AE">
        <w:rPr>
          <w:position w:val="6"/>
          <w:sz w:val="14"/>
        </w:rPr>
        <w:t xml:space="preserve"> </w:t>
      </w:r>
      <w:r w:rsidR="002B0F03" w:rsidRPr="001D78AE">
        <w:rPr>
          <w:rFonts w:ascii="Times" w:hAnsi="Times" w:cs="Times"/>
        </w:rPr>
        <w:t>La commune avise</w:t>
      </w:r>
      <w:r w:rsidR="009F71A2" w:rsidRPr="001D78AE">
        <w:rPr>
          <w:rFonts w:ascii="Times" w:hAnsi="Times" w:cs="Times"/>
        </w:rPr>
        <w:t xml:space="preserve"> dans les quinze jours</w:t>
      </w:r>
      <w:r w:rsidR="002B0F03" w:rsidRPr="001D78AE">
        <w:rPr>
          <w:rFonts w:ascii="Times" w:hAnsi="Times" w:cs="Times"/>
        </w:rPr>
        <w:t xml:space="preserve"> le Service et le préfet de l</w:t>
      </w:r>
      <w:r w:rsidR="007061E8" w:rsidRPr="001D78AE">
        <w:rPr>
          <w:rFonts w:ascii="Times" w:hAnsi="Times" w:cs="Times"/>
        </w:rPr>
        <w:t>’</w:t>
      </w:r>
      <w:r w:rsidR="002B0F03" w:rsidRPr="001D78AE">
        <w:rPr>
          <w:rFonts w:ascii="Times" w:hAnsi="Times" w:cs="Times"/>
        </w:rPr>
        <w:t>entrée en fonction de l</w:t>
      </w:r>
      <w:r w:rsidR="007061E8" w:rsidRPr="001D78AE">
        <w:rPr>
          <w:rFonts w:ascii="Times" w:hAnsi="Times" w:cs="Times"/>
        </w:rPr>
        <w:t>’</w:t>
      </w:r>
      <w:r w:rsidR="002B0F03" w:rsidRPr="001D78AE">
        <w:rPr>
          <w:rFonts w:ascii="Times" w:hAnsi="Times" w:cs="Times"/>
        </w:rPr>
        <w:t>administrat</w:t>
      </w:r>
      <w:r w:rsidR="003C25DA" w:rsidRPr="001D78AE">
        <w:rPr>
          <w:rFonts w:ascii="Times" w:hAnsi="Times" w:cs="Times"/>
        </w:rPr>
        <w:t>eur</w:t>
      </w:r>
      <w:r w:rsidR="002B0F03" w:rsidRPr="001D78AE">
        <w:rPr>
          <w:rFonts w:ascii="Times" w:hAnsi="Times" w:cs="Times"/>
        </w:rPr>
        <w:t xml:space="preserve"> ou de l</w:t>
      </w:r>
      <w:r w:rsidR="007061E8" w:rsidRPr="001D78AE">
        <w:rPr>
          <w:rFonts w:ascii="Times" w:hAnsi="Times" w:cs="Times"/>
        </w:rPr>
        <w:t>’</w:t>
      </w:r>
      <w:r w:rsidR="003C25DA" w:rsidRPr="001D78AE">
        <w:rPr>
          <w:rFonts w:ascii="Times" w:hAnsi="Times" w:cs="Times"/>
        </w:rPr>
        <w:t>administratrice</w:t>
      </w:r>
      <w:r w:rsidR="002B0F03" w:rsidRPr="001D78AE">
        <w:rPr>
          <w:rFonts w:ascii="Times" w:hAnsi="Times" w:cs="Times"/>
        </w:rPr>
        <w:t xml:space="preserve"> des finances.</w:t>
      </w:r>
    </w:p>
    <w:p w:rsidR="002B0F03" w:rsidRPr="001D78AE" w:rsidRDefault="002B0F03" w:rsidP="002B0F03">
      <w:pPr>
        <w:pStyle w:val="NoArt"/>
        <w:rPr>
          <w:rFonts w:ascii="Times" w:hAnsi="Times" w:cs="Times"/>
        </w:rPr>
      </w:pPr>
      <w:bookmarkStart w:id="71" w:name="_Toc522697307"/>
      <w:r w:rsidRPr="001D78AE">
        <w:rPr>
          <w:rFonts w:ascii="Times" w:hAnsi="Times" w:cs="Times"/>
          <w:b/>
        </w:rPr>
        <w:lastRenderedPageBreak/>
        <w:t>Art.</w:t>
      </w:r>
      <w:r w:rsidR="00820D91" w:rsidRPr="001D78AE">
        <w:rPr>
          <w:rFonts w:ascii="Times" w:hAnsi="Times" w:cs="Times"/>
          <w:b/>
        </w:rPr>
        <w:t xml:space="preserve"> 3</w:t>
      </w:r>
      <w:r w:rsidR="00020667" w:rsidRPr="001D78AE">
        <w:rPr>
          <w:rFonts w:ascii="Times" w:hAnsi="Times" w:cs="Times"/>
          <w:b/>
        </w:rPr>
        <w:t>9</w:t>
      </w:r>
      <w:r w:rsidRPr="001D78AE">
        <w:rPr>
          <w:rFonts w:ascii="Times" w:hAnsi="Times" w:cs="Times"/>
          <w:b/>
        </w:rPr>
        <w:tab/>
      </w:r>
      <w:r w:rsidRPr="001D78AE">
        <w:rPr>
          <w:rFonts w:ascii="Times" w:hAnsi="Times" w:cs="Times"/>
        </w:rPr>
        <w:t>b) Remise de la comptabilité</w:t>
      </w:r>
      <w:bookmarkEnd w:id="71"/>
    </w:p>
    <w:p w:rsidR="002B0F03" w:rsidRPr="001D78AE" w:rsidRDefault="000B6A24" w:rsidP="002B0F03">
      <w:pPr>
        <w:rPr>
          <w:rFonts w:ascii="Times" w:hAnsi="Times" w:cs="Times"/>
        </w:rPr>
      </w:pPr>
      <w:r w:rsidRPr="001D78AE">
        <w:rPr>
          <w:rStyle w:val="Appelnotedebasdep"/>
          <w:position w:val="6"/>
          <w:sz w:val="14"/>
          <w:vertAlign w:val="baseline"/>
        </w:rPr>
        <w:t>1</w:t>
      </w:r>
      <w:r w:rsidRPr="001D78AE">
        <w:rPr>
          <w:position w:val="6"/>
          <w:sz w:val="14"/>
        </w:rPr>
        <w:t xml:space="preserve"> </w:t>
      </w:r>
      <w:r w:rsidR="002B0F03" w:rsidRPr="001D78AE">
        <w:rPr>
          <w:rFonts w:ascii="Times" w:hAnsi="Times" w:cs="Times"/>
        </w:rPr>
        <w:t>La remise de la comptabilité fait l</w:t>
      </w:r>
      <w:r w:rsidR="007061E8" w:rsidRPr="001D78AE">
        <w:rPr>
          <w:rFonts w:ascii="Times" w:hAnsi="Times" w:cs="Times"/>
        </w:rPr>
        <w:t>’</w:t>
      </w:r>
      <w:r w:rsidR="002B0F03" w:rsidRPr="001D78AE">
        <w:rPr>
          <w:rFonts w:ascii="Times" w:hAnsi="Times" w:cs="Times"/>
        </w:rPr>
        <w:t>objet d</w:t>
      </w:r>
      <w:r w:rsidR="007061E8" w:rsidRPr="001D78AE">
        <w:rPr>
          <w:rFonts w:ascii="Times" w:hAnsi="Times" w:cs="Times"/>
        </w:rPr>
        <w:t>’</w:t>
      </w:r>
      <w:r w:rsidR="002B0F03" w:rsidRPr="001D78AE">
        <w:rPr>
          <w:rFonts w:ascii="Times" w:hAnsi="Times" w:cs="Times"/>
        </w:rPr>
        <w:t>un procès-verbal, lequel mentionne au moins</w:t>
      </w:r>
      <w:r w:rsidR="007061E8" w:rsidRPr="001D78AE">
        <w:rPr>
          <w:rFonts w:ascii="Times" w:hAnsi="Times" w:cs="Times"/>
        </w:rPr>
        <w:t> :</w:t>
      </w:r>
    </w:p>
    <w:p w:rsidR="002B0F03" w:rsidRPr="001D78AE" w:rsidRDefault="002B0F03" w:rsidP="002B0F03">
      <w:pPr>
        <w:pStyle w:val="Structure1"/>
        <w:rPr>
          <w:rFonts w:ascii="Times" w:hAnsi="Times" w:cs="Times"/>
        </w:rPr>
      </w:pPr>
      <w:r w:rsidRPr="001D78AE">
        <w:rPr>
          <w:rFonts w:ascii="Times" w:hAnsi="Times" w:cs="Times"/>
        </w:rPr>
        <w:t>a)</w:t>
      </w:r>
      <w:r w:rsidRPr="001D78AE">
        <w:rPr>
          <w:rFonts w:ascii="Times" w:hAnsi="Times" w:cs="Times"/>
        </w:rPr>
        <w:tab/>
        <w:t>les noms des personnes présentes, le lieu et la date de la remise</w:t>
      </w:r>
      <w:r w:rsidR="007061E8" w:rsidRPr="001D78AE">
        <w:rPr>
          <w:rFonts w:ascii="Times" w:hAnsi="Times" w:cs="Times"/>
        </w:rPr>
        <w:t> ;</w:t>
      </w:r>
    </w:p>
    <w:p w:rsidR="002B0F03" w:rsidRPr="001D78AE" w:rsidRDefault="002B0F03" w:rsidP="002B0F03">
      <w:pPr>
        <w:pStyle w:val="Structure1"/>
        <w:rPr>
          <w:rFonts w:ascii="Times" w:hAnsi="Times" w:cs="Times"/>
        </w:rPr>
      </w:pPr>
      <w:r w:rsidRPr="001D78AE">
        <w:rPr>
          <w:rFonts w:ascii="Times" w:hAnsi="Times" w:cs="Times"/>
        </w:rPr>
        <w:t>b)</w:t>
      </w:r>
      <w:r w:rsidRPr="001D78AE">
        <w:rPr>
          <w:rFonts w:ascii="Times" w:hAnsi="Times" w:cs="Times"/>
        </w:rPr>
        <w:tab/>
        <w:t xml:space="preserve">le solde </w:t>
      </w:r>
      <w:r w:rsidR="00103D1B" w:rsidRPr="001D78AE">
        <w:rPr>
          <w:rFonts w:ascii="Times" w:hAnsi="Times" w:cs="Times"/>
        </w:rPr>
        <w:t>des liquidités</w:t>
      </w:r>
      <w:r w:rsidR="007061E8" w:rsidRPr="001D78AE">
        <w:rPr>
          <w:rFonts w:ascii="Times" w:hAnsi="Times" w:cs="Times"/>
        </w:rPr>
        <w:t> ;</w:t>
      </w:r>
    </w:p>
    <w:p w:rsidR="002B0F03" w:rsidRPr="001D78AE" w:rsidRDefault="002B0F03" w:rsidP="002B0F03">
      <w:pPr>
        <w:pStyle w:val="Structure1"/>
        <w:rPr>
          <w:rFonts w:ascii="Times" w:hAnsi="Times" w:cs="Times"/>
        </w:rPr>
      </w:pPr>
      <w:r w:rsidRPr="001D78AE">
        <w:rPr>
          <w:rFonts w:ascii="Times" w:hAnsi="Times" w:cs="Times"/>
        </w:rPr>
        <w:t>c)</w:t>
      </w:r>
      <w:r w:rsidRPr="001D78AE">
        <w:rPr>
          <w:rFonts w:ascii="Times" w:hAnsi="Times" w:cs="Times"/>
        </w:rPr>
        <w:tab/>
        <w:t>l</w:t>
      </w:r>
      <w:r w:rsidR="007061E8" w:rsidRPr="001D78AE">
        <w:rPr>
          <w:rFonts w:ascii="Times" w:hAnsi="Times" w:cs="Times"/>
        </w:rPr>
        <w:t>’</w:t>
      </w:r>
      <w:r w:rsidRPr="001D78AE">
        <w:rPr>
          <w:rFonts w:ascii="Times" w:hAnsi="Times" w:cs="Times"/>
        </w:rPr>
        <w:t>état détaillé des créances et des dettes</w:t>
      </w:r>
      <w:r w:rsidR="007061E8" w:rsidRPr="001D78AE">
        <w:rPr>
          <w:rFonts w:ascii="Times" w:hAnsi="Times" w:cs="Times"/>
        </w:rPr>
        <w:t> ;</w:t>
      </w:r>
    </w:p>
    <w:p w:rsidR="002B0F03" w:rsidRPr="001D78AE" w:rsidRDefault="002B0F03" w:rsidP="002B0F03">
      <w:pPr>
        <w:pStyle w:val="Structure1"/>
        <w:rPr>
          <w:rFonts w:ascii="Times" w:hAnsi="Times" w:cs="Times"/>
        </w:rPr>
      </w:pPr>
      <w:r w:rsidRPr="001D78AE">
        <w:rPr>
          <w:rFonts w:ascii="Times" w:hAnsi="Times" w:cs="Times"/>
        </w:rPr>
        <w:t>d)</w:t>
      </w:r>
      <w:r w:rsidRPr="001D78AE">
        <w:rPr>
          <w:rFonts w:ascii="Times" w:hAnsi="Times" w:cs="Times"/>
        </w:rPr>
        <w:tab/>
        <w:t>la balance intermédiaire.</w:t>
      </w:r>
    </w:p>
    <w:p w:rsidR="009F71A2" w:rsidRPr="001D78AE" w:rsidRDefault="000B6A24" w:rsidP="009F71A2">
      <w:pPr>
        <w:rPr>
          <w:rFonts w:ascii="Times" w:hAnsi="Times" w:cs="Times"/>
        </w:rPr>
      </w:pPr>
      <w:r w:rsidRPr="001D78AE">
        <w:rPr>
          <w:rStyle w:val="Appelnotedebasdep"/>
          <w:position w:val="6"/>
          <w:sz w:val="14"/>
          <w:vertAlign w:val="baseline"/>
        </w:rPr>
        <w:t>2</w:t>
      </w:r>
      <w:r w:rsidRPr="001D78AE">
        <w:rPr>
          <w:position w:val="6"/>
          <w:sz w:val="14"/>
        </w:rPr>
        <w:t xml:space="preserve"> </w:t>
      </w:r>
      <w:r w:rsidR="009F71A2" w:rsidRPr="001D78AE">
        <w:rPr>
          <w:rFonts w:ascii="Times" w:hAnsi="Times" w:cs="Times"/>
        </w:rPr>
        <w:t>L’inventaire des documents est joint au procès-verbal.</w:t>
      </w:r>
    </w:p>
    <w:p w:rsidR="00C35D7B" w:rsidRPr="001D78AE" w:rsidRDefault="000B6A24" w:rsidP="00C35D7B">
      <w:pPr>
        <w:rPr>
          <w:rFonts w:ascii="Times" w:hAnsi="Times" w:cs="Times"/>
        </w:rPr>
      </w:pPr>
      <w:r w:rsidRPr="001D78AE">
        <w:rPr>
          <w:rStyle w:val="Appelnotedebasdep"/>
          <w:position w:val="6"/>
          <w:sz w:val="14"/>
          <w:vertAlign w:val="baseline"/>
        </w:rPr>
        <w:t>3</w:t>
      </w:r>
      <w:r w:rsidRPr="001D78AE">
        <w:rPr>
          <w:position w:val="6"/>
          <w:sz w:val="14"/>
        </w:rPr>
        <w:t xml:space="preserve"> </w:t>
      </w:r>
      <w:r w:rsidR="002B0F03" w:rsidRPr="001D78AE">
        <w:rPr>
          <w:rFonts w:ascii="Times" w:hAnsi="Times" w:cs="Times"/>
        </w:rPr>
        <w:t xml:space="preserve">Le procès-verbal signé est </w:t>
      </w:r>
      <w:r w:rsidR="009F71A2" w:rsidRPr="001D78AE">
        <w:rPr>
          <w:rFonts w:ascii="Times" w:hAnsi="Times" w:cs="Times"/>
        </w:rPr>
        <w:t xml:space="preserve">communiqué </w:t>
      </w:r>
      <w:r w:rsidR="00B63910" w:rsidRPr="001D78AE">
        <w:rPr>
          <w:rFonts w:ascii="Times" w:hAnsi="Times" w:cs="Times"/>
        </w:rPr>
        <w:t>à toutes les personnes présentes</w:t>
      </w:r>
      <w:r w:rsidR="002B0F03" w:rsidRPr="001D78AE">
        <w:rPr>
          <w:rFonts w:ascii="Times" w:hAnsi="Times" w:cs="Times"/>
        </w:rPr>
        <w:t>.</w:t>
      </w:r>
    </w:p>
    <w:p w:rsidR="007061E8" w:rsidRPr="001D78AE" w:rsidRDefault="00D93423" w:rsidP="00D93423">
      <w:pPr>
        <w:pStyle w:val="Titre1"/>
      </w:pPr>
      <w:bookmarkStart w:id="72" w:name="_Toc379958541"/>
      <w:bookmarkStart w:id="73" w:name="_Toc522697308"/>
      <w:r w:rsidRPr="001D78AE">
        <w:t xml:space="preserve">CHAPITRE </w:t>
      </w:r>
      <w:r w:rsidR="00020667" w:rsidRPr="001D78AE">
        <w:t>9</w:t>
      </w:r>
      <w:r w:rsidRPr="001D78AE">
        <w:br/>
      </w:r>
      <w:r w:rsidR="00B72223" w:rsidRPr="001D78AE">
        <w:t>Règles de mise en œuvre</w:t>
      </w:r>
      <w:bookmarkEnd w:id="72"/>
      <w:bookmarkEnd w:id="73"/>
    </w:p>
    <w:p w:rsidR="00F73F12" w:rsidRPr="001D78AE" w:rsidRDefault="00F73F12" w:rsidP="00F73F12">
      <w:pPr>
        <w:pStyle w:val="NoArt"/>
      </w:pPr>
      <w:bookmarkStart w:id="74" w:name="_Toc522697309"/>
      <w:r w:rsidRPr="001D78AE">
        <w:rPr>
          <w:b/>
        </w:rPr>
        <w:t xml:space="preserve">Art. </w:t>
      </w:r>
      <w:r w:rsidR="00020667" w:rsidRPr="001D78AE">
        <w:rPr>
          <w:b/>
        </w:rPr>
        <w:t>40</w:t>
      </w:r>
      <w:r w:rsidR="005D6677" w:rsidRPr="001D78AE">
        <w:tab/>
        <w:t>I</w:t>
      </w:r>
      <w:r w:rsidRPr="001D78AE">
        <w:t>n</w:t>
      </w:r>
      <w:r w:rsidR="005D6677" w:rsidRPr="001D78AE">
        <w:t>troduction, modalités et délais</w:t>
      </w:r>
      <w:r w:rsidR="007A3993" w:rsidRPr="001D78AE">
        <w:t xml:space="preserve"> (art. 78 LFCo)</w:t>
      </w:r>
      <w:bookmarkEnd w:id="74"/>
    </w:p>
    <w:p w:rsidR="00345BB8" w:rsidRPr="001D78AE" w:rsidRDefault="000B6A24" w:rsidP="00345BB8">
      <w:r w:rsidRPr="001D78AE">
        <w:rPr>
          <w:rStyle w:val="Appelnotedebasdep"/>
          <w:position w:val="6"/>
          <w:sz w:val="14"/>
          <w:vertAlign w:val="baseline"/>
        </w:rPr>
        <w:t>1</w:t>
      </w:r>
      <w:r w:rsidRPr="001D78AE">
        <w:rPr>
          <w:position w:val="6"/>
          <w:sz w:val="14"/>
        </w:rPr>
        <w:t xml:space="preserve"> </w:t>
      </w:r>
      <w:r w:rsidR="00345BB8" w:rsidRPr="001D78AE">
        <w:t>Les communes, les établissements communaux personnalisés, les associations de communes, les agglomérations et les bourgeoisies introduisent les dispositions financières prévues dans la législation sur les finances communales</w:t>
      </w:r>
      <w:r w:rsidR="00D37BEE" w:rsidRPr="001D78AE">
        <w:t xml:space="preserve">, notamment </w:t>
      </w:r>
      <w:r w:rsidR="008C333D" w:rsidRPr="001D78AE">
        <w:t>la règlementation</w:t>
      </w:r>
      <w:r w:rsidR="00D37BEE" w:rsidRPr="001D78AE">
        <w:t xml:space="preserve"> communal</w:t>
      </w:r>
      <w:r w:rsidR="008C333D" w:rsidRPr="001D78AE">
        <w:t>e des finances</w:t>
      </w:r>
      <w:r w:rsidR="009D3A44" w:rsidRPr="001D78AE">
        <w:t>,</w:t>
      </w:r>
      <w:r w:rsidR="00345BB8" w:rsidRPr="001D78AE">
        <w:t xml:space="preserve"> </w:t>
      </w:r>
      <w:r w:rsidR="00D37BEE" w:rsidRPr="001D78AE">
        <w:t xml:space="preserve">avec effet </w:t>
      </w:r>
      <w:r w:rsidR="00345BB8" w:rsidRPr="001D78AE">
        <w:t xml:space="preserve">au </w:t>
      </w:r>
      <w:r w:rsidR="009D3A44" w:rsidRPr="001D78AE">
        <w:t>1</w:t>
      </w:r>
      <w:r w:rsidR="009D3A44" w:rsidRPr="001D78AE">
        <w:rPr>
          <w:vertAlign w:val="superscript"/>
        </w:rPr>
        <w:t>er</w:t>
      </w:r>
      <w:r w:rsidR="009D3A44" w:rsidRPr="001D78AE">
        <w:t xml:space="preserve"> </w:t>
      </w:r>
      <w:r w:rsidR="00345BB8" w:rsidRPr="001D78AE">
        <w:t>janvier 202</w:t>
      </w:r>
      <w:r w:rsidR="009D3A44" w:rsidRPr="001D78AE">
        <w:t>1</w:t>
      </w:r>
      <w:r w:rsidR="00345BB8" w:rsidRPr="001D78AE">
        <w:t>.</w:t>
      </w:r>
    </w:p>
    <w:p w:rsidR="00345BB8" w:rsidRDefault="000B6A24" w:rsidP="00345BB8">
      <w:r w:rsidRPr="001D78AE">
        <w:rPr>
          <w:rStyle w:val="Appelnotedebasdep"/>
          <w:position w:val="6"/>
          <w:sz w:val="14"/>
          <w:vertAlign w:val="baseline"/>
        </w:rPr>
        <w:t>2</w:t>
      </w:r>
      <w:r w:rsidRPr="001D78AE">
        <w:rPr>
          <w:position w:val="6"/>
          <w:sz w:val="14"/>
        </w:rPr>
        <w:t xml:space="preserve"> </w:t>
      </w:r>
      <w:r w:rsidR="00345BB8" w:rsidRPr="001D78AE">
        <w:t>Le budget 202</w:t>
      </w:r>
      <w:r w:rsidR="009D3A44" w:rsidRPr="001D78AE">
        <w:t>1</w:t>
      </w:r>
      <w:r w:rsidR="00345BB8" w:rsidRPr="001D78AE">
        <w:t xml:space="preserve"> est le premier budget à être établi en application de ces nouvelles dispositions.</w:t>
      </w:r>
    </w:p>
    <w:p w:rsidR="001E6885" w:rsidRPr="00074E38" w:rsidRDefault="001E6885" w:rsidP="001E6885">
      <w:pPr>
        <w:pStyle w:val="NoArt"/>
      </w:pPr>
      <w:r w:rsidRPr="00074E38">
        <w:rPr>
          <w:b/>
        </w:rPr>
        <w:t>Art. 41</w:t>
      </w:r>
      <w:r w:rsidRPr="00074E38">
        <w:tab/>
        <w:t>Réserves et fonds existants</w:t>
      </w:r>
      <w:r w:rsidR="00074E38">
        <w:t xml:space="preserve"> (art. 78 LFCo)</w:t>
      </w:r>
    </w:p>
    <w:p w:rsidR="00A94B28" w:rsidRPr="00074E38" w:rsidRDefault="001E6885" w:rsidP="001E6885">
      <w:r w:rsidRPr="00074E38">
        <w:rPr>
          <w:rStyle w:val="Appelnotedebasdep"/>
          <w:position w:val="6"/>
          <w:sz w:val="14"/>
        </w:rPr>
        <w:t>1.</w:t>
      </w:r>
      <w:r w:rsidR="00647476" w:rsidRPr="00074E38">
        <w:t xml:space="preserve">Les réserves libres sont dissoutes et </w:t>
      </w:r>
      <w:r w:rsidR="00A94B28" w:rsidRPr="00074E38">
        <w:t>intégrées dans le capital propre au 1</w:t>
      </w:r>
      <w:r w:rsidR="00A94B28" w:rsidRPr="00074E38">
        <w:rPr>
          <w:vertAlign w:val="superscript"/>
        </w:rPr>
        <w:t>er</w:t>
      </w:r>
      <w:r w:rsidR="00A94B28" w:rsidRPr="00074E38">
        <w:t xml:space="preserve"> janvier 2021.</w:t>
      </w:r>
    </w:p>
    <w:p w:rsidR="00A94B28" w:rsidRPr="00074E38" w:rsidRDefault="00A94B28" w:rsidP="00A94B28">
      <w:r w:rsidRPr="00074E38">
        <w:rPr>
          <w:rStyle w:val="Appelnotedebasdep"/>
          <w:position w:val="6"/>
          <w:sz w:val="14"/>
        </w:rPr>
        <w:t>2.</w:t>
      </w:r>
      <w:r w:rsidRPr="00074E38">
        <w:t xml:space="preserve">Une réserve non obligatoire affectée peut être maintenue pour autant que l’objet d’investissement concerné et son financement </w:t>
      </w:r>
      <w:r w:rsidR="00051E96" w:rsidRPr="00074E38">
        <w:t>aie</w:t>
      </w:r>
      <w:r w:rsidRPr="00074E38">
        <w:t>nt été décidés par l’assemblée communale ou le conseil général au plus tard au 31 décembre 2020. La réserve est dissoute</w:t>
      </w:r>
      <w:r w:rsidR="00051E96" w:rsidRPr="00074E38">
        <w:t xml:space="preserve"> linéairement</w:t>
      </w:r>
      <w:r w:rsidRPr="00074E38">
        <w:t xml:space="preserve"> </w:t>
      </w:r>
      <w:r w:rsidR="00C27F51" w:rsidRPr="00074E38">
        <w:t>par tranches annuelles selon la durée de vie de l’objet concerné</w:t>
      </w:r>
      <w:r w:rsidR="004811A4" w:rsidRPr="00074E38">
        <w:t>.</w:t>
      </w:r>
    </w:p>
    <w:p w:rsidR="004811A4" w:rsidRPr="004811A4" w:rsidRDefault="004811A4" w:rsidP="004811A4">
      <w:r w:rsidRPr="00074E38">
        <w:rPr>
          <w:rStyle w:val="Appelnotedebasdep"/>
          <w:position w:val="6"/>
          <w:sz w:val="14"/>
        </w:rPr>
        <w:t>3.</w:t>
      </w:r>
      <w:r w:rsidRPr="00074E38">
        <w:t xml:space="preserve">Les fonds dépendants </w:t>
      </w:r>
      <w:r w:rsidR="00216F52" w:rsidRPr="00074E38">
        <w:t xml:space="preserve">sont maintenus dès lors que l’affectation </w:t>
      </w:r>
      <w:r w:rsidR="009F6D1E" w:rsidRPr="00074E38">
        <w:t>prévue est respectée. A défaut, le fonds est dissous et le montant</w:t>
      </w:r>
      <w:r w:rsidR="00216F52" w:rsidRPr="00074E38">
        <w:t xml:space="preserve"> </w:t>
      </w:r>
      <w:r w:rsidR="009F6D1E" w:rsidRPr="00074E38">
        <w:t>est intégré au capital propre au 1</w:t>
      </w:r>
      <w:r w:rsidR="009F6D1E" w:rsidRPr="00074E38">
        <w:rPr>
          <w:vertAlign w:val="superscript"/>
        </w:rPr>
        <w:t>er</w:t>
      </w:r>
      <w:r w:rsidR="009F6D1E" w:rsidRPr="00074E38">
        <w:t xml:space="preserve"> janvier 2021.</w:t>
      </w:r>
    </w:p>
    <w:p w:rsidR="00F73F12" w:rsidRPr="001D78AE" w:rsidRDefault="00F73F12" w:rsidP="00F73F12">
      <w:pPr>
        <w:pStyle w:val="NoArt"/>
      </w:pPr>
      <w:bookmarkStart w:id="75" w:name="_Toc522697310"/>
      <w:r w:rsidRPr="001D78AE">
        <w:rPr>
          <w:b/>
        </w:rPr>
        <w:t xml:space="preserve">Art. </w:t>
      </w:r>
      <w:r w:rsidR="005A6ABA" w:rsidRPr="001D78AE">
        <w:rPr>
          <w:b/>
        </w:rPr>
        <w:t>4</w:t>
      </w:r>
      <w:r w:rsidR="00CB07C3">
        <w:rPr>
          <w:b/>
        </w:rPr>
        <w:t>2</w:t>
      </w:r>
      <w:r w:rsidR="005D6677" w:rsidRPr="001D78AE">
        <w:tab/>
        <w:t xml:space="preserve">Réévaluation du patrimoine financier </w:t>
      </w:r>
      <w:r w:rsidR="007A3993" w:rsidRPr="001D78AE">
        <w:t>(art. 79 LFCo)</w:t>
      </w:r>
      <w:bookmarkEnd w:id="75"/>
    </w:p>
    <w:p w:rsidR="00451BF9" w:rsidRPr="001D78AE" w:rsidRDefault="000B6A24" w:rsidP="00451BF9">
      <w:r w:rsidRPr="001D78AE">
        <w:rPr>
          <w:rStyle w:val="Appelnotedebasdep"/>
          <w:position w:val="6"/>
          <w:sz w:val="14"/>
          <w:vertAlign w:val="baseline"/>
        </w:rPr>
        <w:t>1</w:t>
      </w:r>
      <w:r w:rsidRPr="001D78AE">
        <w:rPr>
          <w:position w:val="6"/>
          <w:sz w:val="14"/>
        </w:rPr>
        <w:t xml:space="preserve"> </w:t>
      </w:r>
      <w:r w:rsidR="00451BF9" w:rsidRPr="001D78AE">
        <w:t xml:space="preserve">Les terrains, immeubles et placements incorporels inventoriés comme patrimoine financier sont inscrits au bilan à leur valeur </w:t>
      </w:r>
      <w:r w:rsidR="00C259E9" w:rsidRPr="001D78AE">
        <w:t>vénale</w:t>
      </w:r>
      <w:r w:rsidR="00451BF9" w:rsidRPr="001D78AE">
        <w:t>.</w:t>
      </w:r>
    </w:p>
    <w:p w:rsidR="00C259E9" w:rsidRPr="001D78AE" w:rsidRDefault="000B6A24" w:rsidP="00C259E9">
      <w:r w:rsidRPr="001D78AE">
        <w:rPr>
          <w:rStyle w:val="Appelnotedebasdep"/>
          <w:position w:val="6"/>
          <w:sz w:val="14"/>
          <w:vertAlign w:val="baseline"/>
        </w:rPr>
        <w:lastRenderedPageBreak/>
        <w:t>2</w:t>
      </w:r>
      <w:r w:rsidRPr="001D78AE">
        <w:rPr>
          <w:position w:val="6"/>
          <w:sz w:val="14"/>
        </w:rPr>
        <w:t xml:space="preserve"> </w:t>
      </w:r>
      <w:r w:rsidR="00C259E9" w:rsidRPr="001D78AE">
        <w:t xml:space="preserve">Les plus-values et les moins-values constatées </w:t>
      </w:r>
      <w:r w:rsidR="00885381" w:rsidRPr="001D78AE">
        <w:t xml:space="preserve">au cours de la première année de mise en œuvre </w:t>
      </w:r>
      <w:r w:rsidR="00C259E9" w:rsidRPr="001D78AE">
        <w:t xml:space="preserve">de la législation sur les finances communales sont comptabilisées dans la réserve de réévaluation créée à cet effet et n’ont pas d’incidence sur </w:t>
      </w:r>
      <w:r w:rsidR="00142C15" w:rsidRPr="001D78AE">
        <w:t>le compte de résultats.</w:t>
      </w:r>
    </w:p>
    <w:p w:rsidR="00626CCD" w:rsidRPr="001D78AE" w:rsidRDefault="000B6A24" w:rsidP="00626CCD">
      <w:r w:rsidRPr="001D78AE">
        <w:rPr>
          <w:rStyle w:val="Appelnotedebasdep"/>
          <w:position w:val="6"/>
          <w:sz w:val="14"/>
          <w:vertAlign w:val="baseline"/>
        </w:rPr>
        <w:t>3</w:t>
      </w:r>
      <w:r w:rsidRPr="001D78AE">
        <w:rPr>
          <w:position w:val="6"/>
          <w:sz w:val="14"/>
        </w:rPr>
        <w:t xml:space="preserve"> </w:t>
      </w:r>
      <w:r w:rsidR="00626CCD" w:rsidRPr="001D78AE">
        <w:t xml:space="preserve">La réserve de réévaluation est dissoute au 31 décembre </w:t>
      </w:r>
      <w:r w:rsidR="00051E96">
        <w:t>2021</w:t>
      </w:r>
      <w:r w:rsidR="00626CCD" w:rsidRPr="001D78AE">
        <w:t>.</w:t>
      </w:r>
    </w:p>
    <w:p w:rsidR="00F73F12" w:rsidRPr="001D78AE" w:rsidRDefault="00F73F12" w:rsidP="00F73F12">
      <w:pPr>
        <w:pStyle w:val="NoArt"/>
      </w:pPr>
      <w:bookmarkStart w:id="76" w:name="_Toc522697311"/>
      <w:r w:rsidRPr="001D78AE">
        <w:rPr>
          <w:b/>
        </w:rPr>
        <w:t xml:space="preserve">Art. </w:t>
      </w:r>
      <w:r w:rsidR="005A6ABA" w:rsidRPr="001D78AE">
        <w:rPr>
          <w:b/>
        </w:rPr>
        <w:t>4</w:t>
      </w:r>
      <w:r w:rsidR="00CB07C3">
        <w:rPr>
          <w:b/>
        </w:rPr>
        <w:t>3</w:t>
      </w:r>
      <w:r w:rsidR="005D6677" w:rsidRPr="001D78AE">
        <w:tab/>
        <w:t xml:space="preserve">Réévaluation du patrimoine administratif </w:t>
      </w:r>
      <w:r w:rsidR="007A3993" w:rsidRPr="001D78AE">
        <w:t>(art. 80 LFCo)</w:t>
      </w:r>
      <w:bookmarkEnd w:id="76"/>
    </w:p>
    <w:p w:rsidR="00D169CC" w:rsidRPr="001D78AE" w:rsidRDefault="000B6A24" w:rsidP="00D169CC">
      <w:r w:rsidRPr="001D78AE">
        <w:rPr>
          <w:rStyle w:val="Appelnotedebasdep"/>
          <w:position w:val="6"/>
          <w:sz w:val="14"/>
          <w:vertAlign w:val="baseline"/>
        </w:rPr>
        <w:t>1</w:t>
      </w:r>
      <w:r w:rsidRPr="001D78AE">
        <w:rPr>
          <w:position w:val="6"/>
          <w:sz w:val="14"/>
        </w:rPr>
        <w:t xml:space="preserve"> </w:t>
      </w:r>
      <w:r w:rsidR="00D169CC" w:rsidRPr="001D78AE">
        <w:t xml:space="preserve">Les biens corporels et incorporels inventoriés comme patrimoine administratif sont inscrits au bilan à leur valeur </w:t>
      </w:r>
      <w:r w:rsidR="009D055B" w:rsidRPr="001D78AE">
        <w:t xml:space="preserve">initiale </w:t>
      </w:r>
      <w:r w:rsidR="00D169CC" w:rsidRPr="001D78AE">
        <w:t xml:space="preserve">d’acquisition ou de construction, sous déduction des amortissements </w:t>
      </w:r>
      <w:r w:rsidR="009D055B" w:rsidRPr="001D78AE">
        <w:t>correspondant à leur durée d’utilisation</w:t>
      </w:r>
      <w:r w:rsidR="008A689D" w:rsidRPr="001D78AE">
        <w:t xml:space="preserve"> </w:t>
      </w:r>
      <w:r w:rsidR="009D055B" w:rsidRPr="001D78AE">
        <w:t>fixés à l’annexe de la présente ordonnance.</w:t>
      </w:r>
    </w:p>
    <w:p w:rsidR="004D5054" w:rsidRPr="001D78AE" w:rsidRDefault="000B6A24" w:rsidP="004D5054">
      <w:r w:rsidRPr="001D78AE">
        <w:rPr>
          <w:rStyle w:val="Appelnotedebasdep"/>
          <w:position w:val="6"/>
          <w:sz w:val="14"/>
          <w:vertAlign w:val="baseline"/>
        </w:rPr>
        <w:t>2</w:t>
      </w:r>
      <w:r w:rsidRPr="001D78AE">
        <w:rPr>
          <w:position w:val="6"/>
          <w:sz w:val="14"/>
        </w:rPr>
        <w:t xml:space="preserve"> </w:t>
      </w:r>
      <w:r w:rsidR="0090468F" w:rsidRPr="001D78AE">
        <w:t>La période</w:t>
      </w:r>
      <w:r w:rsidR="004D5054" w:rsidRPr="001D78AE">
        <w:t xml:space="preserve"> </w:t>
      </w:r>
      <w:r w:rsidR="0090468F" w:rsidRPr="001D78AE">
        <w:t xml:space="preserve">à prendre en compte pour la recherche historique d’acquisition ou de construction des biens ne doit pas excéder </w:t>
      </w:r>
      <w:r w:rsidR="004D5054" w:rsidRPr="001D78AE">
        <w:t>20 ans</w:t>
      </w:r>
      <w:r w:rsidR="0090468F" w:rsidRPr="001D78AE">
        <w:t>.</w:t>
      </w:r>
    </w:p>
    <w:p w:rsidR="004D5054" w:rsidRPr="001D78AE" w:rsidRDefault="000B6A24" w:rsidP="004D5054">
      <w:r w:rsidRPr="001D78AE">
        <w:rPr>
          <w:rStyle w:val="Appelnotedebasdep"/>
          <w:position w:val="6"/>
          <w:sz w:val="14"/>
          <w:vertAlign w:val="baseline"/>
        </w:rPr>
        <w:t>3</w:t>
      </w:r>
      <w:r w:rsidRPr="001D78AE">
        <w:rPr>
          <w:position w:val="6"/>
          <w:sz w:val="14"/>
        </w:rPr>
        <w:t xml:space="preserve"> </w:t>
      </w:r>
      <w:r w:rsidR="0090468F" w:rsidRPr="001D78AE">
        <w:t xml:space="preserve">Exceptionnellement et en dérogation à l’alinéa 2, en cas de motifs valables justifiant </w:t>
      </w:r>
      <w:r w:rsidR="00F55961" w:rsidRPr="001D78AE">
        <w:t>l’extension</w:t>
      </w:r>
      <w:r w:rsidR="0090468F" w:rsidRPr="001D78AE">
        <w:t xml:space="preserve"> de cette période, le Service prend position sur la requête de la commune et, le cas échéant, décide.</w:t>
      </w:r>
    </w:p>
    <w:p w:rsidR="004D5054" w:rsidRPr="001D78AE" w:rsidRDefault="004D5054" w:rsidP="004D5054">
      <w:pPr>
        <w:pStyle w:val="NoArt"/>
      </w:pPr>
      <w:bookmarkStart w:id="77" w:name="_Toc522697312"/>
      <w:r w:rsidRPr="001D78AE">
        <w:rPr>
          <w:b/>
        </w:rPr>
        <w:t xml:space="preserve">Art. </w:t>
      </w:r>
      <w:r w:rsidR="005A6ABA" w:rsidRPr="001D78AE">
        <w:rPr>
          <w:b/>
        </w:rPr>
        <w:t>4</w:t>
      </w:r>
      <w:r w:rsidR="00CB07C3">
        <w:rPr>
          <w:b/>
        </w:rPr>
        <w:t>4</w:t>
      </w:r>
      <w:r w:rsidRPr="001D78AE">
        <w:tab/>
        <w:t>Dissolution de la réserve de réévaluation</w:t>
      </w:r>
      <w:r w:rsidR="00623C07" w:rsidRPr="001D78AE">
        <w:t xml:space="preserve"> </w:t>
      </w:r>
      <w:r w:rsidR="00241704" w:rsidRPr="001D78AE">
        <w:t>du patrimoine administratif</w:t>
      </w:r>
      <w:bookmarkEnd w:id="77"/>
    </w:p>
    <w:p w:rsidR="00457CAF" w:rsidRPr="001D78AE" w:rsidRDefault="000B6A24" w:rsidP="009D055B">
      <w:r w:rsidRPr="001D78AE">
        <w:rPr>
          <w:rStyle w:val="Appelnotedebasdep"/>
          <w:position w:val="6"/>
          <w:sz w:val="14"/>
          <w:vertAlign w:val="baseline"/>
        </w:rPr>
        <w:t>1</w:t>
      </w:r>
      <w:r w:rsidRPr="001D78AE">
        <w:rPr>
          <w:position w:val="6"/>
          <w:sz w:val="14"/>
        </w:rPr>
        <w:t xml:space="preserve"> </w:t>
      </w:r>
      <w:r w:rsidR="009D055B" w:rsidRPr="001D78AE">
        <w:t>Les plus-values et les moins-values constatées la première année de mise en œuvre de la législation sur les finances communales sont comptabilisées dans la réserve de réévaluation créée à cet effet et n’ont pas d’incidence sur le compte de résultats.</w:t>
      </w:r>
    </w:p>
    <w:p w:rsidR="00457CAF" w:rsidRPr="001D78AE" w:rsidRDefault="000B6A24" w:rsidP="00457CAF">
      <w:r w:rsidRPr="001D78AE">
        <w:rPr>
          <w:rStyle w:val="Appelnotedebasdep"/>
          <w:position w:val="6"/>
          <w:sz w:val="14"/>
          <w:vertAlign w:val="baseline"/>
        </w:rPr>
        <w:t>2</w:t>
      </w:r>
      <w:r w:rsidRPr="001D78AE">
        <w:rPr>
          <w:position w:val="6"/>
          <w:sz w:val="14"/>
        </w:rPr>
        <w:t xml:space="preserve"> </w:t>
      </w:r>
      <w:r w:rsidR="00457CAF" w:rsidRPr="001D78AE">
        <w:t xml:space="preserve">La réserve de réévaluation est dissoute </w:t>
      </w:r>
      <w:r w:rsidR="00F97219" w:rsidRPr="001D78AE">
        <w:t>au maximum dans les dix ans.</w:t>
      </w:r>
    </w:p>
    <w:p w:rsidR="00D169CC" w:rsidRPr="001D78AE" w:rsidRDefault="000B6A24" w:rsidP="00D169CC">
      <w:r w:rsidRPr="001D78AE">
        <w:rPr>
          <w:rStyle w:val="Appelnotedebasdep"/>
          <w:position w:val="6"/>
          <w:sz w:val="14"/>
          <w:vertAlign w:val="baseline"/>
        </w:rPr>
        <w:t>3</w:t>
      </w:r>
      <w:r w:rsidRPr="001D78AE">
        <w:rPr>
          <w:position w:val="6"/>
          <w:sz w:val="14"/>
        </w:rPr>
        <w:t xml:space="preserve"> </w:t>
      </w:r>
      <w:r w:rsidR="00F97219" w:rsidRPr="001D78AE">
        <w:t>Exceptionne</w:t>
      </w:r>
      <w:r w:rsidR="003E3CFB" w:rsidRPr="001D78AE">
        <w:t>llement et</w:t>
      </w:r>
      <w:r w:rsidR="00F97219" w:rsidRPr="001D78AE">
        <w:t xml:space="preserve"> en dérogation à l’alinéa </w:t>
      </w:r>
      <w:r w:rsidR="00020667" w:rsidRPr="001D78AE">
        <w:t>2</w:t>
      </w:r>
      <w:r w:rsidR="00F97219" w:rsidRPr="001D78AE">
        <w:t>, en cas de motifs valables justifiant la prolongation de cette réserve, le Service prend position sur la requête de la commune et, le cas échéant, décide.</w:t>
      </w:r>
    </w:p>
    <w:p w:rsidR="00B72223" w:rsidRPr="001D78AE" w:rsidRDefault="00B72223" w:rsidP="00F73F12">
      <w:pPr>
        <w:pStyle w:val="Titre1"/>
      </w:pPr>
      <w:bookmarkStart w:id="78" w:name="_Toc522697313"/>
      <w:r w:rsidRPr="001D78AE">
        <w:t>C</w:t>
      </w:r>
      <w:r w:rsidR="00F73F12" w:rsidRPr="001D78AE">
        <w:t xml:space="preserve">HAPITRE </w:t>
      </w:r>
      <w:r w:rsidR="00020667" w:rsidRPr="001D78AE">
        <w:t>10</w:t>
      </w:r>
      <w:r w:rsidR="00F73F12" w:rsidRPr="001D78AE">
        <w:br/>
      </w:r>
      <w:r w:rsidRPr="001D78AE">
        <w:t>Droit modifié et dispositions finales</w:t>
      </w:r>
      <w:bookmarkEnd w:id="78"/>
    </w:p>
    <w:p w:rsidR="00965334" w:rsidRPr="001D78AE" w:rsidRDefault="00965334" w:rsidP="00D93423">
      <w:pPr>
        <w:pStyle w:val="NoArt"/>
      </w:pPr>
      <w:bookmarkStart w:id="79" w:name="_Toc379958542"/>
      <w:bookmarkStart w:id="80" w:name="_Toc522697314"/>
      <w:r w:rsidRPr="001D78AE">
        <w:rPr>
          <w:b/>
        </w:rPr>
        <w:t>Art.</w:t>
      </w:r>
      <w:r w:rsidR="00150256" w:rsidRPr="001D78AE">
        <w:rPr>
          <w:b/>
        </w:rPr>
        <w:t xml:space="preserve"> 4</w:t>
      </w:r>
      <w:r w:rsidR="00CB07C3">
        <w:rPr>
          <w:b/>
        </w:rPr>
        <w:t>5</w:t>
      </w:r>
      <w:r w:rsidR="007061E8" w:rsidRPr="001D78AE">
        <w:rPr>
          <w:b/>
        </w:rPr>
        <w:tab/>
      </w:r>
      <w:r w:rsidR="00F73F12" w:rsidRPr="001D78AE">
        <w:t>Communes</w:t>
      </w:r>
      <w:bookmarkEnd w:id="79"/>
      <w:r w:rsidR="007A3993" w:rsidRPr="001D78AE">
        <w:t xml:space="preserve"> (art. 81 LFCo)</w:t>
      </w:r>
      <w:bookmarkEnd w:id="80"/>
    </w:p>
    <w:p w:rsidR="007061E8" w:rsidRPr="001D78AE" w:rsidRDefault="00264379" w:rsidP="00F73F12">
      <w:r w:rsidRPr="001D78AE">
        <w:rPr>
          <w:rStyle w:val="Appelnotedebasdep"/>
          <w:position w:val="6"/>
          <w:sz w:val="14"/>
          <w:vertAlign w:val="baseline"/>
        </w:rPr>
        <w:t>1</w:t>
      </w:r>
      <w:r w:rsidRPr="001D78AE">
        <w:rPr>
          <w:position w:val="6"/>
          <w:sz w:val="14"/>
        </w:rPr>
        <w:t xml:space="preserve"> </w:t>
      </w:r>
      <w:r w:rsidR="00F73F12" w:rsidRPr="001D78AE">
        <w:t>Le règlement d</w:t>
      </w:r>
      <w:r w:rsidR="007061E8" w:rsidRPr="001D78AE">
        <w:t>’</w:t>
      </w:r>
      <w:r w:rsidR="00F73F12" w:rsidRPr="001D78AE">
        <w:t xml:space="preserve">exécution de la loi sur les communes </w:t>
      </w:r>
      <w:r w:rsidRPr="001D78AE">
        <w:t xml:space="preserve">du 28 décembre 1981 </w:t>
      </w:r>
      <w:r w:rsidR="00F73F12" w:rsidRPr="001D78AE">
        <w:t>(RSF 140.11) est modifié comme il suit</w:t>
      </w:r>
      <w:r w:rsidR="007061E8" w:rsidRPr="001D78AE">
        <w:t> :</w:t>
      </w:r>
    </w:p>
    <w:p w:rsidR="003863C0" w:rsidRPr="001D78AE" w:rsidRDefault="003863C0" w:rsidP="003863C0">
      <w:pPr>
        <w:pStyle w:val="NoArt"/>
        <w:ind w:left="1531"/>
        <w:rPr>
          <w:b/>
          <w:i/>
        </w:rPr>
      </w:pPr>
      <w:bookmarkStart w:id="81" w:name="_Toc522697315"/>
      <w:r w:rsidRPr="001D78AE">
        <w:rPr>
          <w:b/>
          <w:i/>
        </w:rPr>
        <w:t>Art. 5</w:t>
      </w:r>
      <w:bookmarkEnd w:id="81"/>
    </w:p>
    <w:p w:rsidR="003863C0" w:rsidRPr="001D78AE" w:rsidRDefault="003863C0" w:rsidP="007A3993">
      <w:pPr>
        <w:ind w:left="567"/>
        <w:rPr>
          <w:i/>
        </w:rPr>
      </w:pPr>
      <w:r w:rsidRPr="001D78AE">
        <w:rPr>
          <w:i/>
        </w:rPr>
        <w:t>Abrogé</w:t>
      </w:r>
    </w:p>
    <w:p w:rsidR="003863C0" w:rsidRPr="001D78AE" w:rsidRDefault="003863C0" w:rsidP="003863C0">
      <w:pPr>
        <w:pStyle w:val="NoArt"/>
        <w:ind w:left="1531"/>
        <w:rPr>
          <w:b/>
          <w:i/>
        </w:rPr>
      </w:pPr>
      <w:bookmarkStart w:id="82" w:name="_Toc522697316"/>
      <w:r w:rsidRPr="001D78AE">
        <w:rPr>
          <w:b/>
          <w:i/>
        </w:rPr>
        <w:t>Art.</w:t>
      </w:r>
      <w:r w:rsidR="0075773E" w:rsidRPr="001D78AE">
        <w:rPr>
          <w:b/>
          <w:i/>
        </w:rPr>
        <w:t xml:space="preserve"> </w:t>
      </w:r>
      <w:r w:rsidR="006965F3" w:rsidRPr="001D78AE">
        <w:rPr>
          <w:b/>
          <w:i/>
        </w:rPr>
        <w:t>23</w:t>
      </w:r>
      <w:bookmarkEnd w:id="82"/>
    </w:p>
    <w:p w:rsidR="006965F3" w:rsidRPr="001D78AE" w:rsidRDefault="006965F3" w:rsidP="007A3993">
      <w:pPr>
        <w:ind w:left="567"/>
        <w:rPr>
          <w:i/>
        </w:rPr>
      </w:pPr>
      <w:r w:rsidRPr="001D78AE">
        <w:rPr>
          <w:i/>
        </w:rPr>
        <w:t>Abrogé</w:t>
      </w:r>
    </w:p>
    <w:p w:rsidR="003863C0" w:rsidRPr="001D78AE" w:rsidRDefault="003863C0" w:rsidP="003863C0">
      <w:pPr>
        <w:pStyle w:val="NoArt"/>
        <w:ind w:left="1531"/>
        <w:rPr>
          <w:b/>
          <w:i/>
        </w:rPr>
      </w:pPr>
      <w:bookmarkStart w:id="83" w:name="_Toc522697317"/>
      <w:r w:rsidRPr="001D78AE">
        <w:rPr>
          <w:b/>
          <w:i/>
        </w:rPr>
        <w:lastRenderedPageBreak/>
        <w:t>Art.</w:t>
      </w:r>
      <w:r w:rsidR="006965F3" w:rsidRPr="001D78AE">
        <w:rPr>
          <w:b/>
          <w:i/>
        </w:rPr>
        <w:t xml:space="preserve"> 24a</w:t>
      </w:r>
      <w:r w:rsidR="008671A0" w:rsidRPr="001D78AE">
        <w:rPr>
          <w:b/>
          <w:i/>
        </w:rPr>
        <w:t xml:space="preserve"> phr. </w:t>
      </w:r>
      <w:proofErr w:type="spellStart"/>
      <w:r w:rsidR="008671A0" w:rsidRPr="001D78AE">
        <w:rPr>
          <w:b/>
          <w:i/>
        </w:rPr>
        <w:t>intr</w:t>
      </w:r>
      <w:proofErr w:type="spellEnd"/>
      <w:r w:rsidR="008671A0" w:rsidRPr="001D78AE">
        <w:rPr>
          <w:b/>
          <w:i/>
        </w:rPr>
        <w:t>. et</w:t>
      </w:r>
      <w:r w:rsidR="006965F3" w:rsidRPr="001D78AE">
        <w:rPr>
          <w:b/>
          <w:i/>
        </w:rPr>
        <w:t xml:space="preserve"> let. h à j</w:t>
      </w:r>
      <w:bookmarkEnd w:id="83"/>
    </w:p>
    <w:p w:rsidR="008671A0" w:rsidRPr="001D78AE" w:rsidRDefault="00264379" w:rsidP="008671A0">
      <w:pPr>
        <w:ind w:left="567"/>
      </w:pPr>
      <w:r w:rsidRPr="001D78AE">
        <w:rPr>
          <w:rStyle w:val="Appelnotedebasdep"/>
          <w:position w:val="6"/>
          <w:sz w:val="14"/>
          <w:vertAlign w:val="baseline"/>
        </w:rPr>
        <w:t>1</w:t>
      </w:r>
      <w:r w:rsidRPr="001D78AE">
        <w:rPr>
          <w:position w:val="6"/>
          <w:sz w:val="14"/>
        </w:rPr>
        <w:t xml:space="preserve"> </w:t>
      </w:r>
      <w:r w:rsidR="008671A0" w:rsidRPr="001D78AE">
        <w:t xml:space="preserve">Le règlement d’organisation régit au moins les questions suivantes, en accord avec la législation sur les finances communales et la loi </w:t>
      </w:r>
      <w:r w:rsidR="00E965F3" w:rsidRPr="001D78AE">
        <w:t>sur la protection des données :</w:t>
      </w:r>
    </w:p>
    <w:p w:rsidR="00E443D2" w:rsidRPr="001D78AE" w:rsidRDefault="008671A0" w:rsidP="006F3054">
      <w:pPr>
        <w:tabs>
          <w:tab w:val="left" w:pos="993"/>
        </w:tabs>
        <w:ind w:left="567"/>
        <w:rPr>
          <w:lang w:val="en-US"/>
        </w:rPr>
      </w:pPr>
      <w:r w:rsidRPr="001D78AE">
        <w:rPr>
          <w:lang w:val="en-US"/>
        </w:rPr>
        <w:t>h)</w:t>
      </w:r>
      <w:r w:rsidR="00E443D2" w:rsidRPr="001D78AE">
        <w:rPr>
          <w:lang w:val="en-US"/>
        </w:rPr>
        <w:tab/>
      </w:r>
      <w:proofErr w:type="spellStart"/>
      <w:r w:rsidR="00E443D2" w:rsidRPr="001D78AE">
        <w:rPr>
          <w:i/>
          <w:lang w:val="en-US"/>
        </w:rPr>
        <w:t>abrogée</w:t>
      </w:r>
      <w:proofErr w:type="spellEnd"/>
    </w:p>
    <w:p w:rsidR="00E443D2" w:rsidRPr="001D78AE" w:rsidRDefault="00E443D2" w:rsidP="006F3054">
      <w:pPr>
        <w:tabs>
          <w:tab w:val="left" w:pos="993"/>
        </w:tabs>
        <w:ind w:left="567"/>
        <w:rPr>
          <w:lang w:val="en-US"/>
        </w:rPr>
      </w:pPr>
      <w:proofErr w:type="spellStart"/>
      <w:r w:rsidRPr="001D78AE">
        <w:rPr>
          <w:lang w:val="en-US"/>
        </w:rPr>
        <w:t>i</w:t>
      </w:r>
      <w:proofErr w:type="spellEnd"/>
      <w:r w:rsidRPr="001D78AE">
        <w:rPr>
          <w:lang w:val="en-US"/>
        </w:rPr>
        <w:t>)</w:t>
      </w:r>
      <w:r w:rsidRPr="001D78AE">
        <w:rPr>
          <w:lang w:val="en-US"/>
        </w:rPr>
        <w:tab/>
      </w:r>
      <w:proofErr w:type="spellStart"/>
      <w:r w:rsidRPr="001D78AE">
        <w:rPr>
          <w:i/>
          <w:lang w:val="en-US"/>
        </w:rPr>
        <w:t>abrogée</w:t>
      </w:r>
      <w:proofErr w:type="spellEnd"/>
    </w:p>
    <w:p w:rsidR="008671A0" w:rsidRPr="001D78AE" w:rsidRDefault="008671A0" w:rsidP="006F3054">
      <w:pPr>
        <w:tabs>
          <w:tab w:val="left" w:pos="993"/>
        </w:tabs>
        <w:ind w:left="567"/>
        <w:rPr>
          <w:lang w:val="en-US"/>
        </w:rPr>
      </w:pPr>
      <w:r w:rsidRPr="001D78AE">
        <w:rPr>
          <w:lang w:val="en-US"/>
        </w:rPr>
        <w:t>j)</w:t>
      </w:r>
      <w:r w:rsidRPr="001D78AE">
        <w:rPr>
          <w:lang w:val="en-US"/>
        </w:rPr>
        <w:tab/>
      </w:r>
      <w:proofErr w:type="spellStart"/>
      <w:r w:rsidR="00E443D2" w:rsidRPr="001D78AE">
        <w:rPr>
          <w:i/>
          <w:lang w:val="en-US"/>
        </w:rPr>
        <w:t>a</w:t>
      </w:r>
      <w:r w:rsidRPr="001D78AE">
        <w:rPr>
          <w:i/>
          <w:lang w:val="en-US"/>
        </w:rPr>
        <w:t>brogée</w:t>
      </w:r>
      <w:proofErr w:type="spellEnd"/>
    </w:p>
    <w:p w:rsidR="000369F4" w:rsidRDefault="000369F4" w:rsidP="003863C0">
      <w:pPr>
        <w:pStyle w:val="NoArt"/>
        <w:ind w:left="1531"/>
        <w:rPr>
          <w:b/>
          <w:i/>
        </w:rPr>
      </w:pPr>
      <w:bookmarkStart w:id="84" w:name="_Toc522697318"/>
      <w:r w:rsidRPr="000369F4">
        <w:rPr>
          <w:b/>
          <w:i/>
        </w:rPr>
        <w:t>Art. 35</w:t>
      </w:r>
    </w:p>
    <w:p w:rsidR="000369F4" w:rsidRPr="00706AF8" w:rsidRDefault="000369F4" w:rsidP="000369F4">
      <w:pPr>
        <w:ind w:left="567"/>
        <w:rPr>
          <w:i/>
        </w:rPr>
      </w:pPr>
      <w:r w:rsidRPr="00706AF8">
        <w:rPr>
          <w:i/>
        </w:rPr>
        <w:t>Abrogé</w:t>
      </w:r>
    </w:p>
    <w:p w:rsidR="00360E4F" w:rsidRPr="001D78AE" w:rsidRDefault="003863C0" w:rsidP="003863C0">
      <w:pPr>
        <w:pStyle w:val="NoArt"/>
        <w:ind w:left="1531"/>
      </w:pPr>
      <w:r w:rsidRPr="001D78AE">
        <w:rPr>
          <w:b/>
          <w:i/>
        </w:rPr>
        <w:t xml:space="preserve">Art. </w:t>
      </w:r>
      <w:r w:rsidR="00360E4F" w:rsidRPr="001D78AE">
        <w:rPr>
          <w:b/>
          <w:i/>
        </w:rPr>
        <w:t>35</w:t>
      </w:r>
      <w:r w:rsidR="000369F4">
        <w:rPr>
          <w:b/>
          <w:i/>
        </w:rPr>
        <w:t>a</w:t>
      </w:r>
      <w:r w:rsidR="00360E4F" w:rsidRPr="001D78AE">
        <w:rPr>
          <w:b/>
          <w:i/>
        </w:rPr>
        <w:tab/>
      </w:r>
      <w:r w:rsidR="000369F4" w:rsidRPr="000369F4">
        <w:t>Entrée en fonction</w:t>
      </w:r>
      <w:r w:rsidR="000369F4">
        <w:t xml:space="preserve"> (art. 77 LCo) – A</w:t>
      </w:r>
      <w:r w:rsidR="00360E4F" w:rsidRPr="001D78AE">
        <w:t>dministrat</w:t>
      </w:r>
      <w:r w:rsidR="005D6616">
        <w:t xml:space="preserve">ion </w:t>
      </w:r>
      <w:r w:rsidR="00360E4F" w:rsidRPr="001D78AE">
        <w:t>des finances</w:t>
      </w:r>
      <w:bookmarkEnd w:id="84"/>
    </w:p>
    <w:p w:rsidR="000369F4" w:rsidRPr="000369F4" w:rsidRDefault="00264379" w:rsidP="000369F4">
      <w:pPr>
        <w:ind w:left="567"/>
      </w:pPr>
      <w:r w:rsidRPr="001D78AE">
        <w:rPr>
          <w:rStyle w:val="Appelnotedebasdep"/>
          <w:position w:val="6"/>
          <w:sz w:val="14"/>
          <w:vertAlign w:val="baseline"/>
        </w:rPr>
        <w:t>1</w:t>
      </w:r>
      <w:r w:rsidRPr="001D78AE">
        <w:rPr>
          <w:position w:val="6"/>
          <w:sz w:val="14"/>
        </w:rPr>
        <w:t xml:space="preserve"> </w:t>
      </w:r>
      <w:r w:rsidR="00360E4F" w:rsidRPr="001D78AE">
        <w:t>L</w:t>
      </w:r>
      <w:r w:rsidR="000369F4">
        <w:t>’entrée en fonction de l’administrateur des finances ou de l’administratrice des finances est régie</w:t>
      </w:r>
      <w:r w:rsidR="00360E4F" w:rsidRPr="001D78AE">
        <w:t xml:space="preserve"> par la législation sur les finances communales.</w:t>
      </w:r>
    </w:p>
    <w:p w:rsidR="007B4282" w:rsidRPr="001D78AE" w:rsidRDefault="00360E4F" w:rsidP="003863C0">
      <w:pPr>
        <w:pStyle w:val="NoArt"/>
        <w:ind w:left="1531"/>
        <w:rPr>
          <w:b/>
          <w:i/>
        </w:rPr>
      </w:pPr>
      <w:bookmarkStart w:id="85" w:name="_Toc522697319"/>
      <w:r w:rsidRPr="001D78AE">
        <w:rPr>
          <w:b/>
          <w:i/>
        </w:rPr>
        <w:t>Art.</w:t>
      </w:r>
      <w:r w:rsidR="007B4282" w:rsidRPr="001D78AE">
        <w:rPr>
          <w:b/>
          <w:i/>
        </w:rPr>
        <w:t xml:space="preserve"> 36</w:t>
      </w:r>
      <w:bookmarkEnd w:id="85"/>
    </w:p>
    <w:p w:rsidR="007B4282" w:rsidRPr="001D78AE" w:rsidRDefault="007B4282" w:rsidP="007B4282">
      <w:pPr>
        <w:ind w:left="567"/>
        <w:rPr>
          <w:i/>
        </w:rPr>
      </w:pPr>
      <w:r w:rsidRPr="001D78AE">
        <w:rPr>
          <w:i/>
        </w:rPr>
        <w:t>A</w:t>
      </w:r>
      <w:r w:rsidR="00360E4F" w:rsidRPr="001D78AE">
        <w:rPr>
          <w:i/>
        </w:rPr>
        <w:t>brogé</w:t>
      </w:r>
    </w:p>
    <w:p w:rsidR="004D67A1" w:rsidRPr="001D78AE" w:rsidRDefault="004D67A1" w:rsidP="004D67A1">
      <w:pPr>
        <w:pStyle w:val="NoArt"/>
        <w:ind w:left="1531"/>
        <w:rPr>
          <w:b/>
          <w:i/>
        </w:rPr>
      </w:pPr>
      <w:bookmarkStart w:id="86" w:name="_Toc522697320"/>
      <w:r w:rsidRPr="001D78AE">
        <w:rPr>
          <w:b/>
          <w:i/>
        </w:rPr>
        <w:t xml:space="preserve">Art. </w:t>
      </w:r>
      <w:r w:rsidR="00115471" w:rsidRPr="001D78AE">
        <w:rPr>
          <w:b/>
          <w:i/>
        </w:rPr>
        <w:t>37</w:t>
      </w:r>
      <w:bookmarkEnd w:id="86"/>
    </w:p>
    <w:p w:rsidR="004D67A1" w:rsidRPr="001D78AE" w:rsidRDefault="00115471" w:rsidP="00115471">
      <w:pPr>
        <w:ind w:left="567"/>
      </w:pPr>
      <w:r w:rsidRPr="001D78AE">
        <w:rPr>
          <w:i/>
        </w:rPr>
        <w:t xml:space="preserve">Supprimer les mots </w:t>
      </w:r>
      <w:r w:rsidR="007061E8" w:rsidRPr="001D78AE">
        <w:t>« </w:t>
      </w:r>
      <w:r w:rsidRPr="001D78AE">
        <w:t>et du caissier</w:t>
      </w:r>
      <w:r w:rsidR="007061E8" w:rsidRPr="001D78AE">
        <w:t> »</w:t>
      </w:r>
      <w:r w:rsidRPr="001D78AE">
        <w:t>.</w:t>
      </w:r>
    </w:p>
    <w:p w:rsidR="00360E4F" w:rsidRPr="001D78AE" w:rsidRDefault="004D67A1" w:rsidP="00360E4F">
      <w:pPr>
        <w:pStyle w:val="NoArt"/>
        <w:ind w:left="1531"/>
        <w:rPr>
          <w:b/>
          <w:i/>
        </w:rPr>
      </w:pPr>
      <w:bookmarkStart w:id="87" w:name="_Toc522697321"/>
      <w:r w:rsidRPr="001D78AE">
        <w:rPr>
          <w:b/>
          <w:i/>
        </w:rPr>
        <w:t xml:space="preserve">Art. </w:t>
      </w:r>
      <w:r w:rsidR="007B4282" w:rsidRPr="001D78AE">
        <w:rPr>
          <w:b/>
          <w:i/>
        </w:rPr>
        <w:t xml:space="preserve">39 à </w:t>
      </w:r>
      <w:r w:rsidR="00115471" w:rsidRPr="001D78AE">
        <w:rPr>
          <w:b/>
          <w:i/>
        </w:rPr>
        <w:t>42</w:t>
      </w:r>
      <w:bookmarkEnd w:id="87"/>
    </w:p>
    <w:p w:rsidR="004D67A1" w:rsidRPr="001D78AE" w:rsidRDefault="00115471" w:rsidP="00115471">
      <w:pPr>
        <w:ind w:left="567"/>
        <w:rPr>
          <w:i/>
        </w:rPr>
      </w:pPr>
      <w:r w:rsidRPr="001D78AE">
        <w:rPr>
          <w:i/>
        </w:rPr>
        <w:t>Abrogé</w:t>
      </w:r>
      <w:r w:rsidR="007B4282" w:rsidRPr="001D78AE">
        <w:rPr>
          <w:i/>
        </w:rPr>
        <w:t>s</w:t>
      </w:r>
    </w:p>
    <w:p w:rsidR="004D67A1" w:rsidRPr="001D78AE" w:rsidRDefault="004D67A1" w:rsidP="004D67A1">
      <w:pPr>
        <w:pStyle w:val="NoArt"/>
        <w:ind w:left="1531"/>
        <w:rPr>
          <w:b/>
          <w:i/>
        </w:rPr>
      </w:pPr>
      <w:bookmarkStart w:id="88" w:name="_Toc522697322"/>
      <w:r w:rsidRPr="001D78AE">
        <w:rPr>
          <w:b/>
          <w:i/>
        </w:rPr>
        <w:t xml:space="preserve">Art. </w:t>
      </w:r>
      <w:r w:rsidR="0042448D" w:rsidRPr="001D78AE">
        <w:rPr>
          <w:b/>
          <w:i/>
        </w:rPr>
        <w:t>43a à 60d</w:t>
      </w:r>
      <w:bookmarkEnd w:id="88"/>
    </w:p>
    <w:p w:rsidR="0042448D" w:rsidRPr="001D78AE" w:rsidRDefault="0042448D" w:rsidP="0042448D">
      <w:pPr>
        <w:ind w:left="567"/>
      </w:pPr>
      <w:r w:rsidRPr="001D78AE">
        <w:rPr>
          <w:i/>
        </w:rPr>
        <w:t>Abrogé</w:t>
      </w:r>
      <w:r w:rsidRPr="001D78AE">
        <w:t>s</w:t>
      </w:r>
    </w:p>
    <w:p w:rsidR="007061E8" w:rsidRPr="001D78AE" w:rsidRDefault="004D67A1" w:rsidP="004D67A1">
      <w:pPr>
        <w:pStyle w:val="NoArt"/>
        <w:ind w:left="1531"/>
        <w:rPr>
          <w:b/>
          <w:i/>
        </w:rPr>
      </w:pPr>
      <w:bookmarkStart w:id="89" w:name="_Toc522697323"/>
      <w:r w:rsidRPr="001D78AE">
        <w:rPr>
          <w:b/>
          <w:i/>
        </w:rPr>
        <w:t xml:space="preserve">Art. </w:t>
      </w:r>
      <w:r w:rsidR="0042448D" w:rsidRPr="001D78AE">
        <w:rPr>
          <w:b/>
          <w:i/>
        </w:rPr>
        <w:t>69a</w:t>
      </w:r>
      <w:bookmarkEnd w:id="89"/>
    </w:p>
    <w:p w:rsidR="0042448D" w:rsidRPr="001D78AE" w:rsidRDefault="0042448D" w:rsidP="0042448D">
      <w:pPr>
        <w:ind w:left="567"/>
        <w:rPr>
          <w:i/>
        </w:rPr>
      </w:pPr>
      <w:r w:rsidRPr="001D78AE">
        <w:rPr>
          <w:i/>
        </w:rPr>
        <w:t>Abrogé</w:t>
      </w:r>
    </w:p>
    <w:p w:rsidR="00965334" w:rsidRPr="001D78AE" w:rsidRDefault="00965334" w:rsidP="00D93423">
      <w:pPr>
        <w:pStyle w:val="NoArt"/>
      </w:pPr>
      <w:bookmarkStart w:id="90" w:name="_Toc379958543"/>
      <w:bookmarkStart w:id="91" w:name="_Toc522697324"/>
      <w:r w:rsidRPr="001D78AE">
        <w:rPr>
          <w:b/>
        </w:rPr>
        <w:t>Art.</w:t>
      </w:r>
      <w:r w:rsidR="00150256" w:rsidRPr="001D78AE">
        <w:rPr>
          <w:b/>
        </w:rPr>
        <w:t xml:space="preserve"> 4</w:t>
      </w:r>
      <w:r w:rsidR="00CB07C3">
        <w:rPr>
          <w:b/>
        </w:rPr>
        <w:t>6</w:t>
      </w:r>
      <w:r w:rsidR="0084421D" w:rsidRPr="001D78AE">
        <w:rPr>
          <w:b/>
        </w:rPr>
        <w:tab/>
      </w:r>
      <w:r w:rsidRPr="001D78AE">
        <w:t>Entrée en vigueur</w:t>
      </w:r>
      <w:bookmarkEnd w:id="90"/>
      <w:bookmarkEnd w:id="91"/>
    </w:p>
    <w:p w:rsidR="00EB2B85" w:rsidRPr="001D78AE" w:rsidRDefault="00264379" w:rsidP="00147158">
      <w:r w:rsidRPr="001D78AE">
        <w:rPr>
          <w:rStyle w:val="Appelnotedebasdep"/>
          <w:position w:val="6"/>
          <w:sz w:val="14"/>
          <w:vertAlign w:val="baseline"/>
        </w:rPr>
        <w:t>1</w:t>
      </w:r>
      <w:r w:rsidRPr="001D78AE">
        <w:rPr>
          <w:position w:val="6"/>
          <w:sz w:val="14"/>
        </w:rPr>
        <w:t xml:space="preserve"> </w:t>
      </w:r>
      <w:r w:rsidR="00150256" w:rsidRPr="001D78AE">
        <w:t>La présente ordonnance entre en vigueur au 1</w:t>
      </w:r>
      <w:r w:rsidR="00150256" w:rsidRPr="001D78AE">
        <w:rPr>
          <w:vertAlign w:val="superscript"/>
        </w:rPr>
        <w:t>er</w:t>
      </w:r>
      <w:r w:rsidR="00150256" w:rsidRPr="001D78AE">
        <w:t xml:space="preserve"> janvier 2021</w:t>
      </w:r>
      <w:r w:rsidR="00147158" w:rsidRPr="001D78AE">
        <w:t>.</w:t>
      </w:r>
    </w:p>
    <w:p w:rsidR="00546534" w:rsidRPr="001D78AE" w:rsidRDefault="00546534" w:rsidP="00147158"/>
    <w:p w:rsidR="00FC3B30" w:rsidRPr="001D78AE" w:rsidRDefault="00FC3B30">
      <w:pPr>
        <w:overflowPunct/>
        <w:autoSpaceDE/>
        <w:autoSpaceDN/>
        <w:adjustRightInd/>
        <w:spacing w:after="0" w:line="240" w:lineRule="auto"/>
        <w:jc w:val="left"/>
        <w:textAlignment w:val="auto"/>
      </w:pPr>
      <w:r w:rsidRPr="001D78AE">
        <w:br w:type="page"/>
      </w:r>
    </w:p>
    <w:p w:rsidR="0019566D" w:rsidRPr="001D78AE" w:rsidRDefault="000402C9" w:rsidP="0019566D">
      <w:pPr>
        <w:pStyle w:val="Titre1"/>
        <w:rPr>
          <w:lang w:val="en-US"/>
        </w:rPr>
      </w:pPr>
      <w:bookmarkStart w:id="92" w:name="_Toc522697325"/>
      <w:r w:rsidRPr="001D78AE">
        <w:rPr>
          <w:lang w:val="en-US"/>
        </w:rPr>
        <w:lastRenderedPageBreak/>
        <w:t>ANNEXE</w:t>
      </w:r>
      <w:bookmarkEnd w:id="92"/>
    </w:p>
    <w:p w:rsidR="0019566D" w:rsidRPr="001D78AE" w:rsidRDefault="0019566D" w:rsidP="0019566D">
      <w:pPr>
        <w:pStyle w:val="NoArt"/>
        <w:rPr>
          <w:lang w:val="en-US"/>
        </w:rPr>
      </w:pPr>
      <w:bookmarkStart w:id="93" w:name="_Toc522697326"/>
      <w:r w:rsidRPr="001D78AE">
        <w:rPr>
          <w:b/>
          <w:lang w:val="en-US"/>
        </w:rPr>
        <w:t>Art. 1</w:t>
      </w:r>
      <w:r w:rsidRPr="001D78AE">
        <w:rPr>
          <w:lang w:val="en-US"/>
        </w:rPr>
        <w:tab/>
      </w:r>
      <w:r w:rsidR="006F5925" w:rsidRPr="001D78AE">
        <w:rPr>
          <w:lang w:val="en-US"/>
        </w:rPr>
        <w:t>Limite d’activation</w:t>
      </w:r>
      <w:r w:rsidR="00BE581A" w:rsidRPr="001D78AE">
        <w:rPr>
          <w:lang w:val="en-US"/>
        </w:rPr>
        <w:t xml:space="preserve"> (art. 22 OFCo)</w:t>
      </w:r>
      <w:bookmarkEnd w:id="93"/>
    </w:p>
    <w:p w:rsidR="00EC0A0C" w:rsidRPr="001D78AE" w:rsidRDefault="00EC0A0C" w:rsidP="00EC0A0C">
      <w:r w:rsidRPr="001D78AE">
        <w:rPr>
          <w:rStyle w:val="Appelnotedebasdep"/>
          <w:position w:val="6"/>
          <w:sz w:val="14"/>
          <w:vertAlign w:val="baseline"/>
        </w:rPr>
        <w:t>1</w:t>
      </w:r>
      <w:r w:rsidR="006C1FBD" w:rsidRPr="001D78AE">
        <w:t xml:space="preserve"> A défaut de fixation dans le règlement communal des finances, les limites d’activation pour les communes sont définies en fonction de leur chiffre de la population dite légale comme suit :</w:t>
      </w:r>
    </w:p>
    <w:tbl>
      <w:tblPr>
        <w:tblStyle w:val="Grilledutableau"/>
        <w:tblW w:w="6487" w:type="dxa"/>
        <w:tblLook w:val="04A0" w:firstRow="1" w:lastRow="0" w:firstColumn="1" w:lastColumn="0" w:noHBand="0" w:noVBand="1"/>
      </w:tblPr>
      <w:tblGrid>
        <w:gridCol w:w="4644"/>
        <w:gridCol w:w="1843"/>
      </w:tblGrid>
      <w:tr w:rsidR="001E55B4" w:rsidRPr="001D78AE" w:rsidTr="00217EFF">
        <w:tc>
          <w:tcPr>
            <w:tcW w:w="4644" w:type="dxa"/>
            <w:tcBorders>
              <w:bottom w:val="single" w:sz="4" w:space="0" w:color="auto"/>
            </w:tcBorders>
            <w:shd w:val="clear" w:color="auto" w:fill="D9D9D9" w:themeFill="background1" w:themeFillShade="D9"/>
          </w:tcPr>
          <w:p w:rsidR="001E55B4" w:rsidRPr="001D78AE" w:rsidRDefault="001E55B4" w:rsidP="00BE581A">
            <w:pPr>
              <w:rPr>
                <w:sz w:val="12"/>
                <w:szCs w:val="12"/>
              </w:rPr>
            </w:pPr>
            <w:r w:rsidRPr="001D78AE">
              <w:rPr>
                <w:b/>
                <w:sz w:val="12"/>
                <w:szCs w:val="12"/>
              </w:rPr>
              <w:t>Population</w:t>
            </w:r>
            <w:r w:rsidR="0094606E">
              <w:rPr>
                <w:b/>
                <w:sz w:val="12"/>
                <w:szCs w:val="12"/>
              </w:rPr>
              <w:t xml:space="preserve"> dite légale</w:t>
            </w:r>
          </w:p>
        </w:tc>
        <w:tc>
          <w:tcPr>
            <w:tcW w:w="1843" w:type="dxa"/>
            <w:tcBorders>
              <w:bottom w:val="single" w:sz="4" w:space="0" w:color="auto"/>
            </w:tcBorders>
            <w:shd w:val="clear" w:color="auto" w:fill="D9D9D9" w:themeFill="background1" w:themeFillShade="D9"/>
          </w:tcPr>
          <w:p w:rsidR="001E55B4" w:rsidRPr="001D78AE" w:rsidRDefault="001E55B4" w:rsidP="00250F5E">
            <w:pPr>
              <w:ind w:left="-108"/>
              <w:jc w:val="right"/>
              <w:rPr>
                <w:b/>
                <w:sz w:val="12"/>
                <w:szCs w:val="12"/>
              </w:rPr>
            </w:pPr>
            <w:r w:rsidRPr="001D78AE">
              <w:rPr>
                <w:b/>
                <w:sz w:val="12"/>
                <w:szCs w:val="12"/>
              </w:rPr>
              <w:t xml:space="preserve">Limite d’activation </w:t>
            </w:r>
          </w:p>
        </w:tc>
      </w:tr>
      <w:tr w:rsidR="00943CBF" w:rsidRPr="001D78AE" w:rsidTr="00217EFF">
        <w:tc>
          <w:tcPr>
            <w:tcW w:w="4644" w:type="dxa"/>
            <w:tcBorders>
              <w:bottom w:val="nil"/>
            </w:tcBorders>
          </w:tcPr>
          <w:p w:rsidR="00943CBF" w:rsidRPr="001D78AE" w:rsidRDefault="00E965F3" w:rsidP="00543A12">
            <w:pPr>
              <w:rPr>
                <w:sz w:val="16"/>
                <w:szCs w:val="16"/>
              </w:rPr>
            </w:pPr>
            <w:r w:rsidRPr="001D78AE">
              <w:rPr>
                <w:sz w:val="16"/>
                <w:szCs w:val="16"/>
              </w:rPr>
              <w:t>Communes de moins de 1 </w:t>
            </w:r>
            <w:r w:rsidR="00943CBF" w:rsidRPr="001D78AE">
              <w:rPr>
                <w:sz w:val="16"/>
                <w:szCs w:val="16"/>
              </w:rPr>
              <w:t>000 habitants</w:t>
            </w:r>
          </w:p>
        </w:tc>
        <w:tc>
          <w:tcPr>
            <w:tcW w:w="1843" w:type="dxa"/>
            <w:tcBorders>
              <w:bottom w:val="nil"/>
            </w:tcBorders>
          </w:tcPr>
          <w:p w:rsidR="00943CBF" w:rsidRPr="001D78AE" w:rsidRDefault="00943CBF" w:rsidP="00A66BFF">
            <w:pPr>
              <w:ind w:left="-108"/>
              <w:jc w:val="right"/>
              <w:rPr>
                <w:b/>
                <w:sz w:val="16"/>
                <w:szCs w:val="16"/>
              </w:rPr>
            </w:pPr>
            <w:r w:rsidRPr="001D78AE">
              <w:rPr>
                <w:b/>
                <w:sz w:val="16"/>
                <w:szCs w:val="16"/>
              </w:rPr>
              <w:t>5 000 francs</w:t>
            </w:r>
          </w:p>
        </w:tc>
      </w:tr>
      <w:tr w:rsidR="001E55B4" w:rsidRPr="001D78AE" w:rsidTr="00217EFF">
        <w:tc>
          <w:tcPr>
            <w:tcW w:w="4644" w:type="dxa"/>
            <w:tcBorders>
              <w:top w:val="nil"/>
              <w:bottom w:val="nil"/>
            </w:tcBorders>
          </w:tcPr>
          <w:p w:rsidR="001E55B4" w:rsidRPr="001D78AE" w:rsidRDefault="001E55B4" w:rsidP="006D0BFD">
            <w:pPr>
              <w:rPr>
                <w:sz w:val="16"/>
                <w:szCs w:val="16"/>
              </w:rPr>
            </w:pPr>
            <w:r w:rsidRPr="001D78AE">
              <w:rPr>
                <w:sz w:val="16"/>
                <w:szCs w:val="16"/>
              </w:rPr>
              <w:t xml:space="preserve">Communes de </w:t>
            </w:r>
            <w:r w:rsidR="00E965F3" w:rsidRPr="001D78AE">
              <w:rPr>
                <w:sz w:val="16"/>
                <w:szCs w:val="16"/>
              </w:rPr>
              <w:t>1 </w:t>
            </w:r>
            <w:r w:rsidR="00943CBF" w:rsidRPr="001D78AE">
              <w:rPr>
                <w:sz w:val="16"/>
                <w:szCs w:val="16"/>
              </w:rPr>
              <w:t xml:space="preserve">000 à </w:t>
            </w:r>
            <w:r w:rsidR="006D0BFD">
              <w:rPr>
                <w:sz w:val="16"/>
                <w:szCs w:val="16"/>
              </w:rPr>
              <w:t>5 000</w:t>
            </w:r>
            <w:r w:rsidR="00543A12" w:rsidRPr="001D78AE">
              <w:rPr>
                <w:sz w:val="16"/>
                <w:szCs w:val="16"/>
              </w:rPr>
              <w:t xml:space="preserve"> </w:t>
            </w:r>
            <w:r w:rsidRPr="001D78AE">
              <w:rPr>
                <w:sz w:val="16"/>
                <w:szCs w:val="16"/>
              </w:rPr>
              <w:t>habitants</w:t>
            </w:r>
          </w:p>
        </w:tc>
        <w:tc>
          <w:tcPr>
            <w:tcW w:w="1843" w:type="dxa"/>
            <w:tcBorders>
              <w:top w:val="nil"/>
              <w:bottom w:val="nil"/>
            </w:tcBorders>
          </w:tcPr>
          <w:p w:rsidR="001E55B4" w:rsidRPr="001D78AE" w:rsidRDefault="00543A12" w:rsidP="00A66BFF">
            <w:pPr>
              <w:ind w:left="-108"/>
              <w:jc w:val="right"/>
              <w:rPr>
                <w:b/>
                <w:sz w:val="16"/>
                <w:szCs w:val="16"/>
              </w:rPr>
            </w:pPr>
            <w:r w:rsidRPr="001D78AE">
              <w:rPr>
                <w:b/>
                <w:sz w:val="16"/>
                <w:szCs w:val="16"/>
              </w:rPr>
              <w:t>10 000 francs</w:t>
            </w:r>
          </w:p>
        </w:tc>
      </w:tr>
      <w:tr w:rsidR="001E55B4" w:rsidRPr="001D78AE" w:rsidTr="00217EFF">
        <w:tc>
          <w:tcPr>
            <w:tcW w:w="4644" w:type="dxa"/>
            <w:tcBorders>
              <w:top w:val="nil"/>
              <w:bottom w:val="nil"/>
            </w:tcBorders>
          </w:tcPr>
          <w:p w:rsidR="001E55B4" w:rsidRPr="001D78AE" w:rsidRDefault="00E965F3" w:rsidP="006D0BFD">
            <w:pPr>
              <w:rPr>
                <w:sz w:val="16"/>
                <w:szCs w:val="16"/>
              </w:rPr>
            </w:pPr>
            <w:r w:rsidRPr="001D78AE">
              <w:rPr>
                <w:sz w:val="16"/>
                <w:szCs w:val="16"/>
              </w:rPr>
              <w:t>Communes de 5 </w:t>
            </w:r>
            <w:r w:rsidR="00543A12" w:rsidRPr="001D78AE">
              <w:rPr>
                <w:sz w:val="16"/>
                <w:szCs w:val="16"/>
              </w:rPr>
              <w:t>00</w:t>
            </w:r>
            <w:r w:rsidR="000D0142" w:rsidRPr="001D78AE">
              <w:rPr>
                <w:sz w:val="16"/>
                <w:szCs w:val="16"/>
              </w:rPr>
              <w:t>0</w:t>
            </w:r>
            <w:r w:rsidRPr="001D78AE">
              <w:rPr>
                <w:sz w:val="16"/>
                <w:szCs w:val="16"/>
              </w:rPr>
              <w:t xml:space="preserve"> à </w:t>
            </w:r>
            <w:r w:rsidR="006D0BFD">
              <w:rPr>
                <w:sz w:val="16"/>
                <w:szCs w:val="16"/>
              </w:rPr>
              <w:t>20 000</w:t>
            </w:r>
            <w:r w:rsidR="00543A12" w:rsidRPr="001D78AE">
              <w:rPr>
                <w:sz w:val="16"/>
                <w:szCs w:val="16"/>
              </w:rPr>
              <w:t xml:space="preserve"> habitants</w:t>
            </w:r>
          </w:p>
        </w:tc>
        <w:tc>
          <w:tcPr>
            <w:tcW w:w="1843" w:type="dxa"/>
            <w:tcBorders>
              <w:top w:val="nil"/>
              <w:bottom w:val="nil"/>
            </w:tcBorders>
          </w:tcPr>
          <w:p w:rsidR="001E55B4" w:rsidRPr="001D78AE" w:rsidRDefault="00543A12" w:rsidP="00A66BFF">
            <w:pPr>
              <w:ind w:left="-108"/>
              <w:jc w:val="right"/>
              <w:rPr>
                <w:b/>
                <w:sz w:val="16"/>
                <w:szCs w:val="16"/>
              </w:rPr>
            </w:pPr>
            <w:r w:rsidRPr="001D78AE">
              <w:rPr>
                <w:b/>
                <w:sz w:val="16"/>
                <w:szCs w:val="16"/>
              </w:rPr>
              <w:t>20 000 francs</w:t>
            </w:r>
          </w:p>
        </w:tc>
      </w:tr>
      <w:tr w:rsidR="001E55B4" w:rsidRPr="001D78AE" w:rsidTr="00217EFF">
        <w:tc>
          <w:tcPr>
            <w:tcW w:w="4644" w:type="dxa"/>
            <w:tcBorders>
              <w:top w:val="nil"/>
            </w:tcBorders>
          </w:tcPr>
          <w:p w:rsidR="001E55B4" w:rsidRPr="001D78AE" w:rsidRDefault="00E965F3" w:rsidP="00A94AF8">
            <w:pPr>
              <w:rPr>
                <w:sz w:val="16"/>
                <w:szCs w:val="16"/>
              </w:rPr>
            </w:pPr>
            <w:r w:rsidRPr="001D78AE">
              <w:rPr>
                <w:sz w:val="16"/>
                <w:szCs w:val="16"/>
              </w:rPr>
              <w:t xml:space="preserve">Communes </w:t>
            </w:r>
            <w:r w:rsidR="006D0BFD">
              <w:rPr>
                <w:sz w:val="16"/>
                <w:szCs w:val="16"/>
              </w:rPr>
              <w:t xml:space="preserve">de </w:t>
            </w:r>
            <w:r w:rsidRPr="001D78AE">
              <w:rPr>
                <w:sz w:val="16"/>
                <w:szCs w:val="16"/>
              </w:rPr>
              <w:t>20 </w:t>
            </w:r>
            <w:r w:rsidR="00543A12" w:rsidRPr="001D78AE">
              <w:rPr>
                <w:sz w:val="16"/>
                <w:szCs w:val="16"/>
              </w:rPr>
              <w:t>000 habitants</w:t>
            </w:r>
            <w:r w:rsidR="000F4528">
              <w:rPr>
                <w:sz w:val="16"/>
                <w:szCs w:val="16"/>
              </w:rPr>
              <w:t xml:space="preserve"> </w:t>
            </w:r>
            <w:r w:rsidR="00A94AF8">
              <w:rPr>
                <w:sz w:val="16"/>
                <w:szCs w:val="16"/>
              </w:rPr>
              <w:t>ou</w:t>
            </w:r>
            <w:r w:rsidR="000F4528">
              <w:rPr>
                <w:sz w:val="16"/>
                <w:szCs w:val="16"/>
              </w:rPr>
              <w:t xml:space="preserve"> plus</w:t>
            </w:r>
          </w:p>
        </w:tc>
        <w:tc>
          <w:tcPr>
            <w:tcW w:w="1843" w:type="dxa"/>
            <w:tcBorders>
              <w:top w:val="nil"/>
            </w:tcBorders>
          </w:tcPr>
          <w:p w:rsidR="001E55B4" w:rsidRPr="001D78AE" w:rsidRDefault="00543A12" w:rsidP="00A66BFF">
            <w:pPr>
              <w:ind w:left="-108"/>
              <w:jc w:val="right"/>
              <w:rPr>
                <w:b/>
                <w:sz w:val="16"/>
                <w:szCs w:val="16"/>
              </w:rPr>
            </w:pPr>
            <w:r w:rsidRPr="001D78AE">
              <w:rPr>
                <w:b/>
                <w:sz w:val="16"/>
                <w:szCs w:val="16"/>
              </w:rPr>
              <w:t>50 000 francs</w:t>
            </w:r>
          </w:p>
        </w:tc>
      </w:tr>
    </w:tbl>
    <w:p w:rsidR="00EC0A0C" w:rsidRPr="001D78AE" w:rsidRDefault="00EC0A0C" w:rsidP="0094606E">
      <w:pPr>
        <w:spacing w:before="240"/>
      </w:pPr>
      <w:r w:rsidRPr="001D78AE">
        <w:rPr>
          <w:rStyle w:val="Appelnotedebasdep"/>
          <w:position w:val="6"/>
          <w:sz w:val="14"/>
          <w:vertAlign w:val="baseline"/>
        </w:rPr>
        <w:t>2</w:t>
      </w:r>
      <w:r w:rsidR="006C1FBD" w:rsidRPr="001D78AE">
        <w:t xml:space="preserve"> A défaut de fixation dans leurs règlements des finances respectifs, la limite d’activation des </w:t>
      </w:r>
      <w:r w:rsidRPr="001D78AE">
        <w:t>établisse</w:t>
      </w:r>
      <w:r w:rsidR="006C1FBD" w:rsidRPr="001D78AE">
        <w:t>ments communaux personnalisés, des associations de communes, des agglomérations et d</w:t>
      </w:r>
      <w:r w:rsidRPr="001D78AE">
        <w:t xml:space="preserve">es bourgeoisies est fixée </w:t>
      </w:r>
      <w:r w:rsidR="006C1FBD" w:rsidRPr="001D78AE">
        <w:t>en fonction du total des charges d’</w:t>
      </w:r>
      <w:r w:rsidR="00250F5E" w:rsidRPr="001D78AE">
        <w:t>exploitation et financière de leur</w:t>
      </w:r>
      <w:r w:rsidR="006C1FBD" w:rsidRPr="001D78AE">
        <w:t xml:space="preserve"> compte de résultats ou du total de leur </w:t>
      </w:r>
      <w:r w:rsidR="00250F5E" w:rsidRPr="001D78AE">
        <w:t>bilan comme suit</w:t>
      </w:r>
      <w:r w:rsidRPr="001D78AE">
        <w:t> :</w:t>
      </w:r>
    </w:p>
    <w:tbl>
      <w:tblPr>
        <w:tblStyle w:val="Grilledutableau"/>
        <w:tblW w:w="6487" w:type="dxa"/>
        <w:tblLook w:val="04A0" w:firstRow="1" w:lastRow="0" w:firstColumn="1" w:lastColumn="0" w:noHBand="0" w:noVBand="1"/>
      </w:tblPr>
      <w:tblGrid>
        <w:gridCol w:w="4644"/>
        <w:gridCol w:w="1843"/>
      </w:tblGrid>
      <w:tr w:rsidR="00543A12" w:rsidRPr="001D78AE" w:rsidTr="00217EFF">
        <w:tc>
          <w:tcPr>
            <w:tcW w:w="4644" w:type="dxa"/>
            <w:tcBorders>
              <w:bottom w:val="single" w:sz="4" w:space="0" w:color="auto"/>
            </w:tcBorders>
            <w:shd w:val="clear" w:color="auto" w:fill="D9D9D9" w:themeFill="background1" w:themeFillShade="D9"/>
          </w:tcPr>
          <w:p w:rsidR="00543A12" w:rsidRPr="001D78AE" w:rsidRDefault="00543A12" w:rsidP="00C270E6">
            <w:pPr>
              <w:rPr>
                <w:b/>
                <w:sz w:val="12"/>
                <w:szCs w:val="12"/>
              </w:rPr>
            </w:pPr>
            <w:r w:rsidRPr="001D78AE">
              <w:rPr>
                <w:b/>
                <w:sz w:val="12"/>
                <w:szCs w:val="12"/>
              </w:rPr>
              <w:t xml:space="preserve">Total des charges </w:t>
            </w:r>
            <w:r w:rsidR="00C270E6" w:rsidRPr="001D78AE">
              <w:rPr>
                <w:b/>
                <w:sz w:val="12"/>
                <w:szCs w:val="12"/>
              </w:rPr>
              <w:t>d’exploitation et financières</w:t>
            </w:r>
            <w:r w:rsidR="00705709" w:rsidRPr="001D78AE">
              <w:rPr>
                <w:b/>
                <w:sz w:val="12"/>
                <w:szCs w:val="12"/>
              </w:rPr>
              <w:t xml:space="preserve"> </w:t>
            </w:r>
            <w:r w:rsidRPr="001D78AE">
              <w:rPr>
                <w:b/>
                <w:sz w:val="12"/>
                <w:szCs w:val="12"/>
              </w:rPr>
              <w:t>du compte de résultats</w:t>
            </w:r>
          </w:p>
        </w:tc>
        <w:tc>
          <w:tcPr>
            <w:tcW w:w="1843" w:type="dxa"/>
            <w:tcBorders>
              <w:bottom w:val="single" w:sz="4" w:space="0" w:color="auto"/>
            </w:tcBorders>
            <w:shd w:val="clear" w:color="auto" w:fill="D9D9D9" w:themeFill="background1" w:themeFillShade="D9"/>
          </w:tcPr>
          <w:p w:rsidR="00543A12" w:rsidRPr="001D78AE" w:rsidRDefault="00543A12" w:rsidP="00250F5E">
            <w:pPr>
              <w:ind w:left="-108"/>
              <w:jc w:val="right"/>
              <w:rPr>
                <w:b/>
                <w:sz w:val="12"/>
                <w:szCs w:val="12"/>
              </w:rPr>
            </w:pPr>
            <w:r w:rsidRPr="001D78AE">
              <w:rPr>
                <w:b/>
                <w:sz w:val="12"/>
                <w:szCs w:val="12"/>
              </w:rPr>
              <w:t>Limite d’activation</w:t>
            </w:r>
          </w:p>
        </w:tc>
      </w:tr>
      <w:tr w:rsidR="00543A12" w:rsidRPr="001D78AE" w:rsidTr="00217EFF">
        <w:tc>
          <w:tcPr>
            <w:tcW w:w="4644" w:type="dxa"/>
            <w:tcBorders>
              <w:bottom w:val="nil"/>
            </w:tcBorders>
          </w:tcPr>
          <w:p w:rsidR="00543A12" w:rsidRPr="001D78AE" w:rsidRDefault="00A66BFF" w:rsidP="00C501D0">
            <w:pPr>
              <w:rPr>
                <w:sz w:val="16"/>
                <w:szCs w:val="16"/>
              </w:rPr>
            </w:pPr>
            <w:r w:rsidRPr="001D78AE">
              <w:rPr>
                <w:sz w:val="16"/>
                <w:szCs w:val="16"/>
              </w:rPr>
              <w:t xml:space="preserve">Inférieur à </w:t>
            </w:r>
            <w:r w:rsidR="00C501D0" w:rsidRPr="001D78AE">
              <w:rPr>
                <w:sz w:val="16"/>
                <w:szCs w:val="16"/>
              </w:rPr>
              <w:t>1</w:t>
            </w:r>
            <w:r w:rsidRPr="001D78AE">
              <w:rPr>
                <w:sz w:val="16"/>
                <w:szCs w:val="16"/>
              </w:rPr>
              <w:t xml:space="preserve"> millions de francs</w:t>
            </w:r>
          </w:p>
        </w:tc>
        <w:tc>
          <w:tcPr>
            <w:tcW w:w="1843" w:type="dxa"/>
            <w:tcBorders>
              <w:bottom w:val="nil"/>
            </w:tcBorders>
          </w:tcPr>
          <w:p w:rsidR="00543A12" w:rsidRPr="001D78AE" w:rsidRDefault="00A66BFF" w:rsidP="00A66BFF">
            <w:pPr>
              <w:ind w:left="-108"/>
              <w:jc w:val="right"/>
              <w:rPr>
                <w:b/>
                <w:sz w:val="16"/>
                <w:szCs w:val="16"/>
              </w:rPr>
            </w:pPr>
            <w:r w:rsidRPr="001D78AE">
              <w:rPr>
                <w:b/>
                <w:sz w:val="16"/>
                <w:szCs w:val="16"/>
              </w:rPr>
              <w:t>5</w:t>
            </w:r>
            <w:r w:rsidR="00543A12" w:rsidRPr="001D78AE">
              <w:rPr>
                <w:b/>
                <w:sz w:val="16"/>
                <w:szCs w:val="16"/>
              </w:rPr>
              <w:t> 000 francs</w:t>
            </w:r>
          </w:p>
        </w:tc>
      </w:tr>
      <w:tr w:rsidR="00A66BFF" w:rsidRPr="001D78AE" w:rsidTr="00217EFF">
        <w:tc>
          <w:tcPr>
            <w:tcW w:w="4644" w:type="dxa"/>
            <w:tcBorders>
              <w:top w:val="nil"/>
              <w:bottom w:val="nil"/>
            </w:tcBorders>
          </w:tcPr>
          <w:p w:rsidR="00A66BFF" w:rsidRPr="001D78AE" w:rsidRDefault="00A66BFF" w:rsidP="005D6616">
            <w:pPr>
              <w:rPr>
                <w:sz w:val="16"/>
                <w:szCs w:val="16"/>
              </w:rPr>
            </w:pPr>
            <w:r w:rsidRPr="001D78AE">
              <w:rPr>
                <w:sz w:val="16"/>
                <w:szCs w:val="16"/>
              </w:rPr>
              <w:t xml:space="preserve">De </w:t>
            </w:r>
            <w:r w:rsidR="00C501D0" w:rsidRPr="001D78AE">
              <w:rPr>
                <w:sz w:val="16"/>
                <w:szCs w:val="16"/>
              </w:rPr>
              <w:t>1</w:t>
            </w:r>
            <w:r w:rsidR="006F5925" w:rsidRPr="001D78AE">
              <w:rPr>
                <w:sz w:val="16"/>
                <w:szCs w:val="16"/>
              </w:rPr>
              <w:t xml:space="preserve"> millions</w:t>
            </w:r>
            <w:r w:rsidRPr="001D78AE">
              <w:rPr>
                <w:sz w:val="16"/>
                <w:szCs w:val="16"/>
              </w:rPr>
              <w:t xml:space="preserve"> à </w:t>
            </w:r>
            <w:r w:rsidR="00C501D0" w:rsidRPr="001D78AE">
              <w:rPr>
                <w:sz w:val="16"/>
                <w:szCs w:val="16"/>
              </w:rPr>
              <w:t>15</w:t>
            </w:r>
            <w:r w:rsidRPr="001D78AE">
              <w:rPr>
                <w:sz w:val="16"/>
                <w:szCs w:val="16"/>
              </w:rPr>
              <w:t xml:space="preserve"> millions de francs</w:t>
            </w:r>
          </w:p>
        </w:tc>
        <w:tc>
          <w:tcPr>
            <w:tcW w:w="1843" w:type="dxa"/>
            <w:tcBorders>
              <w:top w:val="nil"/>
              <w:bottom w:val="nil"/>
            </w:tcBorders>
          </w:tcPr>
          <w:p w:rsidR="00A66BFF" w:rsidRPr="001D78AE" w:rsidRDefault="00A66BFF" w:rsidP="00A66BFF">
            <w:pPr>
              <w:ind w:left="-108"/>
              <w:jc w:val="right"/>
              <w:rPr>
                <w:b/>
                <w:sz w:val="16"/>
                <w:szCs w:val="16"/>
              </w:rPr>
            </w:pPr>
            <w:r w:rsidRPr="001D78AE">
              <w:rPr>
                <w:b/>
                <w:sz w:val="16"/>
                <w:szCs w:val="16"/>
              </w:rPr>
              <w:t>10 000 francs</w:t>
            </w:r>
          </w:p>
        </w:tc>
      </w:tr>
      <w:tr w:rsidR="00543A12" w:rsidRPr="001D78AE" w:rsidTr="00217EFF">
        <w:tc>
          <w:tcPr>
            <w:tcW w:w="4644" w:type="dxa"/>
            <w:tcBorders>
              <w:top w:val="nil"/>
              <w:bottom w:val="nil"/>
            </w:tcBorders>
          </w:tcPr>
          <w:p w:rsidR="00543A12" w:rsidRPr="001D78AE" w:rsidRDefault="00A66BFF" w:rsidP="00C501D0">
            <w:pPr>
              <w:rPr>
                <w:sz w:val="16"/>
                <w:szCs w:val="16"/>
              </w:rPr>
            </w:pPr>
            <w:r w:rsidRPr="001D78AE">
              <w:rPr>
                <w:sz w:val="16"/>
                <w:szCs w:val="16"/>
              </w:rPr>
              <w:t xml:space="preserve">De </w:t>
            </w:r>
            <w:r w:rsidR="00C501D0" w:rsidRPr="001D78AE">
              <w:rPr>
                <w:sz w:val="16"/>
                <w:szCs w:val="16"/>
              </w:rPr>
              <w:t>15</w:t>
            </w:r>
            <w:r w:rsidR="006F5925" w:rsidRPr="001D78AE">
              <w:rPr>
                <w:sz w:val="16"/>
                <w:szCs w:val="16"/>
              </w:rPr>
              <w:t xml:space="preserve"> millions</w:t>
            </w:r>
            <w:r w:rsidRPr="001D78AE">
              <w:rPr>
                <w:sz w:val="16"/>
                <w:szCs w:val="16"/>
              </w:rPr>
              <w:t xml:space="preserve"> à </w:t>
            </w:r>
            <w:r w:rsidR="00C501D0" w:rsidRPr="001D78AE">
              <w:rPr>
                <w:sz w:val="16"/>
                <w:szCs w:val="16"/>
              </w:rPr>
              <w:t>3</w:t>
            </w:r>
            <w:r w:rsidR="00061C16" w:rsidRPr="001D78AE">
              <w:rPr>
                <w:sz w:val="16"/>
                <w:szCs w:val="16"/>
              </w:rPr>
              <w:t>0</w:t>
            </w:r>
            <w:r w:rsidRPr="001D78AE">
              <w:rPr>
                <w:sz w:val="16"/>
                <w:szCs w:val="16"/>
              </w:rPr>
              <w:t xml:space="preserve"> millions de francs</w:t>
            </w:r>
          </w:p>
        </w:tc>
        <w:tc>
          <w:tcPr>
            <w:tcW w:w="1843" w:type="dxa"/>
            <w:tcBorders>
              <w:top w:val="nil"/>
              <w:bottom w:val="nil"/>
            </w:tcBorders>
          </w:tcPr>
          <w:p w:rsidR="00543A12" w:rsidRPr="001D78AE" w:rsidRDefault="00543A12" w:rsidP="00A66BFF">
            <w:pPr>
              <w:ind w:left="-108"/>
              <w:jc w:val="right"/>
              <w:rPr>
                <w:b/>
                <w:sz w:val="16"/>
                <w:szCs w:val="16"/>
              </w:rPr>
            </w:pPr>
            <w:r w:rsidRPr="001D78AE">
              <w:rPr>
                <w:b/>
                <w:sz w:val="16"/>
                <w:szCs w:val="16"/>
              </w:rPr>
              <w:t>20 000 francs</w:t>
            </w:r>
          </w:p>
        </w:tc>
      </w:tr>
      <w:tr w:rsidR="00543A12" w:rsidRPr="001D78AE" w:rsidTr="00217EFF">
        <w:tc>
          <w:tcPr>
            <w:tcW w:w="4644" w:type="dxa"/>
            <w:tcBorders>
              <w:top w:val="nil"/>
            </w:tcBorders>
          </w:tcPr>
          <w:p w:rsidR="00543A12" w:rsidRPr="001D78AE" w:rsidRDefault="006D0BFD" w:rsidP="006D0BFD">
            <w:pPr>
              <w:rPr>
                <w:sz w:val="16"/>
                <w:szCs w:val="16"/>
              </w:rPr>
            </w:pPr>
            <w:r>
              <w:rPr>
                <w:sz w:val="16"/>
                <w:szCs w:val="16"/>
              </w:rPr>
              <w:t>Supérieur à</w:t>
            </w:r>
            <w:r w:rsidR="000F4528">
              <w:rPr>
                <w:sz w:val="16"/>
                <w:szCs w:val="16"/>
              </w:rPr>
              <w:t xml:space="preserve"> </w:t>
            </w:r>
            <w:r w:rsidR="00C501D0" w:rsidRPr="001D78AE">
              <w:rPr>
                <w:sz w:val="16"/>
                <w:szCs w:val="16"/>
              </w:rPr>
              <w:t>3</w:t>
            </w:r>
            <w:r w:rsidR="00061C16" w:rsidRPr="001D78AE">
              <w:rPr>
                <w:sz w:val="16"/>
                <w:szCs w:val="16"/>
              </w:rPr>
              <w:t>0</w:t>
            </w:r>
            <w:r w:rsidR="00A66BFF" w:rsidRPr="001D78AE">
              <w:rPr>
                <w:sz w:val="16"/>
                <w:szCs w:val="16"/>
              </w:rPr>
              <w:t xml:space="preserve"> millions de francs</w:t>
            </w:r>
          </w:p>
        </w:tc>
        <w:tc>
          <w:tcPr>
            <w:tcW w:w="1843" w:type="dxa"/>
            <w:tcBorders>
              <w:top w:val="nil"/>
            </w:tcBorders>
          </w:tcPr>
          <w:p w:rsidR="00543A12" w:rsidRPr="001D78AE" w:rsidRDefault="00543A12" w:rsidP="00A66BFF">
            <w:pPr>
              <w:ind w:left="-108"/>
              <w:jc w:val="right"/>
              <w:rPr>
                <w:b/>
                <w:sz w:val="16"/>
                <w:szCs w:val="16"/>
              </w:rPr>
            </w:pPr>
            <w:r w:rsidRPr="001D78AE">
              <w:rPr>
                <w:b/>
                <w:sz w:val="16"/>
                <w:szCs w:val="16"/>
              </w:rPr>
              <w:t>50 000 francs</w:t>
            </w:r>
          </w:p>
        </w:tc>
      </w:tr>
    </w:tbl>
    <w:p w:rsidR="00543A12" w:rsidRPr="001D78AE" w:rsidRDefault="00D12958" w:rsidP="0094606E">
      <w:r w:rsidRPr="001D78AE">
        <w:t>ou</w:t>
      </w:r>
    </w:p>
    <w:tbl>
      <w:tblPr>
        <w:tblStyle w:val="Grilledutableau"/>
        <w:tblW w:w="6487" w:type="dxa"/>
        <w:tblLook w:val="04A0" w:firstRow="1" w:lastRow="0" w:firstColumn="1" w:lastColumn="0" w:noHBand="0" w:noVBand="1"/>
      </w:tblPr>
      <w:tblGrid>
        <w:gridCol w:w="4644"/>
        <w:gridCol w:w="1843"/>
      </w:tblGrid>
      <w:tr w:rsidR="00A66BFF" w:rsidRPr="001D78AE" w:rsidTr="00217EFF">
        <w:tc>
          <w:tcPr>
            <w:tcW w:w="4644" w:type="dxa"/>
            <w:tcBorders>
              <w:bottom w:val="single" w:sz="4" w:space="0" w:color="auto"/>
            </w:tcBorders>
            <w:shd w:val="clear" w:color="auto" w:fill="D9D9D9" w:themeFill="background1" w:themeFillShade="D9"/>
          </w:tcPr>
          <w:p w:rsidR="00A66BFF" w:rsidRPr="001D78AE" w:rsidRDefault="00C270E6" w:rsidP="00A278C8">
            <w:pPr>
              <w:rPr>
                <w:b/>
                <w:sz w:val="12"/>
                <w:szCs w:val="12"/>
              </w:rPr>
            </w:pPr>
            <w:r w:rsidRPr="001D78AE">
              <w:rPr>
                <w:b/>
                <w:sz w:val="12"/>
                <w:szCs w:val="12"/>
              </w:rPr>
              <w:t>Total d</w:t>
            </w:r>
            <w:r w:rsidR="00A66BFF" w:rsidRPr="001D78AE">
              <w:rPr>
                <w:b/>
                <w:sz w:val="12"/>
                <w:szCs w:val="12"/>
              </w:rPr>
              <w:t>u bilan</w:t>
            </w:r>
          </w:p>
        </w:tc>
        <w:tc>
          <w:tcPr>
            <w:tcW w:w="1843" w:type="dxa"/>
            <w:tcBorders>
              <w:bottom w:val="single" w:sz="4" w:space="0" w:color="auto"/>
            </w:tcBorders>
            <w:shd w:val="clear" w:color="auto" w:fill="D9D9D9" w:themeFill="background1" w:themeFillShade="D9"/>
          </w:tcPr>
          <w:p w:rsidR="00A66BFF" w:rsidRPr="001D78AE" w:rsidRDefault="00A66BFF" w:rsidP="00250F5E">
            <w:pPr>
              <w:ind w:left="-108"/>
              <w:jc w:val="right"/>
              <w:rPr>
                <w:b/>
                <w:sz w:val="12"/>
                <w:szCs w:val="12"/>
              </w:rPr>
            </w:pPr>
            <w:r w:rsidRPr="001D78AE">
              <w:rPr>
                <w:b/>
                <w:sz w:val="12"/>
                <w:szCs w:val="12"/>
              </w:rPr>
              <w:t>Limite d’activation</w:t>
            </w:r>
          </w:p>
        </w:tc>
      </w:tr>
      <w:tr w:rsidR="00A66BFF" w:rsidRPr="001D78AE" w:rsidTr="00217EFF">
        <w:tc>
          <w:tcPr>
            <w:tcW w:w="4644" w:type="dxa"/>
            <w:tcBorders>
              <w:bottom w:val="nil"/>
            </w:tcBorders>
          </w:tcPr>
          <w:p w:rsidR="00A66BFF" w:rsidRPr="001D78AE" w:rsidRDefault="00A66BFF" w:rsidP="00C501D0">
            <w:pPr>
              <w:rPr>
                <w:sz w:val="16"/>
                <w:szCs w:val="16"/>
              </w:rPr>
            </w:pPr>
            <w:r w:rsidRPr="001D78AE">
              <w:rPr>
                <w:sz w:val="16"/>
                <w:szCs w:val="16"/>
              </w:rPr>
              <w:t xml:space="preserve">Inférieur à </w:t>
            </w:r>
            <w:r w:rsidR="000D0142" w:rsidRPr="001D78AE">
              <w:rPr>
                <w:sz w:val="16"/>
                <w:szCs w:val="16"/>
              </w:rPr>
              <w:t>1</w:t>
            </w:r>
            <w:r w:rsidR="00C501D0" w:rsidRPr="001D78AE">
              <w:rPr>
                <w:sz w:val="16"/>
                <w:szCs w:val="16"/>
              </w:rPr>
              <w:t>0</w:t>
            </w:r>
            <w:r w:rsidRPr="001D78AE">
              <w:rPr>
                <w:sz w:val="16"/>
                <w:szCs w:val="16"/>
              </w:rPr>
              <w:t xml:space="preserve"> millions de francs</w:t>
            </w:r>
          </w:p>
        </w:tc>
        <w:tc>
          <w:tcPr>
            <w:tcW w:w="1843" w:type="dxa"/>
            <w:tcBorders>
              <w:bottom w:val="nil"/>
            </w:tcBorders>
          </w:tcPr>
          <w:p w:rsidR="00A66BFF" w:rsidRPr="001D78AE" w:rsidRDefault="00A66BFF" w:rsidP="00A66BFF">
            <w:pPr>
              <w:ind w:left="-108"/>
              <w:jc w:val="right"/>
              <w:rPr>
                <w:b/>
                <w:sz w:val="16"/>
                <w:szCs w:val="16"/>
              </w:rPr>
            </w:pPr>
            <w:r w:rsidRPr="001D78AE">
              <w:rPr>
                <w:b/>
                <w:sz w:val="16"/>
                <w:szCs w:val="16"/>
              </w:rPr>
              <w:t>5 000 francs</w:t>
            </w:r>
          </w:p>
        </w:tc>
      </w:tr>
      <w:tr w:rsidR="00A66BFF" w:rsidRPr="001D78AE" w:rsidTr="00217EFF">
        <w:tc>
          <w:tcPr>
            <w:tcW w:w="4644" w:type="dxa"/>
            <w:tcBorders>
              <w:top w:val="nil"/>
              <w:bottom w:val="nil"/>
            </w:tcBorders>
          </w:tcPr>
          <w:p w:rsidR="00A66BFF" w:rsidRPr="001D78AE" w:rsidRDefault="00A66BFF" w:rsidP="000F4528">
            <w:pPr>
              <w:rPr>
                <w:sz w:val="16"/>
                <w:szCs w:val="16"/>
              </w:rPr>
            </w:pPr>
            <w:r w:rsidRPr="001D78AE">
              <w:rPr>
                <w:sz w:val="16"/>
                <w:szCs w:val="16"/>
              </w:rPr>
              <w:t xml:space="preserve">De </w:t>
            </w:r>
            <w:r w:rsidR="000D0142" w:rsidRPr="001D78AE">
              <w:rPr>
                <w:sz w:val="16"/>
                <w:szCs w:val="16"/>
              </w:rPr>
              <w:t>1</w:t>
            </w:r>
            <w:r w:rsidR="00C501D0" w:rsidRPr="001D78AE">
              <w:rPr>
                <w:sz w:val="16"/>
                <w:szCs w:val="16"/>
              </w:rPr>
              <w:t>0</w:t>
            </w:r>
            <w:r w:rsidRPr="001D78AE">
              <w:rPr>
                <w:sz w:val="16"/>
                <w:szCs w:val="16"/>
              </w:rPr>
              <w:t xml:space="preserve"> </w:t>
            </w:r>
            <w:r w:rsidR="006F5925" w:rsidRPr="001D78AE">
              <w:rPr>
                <w:sz w:val="16"/>
                <w:szCs w:val="16"/>
              </w:rPr>
              <w:t xml:space="preserve">millions </w:t>
            </w:r>
            <w:r w:rsidRPr="001D78AE">
              <w:rPr>
                <w:sz w:val="16"/>
                <w:szCs w:val="16"/>
              </w:rPr>
              <w:t xml:space="preserve">à </w:t>
            </w:r>
            <w:r w:rsidR="00C501D0" w:rsidRPr="001D78AE">
              <w:rPr>
                <w:sz w:val="16"/>
                <w:szCs w:val="16"/>
              </w:rPr>
              <w:t>3</w:t>
            </w:r>
            <w:r w:rsidR="00061C16" w:rsidRPr="001D78AE">
              <w:rPr>
                <w:sz w:val="16"/>
                <w:szCs w:val="16"/>
              </w:rPr>
              <w:t>0</w:t>
            </w:r>
            <w:r w:rsidRPr="001D78AE">
              <w:rPr>
                <w:sz w:val="16"/>
                <w:szCs w:val="16"/>
              </w:rPr>
              <w:t xml:space="preserve"> millions de francs</w:t>
            </w:r>
          </w:p>
        </w:tc>
        <w:tc>
          <w:tcPr>
            <w:tcW w:w="1843" w:type="dxa"/>
            <w:tcBorders>
              <w:top w:val="nil"/>
              <w:bottom w:val="nil"/>
            </w:tcBorders>
          </w:tcPr>
          <w:p w:rsidR="00A66BFF" w:rsidRPr="001D78AE" w:rsidRDefault="00A66BFF" w:rsidP="00A66BFF">
            <w:pPr>
              <w:ind w:left="-108"/>
              <w:jc w:val="right"/>
              <w:rPr>
                <w:b/>
                <w:sz w:val="16"/>
                <w:szCs w:val="16"/>
              </w:rPr>
            </w:pPr>
            <w:r w:rsidRPr="001D78AE">
              <w:rPr>
                <w:b/>
                <w:sz w:val="16"/>
                <w:szCs w:val="16"/>
              </w:rPr>
              <w:t>10 000 francs</w:t>
            </w:r>
          </w:p>
        </w:tc>
      </w:tr>
      <w:tr w:rsidR="00A66BFF" w:rsidRPr="001D78AE" w:rsidTr="00217EFF">
        <w:tc>
          <w:tcPr>
            <w:tcW w:w="4644" w:type="dxa"/>
            <w:tcBorders>
              <w:top w:val="nil"/>
              <w:bottom w:val="nil"/>
            </w:tcBorders>
          </w:tcPr>
          <w:p w:rsidR="00A66BFF" w:rsidRPr="001D78AE" w:rsidRDefault="00A66BFF" w:rsidP="0090163A">
            <w:pPr>
              <w:rPr>
                <w:sz w:val="16"/>
                <w:szCs w:val="16"/>
              </w:rPr>
            </w:pPr>
            <w:r w:rsidRPr="001D78AE">
              <w:rPr>
                <w:sz w:val="16"/>
                <w:szCs w:val="16"/>
              </w:rPr>
              <w:t xml:space="preserve">De </w:t>
            </w:r>
            <w:r w:rsidR="00C501D0" w:rsidRPr="001D78AE">
              <w:rPr>
                <w:sz w:val="16"/>
                <w:szCs w:val="16"/>
              </w:rPr>
              <w:t>3</w:t>
            </w:r>
            <w:r w:rsidR="00061C16" w:rsidRPr="001D78AE">
              <w:rPr>
                <w:sz w:val="16"/>
                <w:szCs w:val="16"/>
              </w:rPr>
              <w:t>0</w:t>
            </w:r>
            <w:r w:rsidRPr="001D78AE">
              <w:rPr>
                <w:sz w:val="16"/>
                <w:szCs w:val="16"/>
              </w:rPr>
              <w:t xml:space="preserve"> </w:t>
            </w:r>
            <w:r w:rsidR="006F5925" w:rsidRPr="001D78AE">
              <w:rPr>
                <w:sz w:val="16"/>
                <w:szCs w:val="16"/>
              </w:rPr>
              <w:t xml:space="preserve">millions </w:t>
            </w:r>
            <w:r w:rsidRPr="001D78AE">
              <w:rPr>
                <w:sz w:val="16"/>
                <w:szCs w:val="16"/>
              </w:rPr>
              <w:t xml:space="preserve">à </w:t>
            </w:r>
            <w:r w:rsidR="00C501D0" w:rsidRPr="001D78AE">
              <w:rPr>
                <w:sz w:val="16"/>
                <w:szCs w:val="16"/>
              </w:rPr>
              <w:t>5</w:t>
            </w:r>
            <w:r w:rsidR="00061C16" w:rsidRPr="001D78AE">
              <w:rPr>
                <w:sz w:val="16"/>
                <w:szCs w:val="16"/>
              </w:rPr>
              <w:t>0</w:t>
            </w:r>
            <w:r w:rsidRPr="001D78AE">
              <w:rPr>
                <w:sz w:val="16"/>
                <w:szCs w:val="16"/>
              </w:rPr>
              <w:t xml:space="preserve"> millions de francs</w:t>
            </w:r>
          </w:p>
        </w:tc>
        <w:tc>
          <w:tcPr>
            <w:tcW w:w="1843" w:type="dxa"/>
            <w:tcBorders>
              <w:top w:val="nil"/>
              <w:bottom w:val="nil"/>
            </w:tcBorders>
          </w:tcPr>
          <w:p w:rsidR="00A66BFF" w:rsidRPr="001D78AE" w:rsidRDefault="00A66BFF" w:rsidP="00A66BFF">
            <w:pPr>
              <w:ind w:left="-108"/>
              <w:jc w:val="right"/>
              <w:rPr>
                <w:b/>
                <w:sz w:val="16"/>
                <w:szCs w:val="16"/>
              </w:rPr>
            </w:pPr>
            <w:r w:rsidRPr="001D78AE">
              <w:rPr>
                <w:b/>
                <w:sz w:val="16"/>
                <w:szCs w:val="16"/>
              </w:rPr>
              <w:t>20 000 francs</w:t>
            </w:r>
          </w:p>
        </w:tc>
      </w:tr>
      <w:tr w:rsidR="00A66BFF" w:rsidRPr="001D78AE" w:rsidTr="00217EFF">
        <w:tc>
          <w:tcPr>
            <w:tcW w:w="4644" w:type="dxa"/>
            <w:tcBorders>
              <w:top w:val="nil"/>
            </w:tcBorders>
          </w:tcPr>
          <w:p w:rsidR="00A66BFF" w:rsidRPr="001D78AE" w:rsidRDefault="006D0BFD" w:rsidP="006D0BFD">
            <w:pPr>
              <w:rPr>
                <w:sz w:val="16"/>
                <w:szCs w:val="16"/>
              </w:rPr>
            </w:pPr>
            <w:r>
              <w:rPr>
                <w:sz w:val="16"/>
                <w:szCs w:val="16"/>
              </w:rPr>
              <w:t xml:space="preserve">Supérieur à </w:t>
            </w:r>
            <w:r w:rsidR="00C501D0" w:rsidRPr="001D78AE">
              <w:rPr>
                <w:sz w:val="16"/>
                <w:szCs w:val="16"/>
              </w:rPr>
              <w:t>5</w:t>
            </w:r>
            <w:r w:rsidR="00061C16" w:rsidRPr="001D78AE">
              <w:rPr>
                <w:sz w:val="16"/>
                <w:szCs w:val="16"/>
              </w:rPr>
              <w:t>0</w:t>
            </w:r>
            <w:r w:rsidR="00A66BFF" w:rsidRPr="001D78AE">
              <w:rPr>
                <w:sz w:val="16"/>
                <w:szCs w:val="16"/>
              </w:rPr>
              <w:t xml:space="preserve"> millions de francs</w:t>
            </w:r>
          </w:p>
        </w:tc>
        <w:tc>
          <w:tcPr>
            <w:tcW w:w="1843" w:type="dxa"/>
            <w:tcBorders>
              <w:top w:val="nil"/>
            </w:tcBorders>
          </w:tcPr>
          <w:p w:rsidR="00A66BFF" w:rsidRPr="001D78AE" w:rsidRDefault="00A66BFF" w:rsidP="00A66BFF">
            <w:pPr>
              <w:ind w:left="-108"/>
              <w:jc w:val="right"/>
              <w:rPr>
                <w:b/>
                <w:sz w:val="16"/>
                <w:szCs w:val="16"/>
              </w:rPr>
            </w:pPr>
            <w:r w:rsidRPr="001D78AE">
              <w:rPr>
                <w:b/>
                <w:sz w:val="16"/>
                <w:szCs w:val="16"/>
              </w:rPr>
              <w:t>50 000 francs</w:t>
            </w:r>
          </w:p>
        </w:tc>
      </w:tr>
    </w:tbl>
    <w:p w:rsidR="00EC0A0C" w:rsidRPr="001D78AE" w:rsidRDefault="00CD32F5" w:rsidP="0094606E">
      <w:pPr>
        <w:spacing w:before="240"/>
      </w:pPr>
      <w:r w:rsidRPr="001D78AE">
        <w:rPr>
          <w:rStyle w:val="Appelnotedebasdep"/>
          <w:position w:val="6"/>
          <w:sz w:val="14"/>
          <w:vertAlign w:val="baseline"/>
        </w:rPr>
        <w:t>3</w:t>
      </w:r>
      <w:r w:rsidR="004248AC" w:rsidRPr="001D78AE">
        <w:rPr>
          <w:position w:val="6"/>
          <w:sz w:val="14"/>
        </w:rPr>
        <w:t xml:space="preserve"> </w:t>
      </w:r>
      <w:r w:rsidR="00675B8A" w:rsidRPr="001D78AE">
        <w:t>Si</w:t>
      </w:r>
      <w:r w:rsidR="00A3602F">
        <w:t>, dans le cadre de l’alinéa 2,</w:t>
      </w:r>
      <w:r w:rsidR="00675B8A" w:rsidRPr="001D78AE">
        <w:t xml:space="preserve"> le total des charges </w:t>
      </w:r>
      <w:r w:rsidR="00C270E6" w:rsidRPr="001D78AE">
        <w:t>d’exploitation et financières</w:t>
      </w:r>
      <w:r w:rsidR="00675B8A" w:rsidRPr="001D78AE">
        <w:t xml:space="preserve"> du compte de résultats et le total du bilan indiquent deux limites d’activation différentes, la limite supérieure est déterminante.</w:t>
      </w:r>
    </w:p>
    <w:p w:rsidR="00E01B07" w:rsidRPr="001D78AE" w:rsidRDefault="00E01B07">
      <w:pPr>
        <w:overflowPunct/>
        <w:autoSpaceDE/>
        <w:autoSpaceDN/>
        <w:adjustRightInd/>
        <w:spacing w:after="0" w:line="240" w:lineRule="auto"/>
        <w:jc w:val="left"/>
        <w:textAlignment w:val="auto"/>
        <w:rPr>
          <w:b/>
        </w:rPr>
      </w:pPr>
      <w:r w:rsidRPr="001D78AE">
        <w:rPr>
          <w:b/>
        </w:rPr>
        <w:br w:type="page"/>
      </w:r>
    </w:p>
    <w:p w:rsidR="000402C9" w:rsidRPr="001D78AE" w:rsidRDefault="000402C9" w:rsidP="000402C9">
      <w:pPr>
        <w:pStyle w:val="NoArt"/>
      </w:pPr>
      <w:bookmarkStart w:id="94" w:name="_Toc522697327"/>
      <w:r w:rsidRPr="001D78AE">
        <w:rPr>
          <w:b/>
        </w:rPr>
        <w:lastRenderedPageBreak/>
        <w:t xml:space="preserve">Art. </w:t>
      </w:r>
      <w:r w:rsidR="0019566D" w:rsidRPr="001D78AE">
        <w:rPr>
          <w:b/>
        </w:rPr>
        <w:t>2</w:t>
      </w:r>
      <w:r w:rsidRPr="001D78AE">
        <w:tab/>
        <w:t>Catégories d’objets et taux d’amortissement</w:t>
      </w:r>
      <w:r w:rsidR="0019566D" w:rsidRPr="001D78AE">
        <w:t xml:space="preserve"> (art. 2</w:t>
      </w:r>
      <w:r w:rsidR="005A6ABA" w:rsidRPr="001D78AE">
        <w:t>3</w:t>
      </w:r>
      <w:r w:rsidR="0019566D" w:rsidRPr="001D78AE">
        <w:t xml:space="preserve"> OFCo)</w:t>
      </w:r>
      <w:bookmarkEnd w:id="94"/>
    </w:p>
    <w:p w:rsidR="00212C2C" w:rsidRPr="001D78AE" w:rsidRDefault="002B607C" w:rsidP="000402C9">
      <w:r w:rsidRPr="001D78AE">
        <w:rPr>
          <w:rStyle w:val="Appelnotedebasdep"/>
          <w:position w:val="6"/>
          <w:sz w:val="14"/>
          <w:vertAlign w:val="baseline"/>
        </w:rPr>
        <w:t>1</w:t>
      </w:r>
      <w:r w:rsidRPr="001D78AE">
        <w:rPr>
          <w:position w:val="6"/>
          <w:sz w:val="14"/>
        </w:rPr>
        <w:t xml:space="preserve"> </w:t>
      </w:r>
      <w:r w:rsidR="00811D29" w:rsidRPr="001D78AE">
        <w:t>Les immobilisations du patrimoine administratif sont amorties en fonction de leur durée d’utilisation :</w:t>
      </w:r>
    </w:p>
    <w:tbl>
      <w:tblPr>
        <w:tblStyle w:val="Grilledutableau"/>
        <w:tblW w:w="6628" w:type="dxa"/>
        <w:tblLayout w:type="fixed"/>
        <w:tblLook w:val="04A0" w:firstRow="1" w:lastRow="0" w:firstColumn="1" w:lastColumn="0" w:noHBand="0" w:noVBand="1"/>
      </w:tblPr>
      <w:tblGrid>
        <w:gridCol w:w="675"/>
        <w:gridCol w:w="3402"/>
        <w:gridCol w:w="1134"/>
        <w:gridCol w:w="1417"/>
      </w:tblGrid>
      <w:tr w:rsidR="002A238C" w:rsidRPr="001D78AE" w:rsidTr="007D212D">
        <w:trPr>
          <w:tblHeader/>
        </w:trPr>
        <w:tc>
          <w:tcPr>
            <w:tcW w:w="675" w:type="dxa"/>
            <w:shd w:val="clear" w:color="auto" w:fill="D9D9D9" w:themeFill="background1" w:themeFillShade="D9"/>
          </w:tcPr>
          <w:p w:rsidR="002A238C" w:rsidRPr="001D78AE" w:rsidRDefault="007D212D" w:rsidP="00B87961">
            <w:pPr>
              <w:jc w:val="right"/>
              <w:rPr>
                <w:b/>
                <w:sz w:val="12"/>
                <w:szCs w:val="12"/>
              </w:rPr>
            </w:pPr>
            <w:r>
              <w:rPr>
                <w:b/>
                <w:sz w:val="12"/>
                <w:szCs w:val="12"/>
              </w:rPr>
              <w:t>Compte</w:t>
            </w:r>
          </w:p>
        </w:tc>
        <w:tc>
          <w:tcPr>
            <w:tcW w:w="3402" w:type="dxa"/>
            <w:shd w:val="clear" w:color="auto" w:fill="D9D9D9" w:themeFill="background1" w:themeFillShade="D9"/>
          </w:tcPr>
          <w:p w:rsidR="002A238C" w:rsidRPr="001D78AE" w:rsidRDefault="002A238C" w:rsidP="003118F5">
            <w:pPr>
              <w:rPr>
                <w:b/>
                <w:sz w:val="12"/>
                <w:szCs w:val="12"/>
              </w:rPr>
            </w:pPr>
            <w:r w:rsidRPr="001D78AE">
              <w:rPr>
                <w:b/>
                <w:sz w:val="12"/>
                <w:szCs w:val="12"/>
              </w:rPr>
              <w:t>Catégorie d’objets</w:t>
            </w:r>
          </w:p>
        </w:tc>
        <w:tc>
          <w:tcPr>
            <w:tcW w:w="1134" w:type="dxa"/>
            <w:shd w:val="clear" w:color="auto" w:fill="D9D9D9" w:themeFill="background1" w:themeFillShade="D9"/>
          </w:tcPr>
          <w:p w:rsidR="002A238C" w:rsidRPr="001D78AE" w:rsidRDefault="002A238C" w:rsidP="003118F5">
            <w:pPr>
              <w:rPr>
                <w:b/>
                <w:sz w:val="12"/>
                <w:szCs w:val="12"/>
              </w:rPr>
            </w:pPr>
            <w:r w:rsidRPr="001D78AE">
              <w:rPr>
                <w:b/>
                <w:sz w:val="12"/>
                <w:szCs w:val="12"/>
              </w:rPr>
              <w:t>Durée utilisation</w:t>
            </w:r>
          </w:p>
        </w:tc>
        <w:tc>
          <w:tcPr>
            <w:tcW w:w="1417" w:type="dxa"/>
            <w:shd w:val="clear" w:color="auto" w:fill="D9D9D9" w:themeFill="background1" w:themeFillShade="D9"/>
          </w:tcPr>
          <w:p w:rsidR="002A238C" w:rsidRPr="001D78AE" w:rsidRDefault="002A238C" w:rsidP="003118F5">
            <w:pPr>
              <w:rPr>
                <w:b/>
                <w:sz w:val="12"/>
                <w:szCs w:val="12"/>
              </w:rPr>
            </w:pPr>
            <w:r w:rsidRPr="001D78AE">
              <w:rPr>
                <w:b/>
                <w:sz w:val="12"/>
                <w:szCs w:val="12"/>
              </w:rPr>
              <w:t>Taux amortissement</w:t>
            </w:r>
          </w:p>
        </w:tc>
      </w:tr>
      <w:tr w:rsidR="007D212D" w:rsidRPr="007D212D" w:rsidTr="00AD42A2">
        <w:trPr>
          <w:tblHeader/>
        </w:trPr>
        <w:tc>
          <w:tcPr>
            <w:tcW w:w="6628" w:type="dxa"/>
            <w:gridSpan w:val="4"/>
            <w:shd w:val="clear" w:color="auto" w:fill="auto"/>
          </w:tcPr>
          <w:p w:rsidR="007D212D" w:rsidRPr="007D212D" w:rsidRDefault="007D212D" w:rsidP="003118F5">
            <w:pPr>
              <w:rPr>
                <w:b/>
                <w:i/>
                <w:sz w:val="16"/>
                <w:szCs w:val="16"/>
              </w:rPr>
            </w:pPr>
            <w:r w:rsidRPr="007D212D">
              <w:rPr>
                <w:b/>
                <w:i/>
                <w:sz w:val="16"/>
                <w:szCs w:val="16"/>
              </w:rPr>
              <w:t>Immobilisations corporelles</w:t>
            </w:r>
          </w:p>
        </w:tc>
      </w:tr>
      <w:tr w:rsidR="002A238C" w:rsidRPr="001D78AE" w:rsidTr="007D212D">
        <w:tc>
          <w:tcPr>
            <w:tcW w:w="675" w:type="dxa"/>
          </w:tcPr>
          <w:p w:rsidR="002A238C" w:rsidRPr="001D78AE" w:rsidRDefault="002A238C" w:rsidP="00A01481">
            <w:pPr>
              <w:spacing w:after="0" w:line="200" w:lineRule="exact"/>
              <w:jc w:val="right"/>
              <w:rPr>
                <w:sz w:val="16"/>
                <w:szCs w:val="16"/>
              </w:rPr>
            </w:pPr>
            <w:r w:rsidRPr="001D78AE">
              <w:rPr>
                <w:sz w:val="16"/>
                <w:szCs w:val="16"/>
              </w:rPr>
              <w:t>1</w:t>
            </w:r>
            <w:r w:rsidR="007D212D">
              <w:rPr>
                <w:sz w:val="16"/>
                <w:szCs w:val="16"/>
              </w:rPr>
              <w:t>400</w:t>
            </w:r>
          </w:p>
        </w:tc>
        <w:tc>
          <w:tcPr>
            <w:tcW w:w="3402" w:type="dxa"/>
          </w:tcPr>
          <w:p w:rsidR="002A238C" w:rsidRPr="001D78AE" w:rsidRDefault="002A238C" w:rsidP="00A01481">
            <w:pPr>
              <w:spacing w:after="0" w:line="200" w:lineRule="exact"/>
              <w:jc w:val="left"/>
              <w:rPr>
                <w:b/>
                <w:sz w:val="16"/>
                <w:szCs w:val="16"/>
              </w:rPr>
            </w:pPr>
            <w:r w:rsidRPr="001D78AE">
              <w:rPr>
                <w:b/>
                <w:sz w:val="16"/>
                <w:szCs w:val="16"/>
              </w:rPr>
              <w:t>Terrain</w:t>
            </w:r>
            <w:r w:rsidR="00F02949">
              <w:rPr>
                <w:b/>
                <w:sz w:val="16"/>
                <w:szCs w:val="16"/>
              </w:rPr>
              <w:t>s</w:t>
            </w:r>
          </w:p>
        </w:tc>
        <w:tc>
          <w:tcPr>
            <w:tcW w:w="2551" w:type="dxa"/>
            <w:gridSpan w:val="2"/>
          </w:tcPr>
          <w:p w:rsidR="002A238C" w:rsidRPr="001D78AE" w:rsidRDefault="002A238C" w:rsidP="002A238C">
            <w:pPr>
              <w:spacing w:after="0" w:line="200" w:lineRule="exact"/>
              <w:jc w:val="left"/>
              <w:rPr>
                <w:sz w:val="16"/>
                <w:szCs w:val="16"/>
              </w:rPr>
            </w:pPr>
            <w:r w:rsidRPr="001D78AE">
              <w:rPr>
                <w:i/>
                <w:sz w:val="16"/>
                <w:szCs w:val="16"/>
              </w:rPr>
              <w:t>non soumis à l’amortissement</w:t>
            </w:r>
          </w:p>
        </w:tc>
      </w:tr>
      <w:tr w:rsidR="002A238C" w:rsidRPr="001D78AE" w:rsidTr="007D212D">
        <w:tc>
          <w:tcPr>
            <w:tcW w:w="675" w:type="dxa"/>
          </w:tcPr>
          <w:p w:rsidR="002A238C" w:rsidRPr="001D78AE" w:rsidRDefault="00186A7F" w:rsidP="00A01481">
            <w:pPr>
              <w:spacing w:after="0" w:line="200" w:lineRule="exact"/>
              <w:jc w:val="right"/>
              <w:rPr>
                <w:sz w:val="16"/>
                <w:szCs w:val="16"/>
              </w:rPr>
            </w:pPr>
            <w:r>
              <w:rPr>
                <w:sz w:val="16"/>
                <w:szCs w:val="16"/>
              </w:rPr>
              <w:t>1401</w:t>
            </w:r>
          </w:p>
        </w:tc>
        <w:tc>
          <w:tcPr>
            <w:tcW w:w="3402" w:type="dxa"/>
          </w:tcPr>
          <w:p w:rsidR="002A238C" w:rsidRPr="00186A7F" w:rsidRDefault="00186A7F" w:rsidP="000E1446">
            <w:pPr>
              <w:spacing w:after="0" w:line="200" w:lineRule="exact"/>
              <w:jc w:val="left"/>
              <w:rPr>
                <w:b/>
                <w:sz w:val="16"/>
                <w:szCs w:val="16"/>
              </w:rPr>
            </w:pPr>
            <w:r>
              <w:rPr>
                <w:b/>
                <w:sz w:val="16"/>
                <w:szCs w:val="16"/>
              </w:rPr>
              <w:t>Route</w:t>
            </w:r>
            <w:r w:rsidR="00F02949">
              <w:rPr>
                <w:b/>
                <w:sz w:val="16"/>
                <w:szCs w:val="16"/>
              </w:rPr>
              <w:t>s</w:t>
            </w:r>
            <w:r w:rsidR="000E1446">
              <w:rPr>
                <w:b/>
                <w:sz w:val="16"/>
                <w:szCs w:val="16"/>
              </w:rPr>
              <w:t>,</w:t>
            </w:r>
            <w:r>
              <w:rPr>
                <w:b/>
                <w:sz w:val="16"/>
                <w:szCs w:val="16"/>
              </w:rPr>
              <w:t xml:space="preserve"> voie</w:t>
            </w:r>
            <w:r w:rsidR="00F02949">
              <w:rPr>
                <w:b/>
                <w:sz w:val="16"/>
                <w:szCs w:val="16"/>
              </w:rPr>
              <w:t>s</w:t>
            </w:r>
            <w:r>
              <w:rPr>
                <w:b/>
                <w:sz w:val="16"/>
                <w:szCs w:val="16"/>
              </w:rPr>
              <w:t xml:space="preserve"> de communication</w:t>
            </w:r>
          </w:p>
        </w:tc>
        <w:tc>
          <w:tcPr>
            <w:tcW w:w="1134" w:type="dxa"/>
          </w:tcPr>
          <w:p w:rsidR="002A238C" w:rsidRPr="001D78AE" w:rsidRDefault="007634F8" w:rsidP="007634F8">
            <w:pPr>
              <w:spacing w:after="0" w:line="200" w:lineRule="exact"/>
              <w:jc w:val="right"/>
              <w:rPr>
                <w:sz w:val="16"/>
                <w:szCs w:val="16"/>
              </w:rPr>
            </w:pPr>
            <w:r>
              <w:rPr>
                <w:sz w:val="16"/>
                <w:szCs w:val="16"/>
              </w:rPr>
              <w:t xml:space="preserve">20–40 </w:t>
            </w:r>
            <w:r w:rsidR="002A238C" w:rsidRPr="001D78AE">
              <w:rPr>
                <w:sz w:val="16"/>
                <w:szCs w:val="16"/>
              </w:rPr>
              <w:t>ans</w:t>
            </w:r>
          </w:p>
        </w:tc>
        <w:tc>
          <w:tcPr>
            <w:tcW w:w="1417" w:type="dxa"/>
          </w:tcPr>
          <w:p w:rsidR="002A238C" w:rsidRPr="001D78AE" w:rsidRDefault="007634F8" w:rsidP="00FD5172">
            <w:pPr>
              <w:spacing w:after="0" w:line="200" w:lineRule="exact"/>
              <w:jc w:val="right"/>
              <w:rPr>
                <w:sz w:val="16"/>
                <w:szCs w:val="16"/>
              </w:rPr>
            </w:pPr>
            <w:r>
              <w:rPr>
                <w:sz w:val="16"/>
                <w:szCs w:val="16"/>
              </w:rPr>
              <w:t>5</w:t>
            </w:r>
            <w:r w:rsidR="002A238C" w:rsidRPr="001D78AE">
              <w:rPr>
                <w:sz w:val="16"/>
                <w:szCs w:val="16"/>
              </w:rPr>
              <w:t>,00</w:t>
            </w:r>
            <w:r w:rsidR="00683CF7">
              <w:rPr>
                <w:sz w:val="16"/>
                <w:szCs w:val="16"/>
              </w:rPr>
              <w:t> </w:t>
            </w:r>
            <w:r w:rsidR="002A238C" w:rsidRPr="001D78AE">
              <w:rPr>
                <w:sz w:val="16"/>
                <w:szCs w:val="16"/>
              </w:rPr>
              <w:t>%</w:t>
            </w:r>
            <w:r w:rsidR="00FD5172">
              <w:rPr>
                <w:sz w:val="16"/>
                <w:szCs w:val="16"/>
              </w:rPr>
              <w:t>–2,50</w:t>
            </w:r>
            <w:r w:rsidR="00683CF7">
              <w:rPr>
                <w:sz w:val="16"/>
                <w:szCs w:val="16"/>
              </w:rPr>
              <w:t> </w:t>
            </w:r>
            <w:r>
              <w:rPr>
                <w:sz w:val="16"/>
                <w:szCs w:val="16"/>
              </w:rPr>
              <w:t>%</w:t>
            </w:r>
          </w:p>
        </w:tc>
      </w:tr>
      <w:tr w:rsidR="002A238C" w:rsidRPr="001D78AE" w:rsidTr="007D212D">
        <w:tc>
          <w:tcPr>
            <w:tcW w:w="675" w:type="dxa"/>
          </w:tcPr>
          <w:p w:rsidR="002A238C" w:rsidRPr="001D78AE" w:rsidRDefault="00186A7F" w:rsidP="002A238C">
            <w:pPr>
              <w:spacing w:after="0" w:line="200" w:lineRule="exact"/>
              <w:jc w:val="right"/>
              <w:rPr>
                <w:sz w:val="16"/>
                <w:szCs w:val="16"/>
              </w:rPr>
            </w:pPr>
            <w:r>
              <w:rPr>
                <w:sz w:val="16"/>
                <w:szCs w:val="16"/>
              </w:rPr>
              <w:t>1402</w:t>
            </w:r>
          </w:p>
        </w:tc>
        <w:tc>
          <w:tcPr>
            <w:tcW w:w="3402" w:type="dxa"/>
          </w:tcPr>
          <w:p w:rsidR="002A238C" w:rsidRPr="00186A7F" w:rsidRDefault="00186A7F" w:rsidP="00552B0D">
            <w:pPr>
              <w:spacing w:after="0" w:line="200" w:lineRule="exact"/>
              <w:jc w:val="left"/>
              <w:rPr>
                <w:b/>
                <w:sz w:val="16"/>
                <w:szCs w:val="16"/>
              </w:rPr>
            </w:pPr>
            <w:r>
              <w:rPr>
                <w:b/>
                <w:sz w:val="16"/>
                <w:szCs w:val="16"/>
              </w:rPr>
              <w:t>Aménagement</w:t>
            </w:r>
            <w:r w:rsidR="00F02949">
              <w:rPr>
                <w:b/>
                <w:sz w:val="16"/>
                <w:szCs w:val="16"/>
              </w:rPr>
              <w:t>s</w:t>
            </w:r>
            <w:r>
              <w:rPr>
                <w:b/>
                <w:sz w:val="16"/>
                <w:szCs w:val="16"/>
              </w:rPr>
              <w:t xml:space="preserve"> de cours d’eau</w:t>
            </w:r>
          </w:p>
        </w:tc>
        <w:tc>
          <w:tcPr>
            <w:tcW w:w="1134" w:type="dxa"/>
          </w:tcPr>
          <w:p w:rsidR="002A238C" w:rsidRPr="001D78AE" w:rsidRDefault="007634F8" w:rsidP="002A238C">
            <w:pPr>
              <w:spacing w:after="0" w:line="200" w:lineRule="exact"/>
              <w:jc w:val="right"/>
              <w:rPr>
                <w:sz w:val="16"/>
                <w:szCs w:val="16"/>
              </w:rPr>
            </w:pPr>
            <w:r>
              <w:rPr>
                <w:sz w:val="16"/>
                <w:szCs w:val="16"/>
              </w:rPr>
              <w:t xml:space="preserve">20–40 </w:t>
            </w:r>
            <w:r w:rsidRPr="001D78AE">
              <w:rPr>
                <w:sz w:val="16"/>
                <w:szCs w:val="16"/>
              </w:rPr>
              <w:t>ans</w:t>
            </w:r>
          </w:p>
        </w:tc>
        <w:tc>
          <w:tcPr>
            <w:tcW w:w="1417" w:type="dxa"/>
          </w:tcPr>
          <w:p w:rsidR="002A238C" w:rsidRPr="001D78AE" w:rsidRDefault="007634F8" w:rsidP="002A238C">
            <w:pPr>
              <w:spacing w:after="0" w:line="200" w:lineRule="exact"/>
              <w:jc w:val="right"/>
              <w:rPr>
                <w:sz w:val="16"/>
                <w:szCs w:val="16"/>
              </w:rPr>
            </w:pPr>
            <w:r>
              <w:rPr>
                <w:sz w:val="16"/>
                <w:szCs w:val="16"/>
              </w:rPr>
              <w:t>5</w:t>
            </w:r>
            <w:r w:rsidR="00FD5172">
              <w:rPr>
                <w:sz w:val="16"/>
                <w:szCs w:val="16"/>
              </w:rPr>
              <w:t>,00</w:t>
            </w:r>
            <w:r w:rsidR="00683CF7">
              <w:rPr>
                <w:sz w:val="16"/>
                <w:szCs w:val="16"/>
              </w:rPr>
              <w:t> </w:t>
            </w:r>
            <w:r w:rsidRPr="001D78AE">
              <w:rPr>
                <w:sz w:val="16"/>
                <w:szCs w:val="16"/>
              </w:rPr>
              <w:t>%</w:t>
            </w:r>
            <w:r w:rsidR="00FD5172">
              <w:rPr>
                <w:sz w:val="16"/>
                <w:szCs w:val="16"/>
              </w:rPr>
              <w:t>–2,50</w:t>
            </w:r>
            <w:r w:rsidR="00683CF7">
              <w:rPr>
                <w:sz w:val="16"/>
                <w:szCs w:val="16"/>
              </w:rPr>
              <w:t> </w:t>
            </w:r>
            <w:r>
              <w:rPr>
                <w:sz w:val="16"/>
                <w:szCs w:val="16"/>
              </w:rPr>
              <w:t>%</w:t>
            </w:r>
          </w:p>
        </w:tc>
      </w:tr>
      <w:tr w:rsidR="00186A7F" w:rsidRPr="001D78AE" w:rsidTr="007D212D">
        <w:tc>
          <w:tcPr>
            <w:tcW w:w="675" w:type="dxa"/>
          </w:tcPr>
          <w:p w:rsidR="00186A7F" w:rsidRDefault="00186A7F" w:rsidP="002A238C">
            <w:pPr>
              <w:spacing w:after="0" w:line="200" w:lineRule="exact"/>
              <w:jc w:val="right"/>
              <w:rPr>
                <w:sz w:val="16"/>
                <w:szCs w:val="16"/>
              </w:rPr>
            </w:pPr>
            <w:r>
              <w:rPr>
                <w:sz w:val="16"/>
                <w:szCs w:val="16"/>
              </w:rPr>
              <w:t>1403</w:t>
            </w:r>
          </w:p>
        </w:tc>
        <w:tc>
          <w:tcPr>
            <w:tcW w:w="3402" w:type="dxa"/>
          </w:tcPr>
          <w:p w:rsidR="00186A7F" w:rsidRPr="00186A7F" w:rsidRDefault="00627D53" w:rsidP="00186A7F">
            <w:pPr>
              <w:spacing w:after="0" w:line="200" w:lineRule="exact"/>
              <w:jc w:val="left"/>
              <w:rPr>
                <w:i/>
                <w:sz w:val="16"/>
                <w:szCs w:val="16"/>
              </w:rPr>
            </w:pPr>
            <w:r>
              <w:rPr>
                <w:b/>
                <w:sz w:val="16"/>
                <w:szCs w:val="16"/>
              </w:rPr>
              <w:t>Autres o</w:t>
            </w:r>
            <w:r w:rsidR="00C23767">
              <w:rPr>
                <w:b/>
                <w:sz w:val="16"/>
                <w:szCs w:val="16"/>
              </w:rPr>
              <w:t>uvrage</w:t>
            </w:r>
            <w:r w:rsidR="00186A7F">
              <w:rPr>
                <w:b/>
                <w:sz w:val="16"/>
                <w:szCs w:val="16"/>
              </w:rPr>
              <w:t xml:space="preserve"> de génie civil</w:t>
            </w:r>
          </w:p>
        </w:tc>
        <w:tc>
          <w:tcPr>
            <w:tcW w:w="1134" w:type="dxa"/>
          </w:tcPr>
          <w:p w:rsidR="00186A7F" w:rsidRPr="001D78AE" w:rsidRDefault="007634F8" w:rsidP="002A238C">
            <w:pPr>
              <w:spacing w:after="0" w:line="200" w:lineRule="exact"/>
              <w:jc w:val="right"/>
              <w:rPr>
                <w:sz w:val="16"/>
                <w:szCs w:val="16"/>
              </w:rPr>
            </w:pPr>
            <w:r>
              <w:rPr>
                <w:sz w:val="16"/>
                <w:szCs w:val="16"/>
              </w:rPr>
              <w:t>20–80 ans</w:t>
            </w:r>
          </w:p>
        </w:tc>
        <w:tc>
          <w:tcPr>
            <w:tcW w:w="1417" w:type="dxa"/>
          </w:tcPr>
          <w:p w:rsidR="00186A7F" w:rsidRPr="001D78AE" w:rsidRDefault="00FD5172" w:rsidP="002A238C">
            <w:pPr>
              <w:spacing w:after="0" w:line="200" w:lineRule="exact"/>
              <w:jc w:val="right"/>
              <w:rPr>
                <w:sz w:val="16"/>
                <w:szCs w:val="16"/>
              </w:rPr>
            </w:pPr>
            <w:r>
              <w:rPr>
                <w:sz w:val="16"/>
                <w:szCs w:val="16"/>
              </w:rPr>
              <w:t>5,00</w:t>
            </w:r>
            <w:r w:rsidR="00683CF7">
              <w:rPr>
                <w:sz w:val="16"/>
                <w:szCs w:val="16"/>
              </w:rPr>
              <w:t> </w:t>
            </w:r>
            <w:r>
              <w:rPr>
                <w:sz w:val="16"/>
                <w:szCs w:val="16"/>
              </w:rPr>
              <w:t>%–1,25</w:t>
            </w:r>
            <w:r w:rsidR="00683CF7">
              <w:rPr>
                <w:sz w:val="16"/>
                <w:szCs w:val="16"/>
              </w:rPr>
              <w:t> </w:t>
            </w:r>
            <w:r w:rsidR="007634F8">
              <w:rPr>
                <w:sz w:val="16"/>
                <w:szCs w:val="16"/>
              </w:rPr>
              <w:t>%</w:t>
            </w:r>
          </w:p>
        </w:tc>
      </w:tr>
      <w:tr w:rsidR="002A238C" w:rsidRPr="001D78AE" w:rsidTr="007D212D">
        <w:tc>
          <w:tcPr>
            <w:tcW w:w="675" w:type="dxa"/>
          </w:tcPr>
          <w:p w:rsidR="002A238C" w:rsidRPr="001D78AE" w:rsidRDefault="00186A7F" w:rsidP="002A238C">
            <w:pPr>
              <w:spacing w:after="0" w:line="200" w:lineRule="exact"/>
              <w:jc w:val="right"/>
              <w:rPr>
                <w:sz w:val="16"/>
                <w:szCs w:val="16"/>
              </w:rPr>
            </w:pPr>
            <w:r>
              <w:rPr>
                <w:sz w:val="16"/>
                <w:szCs w:val="16"/>
              </w:rPr>
              <w:t>1404</w:t>
            </w:r>
          </w:p>
        </w:tc>
        <w:tc>
          <w:tcPr>
            <w:tcW w:w="3402" w:type="dxa"/>
          </w:tcPr>
          <w:p w:rsidR="00186A7F" w:rsidRPr="00186A7F" w:rsidRDefault="00186A7F" w:rsidP="001365F6">
            <w:pPr>
              <w:spacing w:after="0" w:line="200" w:lineRule="exact"/>
              <w:jc w:val="left"/>
              <w:rPr>
                <w:i/>
                <w:sz w:val="16"/>
                <w:szCs w:val="16"/>
              </w:rPr>
            </w:pPr>
            <w:r>
              <w:rPr>
                <w:b/>
                <w:sz w:val="16"/>
                <w:szCs w:val="16"/>
              </w:rPr>
              <w:t>B</w:t>
            </w:r>
            <w:r w:rsidR="00C23767">
              <w:rPr>
                <w:b/>
                <w:sz w:val="16"/>
                <w:szCs w:val="16"/>
              </w:rPr>
              <w:t>âtiment</w:t>
            </w:r>
            <w:r w:rsidR="00F02949">
              <w:rPr>
                <w:b/>
                <w:sz w:val="16"/>
                <w:szCs w:val="16"/>
              </w:rPr>
              <w:t>s</w:t>
            </w:r>
          </w:p>
        </w:tc>
        <w:tc>
          <w:tcPr>
            <w:tcW w:w="1134" w:type="dxa"/>
          </w:tcPr>
          <w:p w:rsidR="001365F6" w:rsidRPr="001D78AE" w:rsidRDefault="00A3602F" w:rsidP="007634F8">
            <w:pPr>
              <w:spacing w:after="0" w:line="200" w:lineRule="exact"/>
              <w:jc w:val="right"/>
              <w:rPr>
                <w:sz w:val="16"/>
                <w:szCs w:val="16"/>
              </w:rPr>
            </w:pPr>
            <w:r>
              <w:rPr>
                <w:sz w:val="16"/>
                <w:szCs w:val="16"/>
              </w:rPr>
              <w:t>25–40 ans</w:t>
            </w:r>
          </w:p>
        </w:tc>
        <w:tc>
          <w:tcPr>
            <w:tcW w:w="1417" w:type="dxa"/>
          </w:tcPr>
          <w:p w:rsidR="001365F6" w:rsidRPr="001D78AE" w:rsidRDefault="00FD5172" w:rsidP="007634F8">
            <w:pPr>
              <w:spacing w:after="0" w:line="200" w:lineRule="exact"/>
              <w:jc w:val="right"/>
              <w:rPr>
                <w:sz w:val="16"/>
                <w:szCs w:val="16"/>
              </w:rPr>
            </w:pPr>
            <w:r>
              <w:rPr>
                <w:sz w:val="16"/>
                <w:szCs w:val="16"/>
              </w:rPr>
              <w:t>4,00</w:t>
            </w:r>
            <w:r w:rsidR="00683CF7">
              <w:rPr>
                <w:sz w:val="16"/>
                <w:szCs w:val="16"/>
              </w:rPr>
              <w:t> </w:t>
            </w:r>
            <w:r w:rsidR="00C0608B">
              <w:rPr>
                <w:sz w:val="16"/>
                <w:szCs w:val="16"/>
              </w:rPr>
              <w:t>%</w:t>
            </w:r>
            <w:r w:rsidR="009C65E7">
              <w:rPr>
                <w:sz w:val="16"/>
                <w:szCs w:val="16"/>
              </w:rPr>
              <w:t>–</w:t>
            </w:r>
            <w:r>
              <w:rPr>
                <w:sz w:val="16"/>
                <w:szCs w:val="16"/>
              </w:rPr>
              <w:t>2,50</w:t>
            </w:r>
            <w:r w:rsidR="00683CF7">
              <w:rPr>
                <w:sz w:val="16"/>
                <w:szCs w:val="16"/>
              </w:rPr>
              <w:t> </w:t>
            </w:r>
            <w:r w:rsidR="00A3602F">
              <w:rPr>
                <w:sz w:val="16"/>
                <w:szCs w:val="16"/>
              </w:rPr>
              <w:t>%</w:t>
            </w:r>
          </w:p>
        </w:tc>
      </w:tr>
      <w:tr w:rsidR="0047307D" w:rsidRPr="001D78AE" w:rsidTr="00616F34">
        <w:tc>
          <w:tcPr>
            <w:tcW w:w="675" w:type="dxa"/>
          </w:tcPr>
          <w:p w:rsidR="0047307D" w:rsidRPr="001D78AE" w:rsidRDefault="0047307D" w:rsidP="002A238C">
            <w:pPr>
              <w:spacing w:after="0" w:line="200" w:lineRule="exact"/>
              <w:jc w:val="right"/>
              <w:rPr>
                <w:sz w:val="16"/>
                <w:szCs w:val="16"/>
              </w:rPr>
            </w:pPr>
            <w:r>
              <w:rPr>
                <w:sz w:val="16"/>
                <w:szCs w:val="16"/>
              </w:rPr>
              <w:t>1405</w:t>
            </w:r>
          </w:p>
        </w:tc>
        <w:tc>
          <w:tcPr>
            <w:tcW w:w="3402" w:type="dxa"/>
          </w:tcPr>
          <w:p w:rsidR="0047307D" w:rsidRPr="001D78AE" w:rsidRDefault="0047307D" w:rsidP="000E1446">
            <w:pPr>
              <w:spacing w:after="0" w:line="200" w:lineRule="exact"/>
              <w:jc w:val="left"/>
              <w:rPr>
                <w:b/>
                <w:sz w:val="16"/>
                <w:szCs w:val="16"/>
              </w:rPr>
            </w:pPr>
            <w:r>
              <w:rPr>
                <w:b/>
                <w:sz w:val="16"/>
                <w:szCs w:val="16"/>
              </w:rPr>
              <w:t>For</w:t>
            </w:r>
            <w:r w:rsidR="00C23767">
              <w:rPr>
                <w:b/>
                <w:sz w:val="16"/>
                <w:szCs w:val="16"/>
              </w:rPr>
              <w:t>êt</w:t>
            </w:r>
            <w:r w:rsidR="00F02949">
              <w:rPr>
                <w:b/>
                <w:sz w:val="16"/>
                <w:szCs w:val="16"/>
              </w:rPr>
              <w:t>s</w:t>
            </w:r>
          </w:p>
        </w:tc>
        <w:tc>
          <w:tcPr>
            <w:tcW w:w="2551" w:type="dxa"/>
            <w:gridSpan w:val="2"/>
          </w:tcPr>
          <w:p w:rsidR="0047307D" w:rsidRPr="0047307D" w:rsidRDefault="0047307D" w:rsidP="0047307D">
            <w:pPr>
              <w:spacing w:after="0" w:line="200" w:lineRule="exact"/>
              <w:jc w:val="left"/>
              <w:rPr>
                <w:i/>
                <w:sz w:val="16"/>
                <w:szCs w:val="16"/>
              </w:rPr>
            </w:pPr>
            <w:r>
              <w:rPr>
                <w:i/>
                <w:sz w:val="16"/>
                <w:szCs w:val="16"/>
              </w:rPr>
              <w:t>non soumis à l’amortissement</w:t>
            </w:r>
          </w:p>
        </w:tc>
      </w:tr>
      <w:tr w:rsidR="002A238C" w:rsidRPr="001D78AE" w:rsidTr="007D212D">
        <w:tc>
          <w:tcPr>
            <w:tcW w:w="675" w:type="dxa"/>
          </w:tcPr>
          <w:p w:rsidR="002A238C" w:rsidRPr="001D78AE" w:rsidRDefault="0047307D" w:rsidP="002A238C">
            <w:pPr>
              <w:spacing w:after="0" w:line="200" w:lineRule="exact"/>
              <w:jc w:val="right"/>
              <w:rPr>
                <w:sz w:val="16"/>
                <w:szCs w:val="16"/>
              </w:rPr>
            </w:pPr>
            <w:r>
              <w:rPr>
                <w:sz w:val="16"/>
                <w:szCs w:val="16"/>
              </w:rPr>
              <w:t>1406</w:t>
            </w:r>
          </w:p>
        </w:tc>
        <w:tc>
          <w:tcPr>
            <w:tcW w:w="3402" w:type="dxa"/>
          </w:tcPr>
          <w:p w:rsidR="0047307D" w:rsidRPr="0047307D" w:rsidRDefault="0047307D" w:rsidP="002A238C">
            <w:pPr>
              <w:spacing w:after="0" w:line="200" w:lineRule="exact"/>
              <w:jc w:val="left"/>
              <w:rPr>
                <w:i/>
                <w:sz w:val="16"/>
                <w:szCs w:val="16"/>
              </w:rPr>
            </w:pPr>
            <w:r>
              <w:rPr>
                <w:b/>
                <w:sz w:val="16"/>
                <w:szCs w:val="16"/>
              </w:rPr>
              <w:t>B</w:t>
            </w:r>
            <w:r w:rsidR="00C23767">
              <w:rPr>
                <w:b/>
                <w:sz w:val="16"/>
                <w:szCs w:val="16"/>
              </w:rPr>
              <w:t>ien</w:t>
            </w:r>
            <w:r w:rsidR="00F02949">
              <w:rPr>
                <w:b/>
                <w:sz w:val="16"/>
                <w:szCs w:val="16"/>
              </w:rPr>
              <w:t>s</w:t>
            </w:r>
            <w:r w:rsidR="00C23767">
              <w:rPr>
                <w:b/>
                <w:sz w:val="16"/>
                <w:szCs w:val="16"/>
              </w:rPr>
              <w:t xml:space="preserve"> meuble</w:t>
            </w:r>
            <w:r w:rsidR="00F02949">
              <w:rPr>
                <w:b/>
                <w:sz w:val="16"/>
                <w:szCs w:val="16"/>
              </w:rPr>
              <w:t>s</w:t>
            </w:r>
          </w:p>
        </w:tc>
        <w:tc>
          <w:tcPr>
            <w:tcW w:w="1134" w:type="dxa"/>
          </w:tcPr>
          <w:p w:rsidR="0047307D" w:rsidRPr="001D78AE" w:rsidRDefault="00627D53" w:rsidP="002A238C">
            <w:pPr>
              <w:spacing w:after="0" w:line="200" w:lineRule="exact"/>
              <w:jc w:val="right"/>
              <w:rPr>
                <w:sz w:val="16"/>
                <w:szCs w:val="16"/>
              </w:rPr>
            </w:pPr>
            <w:r>
              <w:rPr>
                <w:sz w:val="16"/>
                <w:szCs w:val="16"/>
              </w:rPr>
              <w:t>4</w:t>
            </w:r>
            <w:r w:rsidR="00C0608B">
              <w:rPr>
                <w:sz w:val="16"/>
                <w:szCs w:val="16"/>
              </w:rPr>
              <w:t>–20 ans</w:t>
            </w:r>
          </w:p>
        </w:tc>
        <w:tc>
          <w:tcPr>
            <w:tcW w:w="1417" w:type="dxa"/>
          </w:tcPr>
          <w:p w:rsidR="0047307D" w:rsidRPr="001D78AE" w:rsidRDefault="00627D53" w:rsidP="002A238C">
            <w:pPr>
              <w:spacing w:after="0" w:line="200" w:lineRule="exact"/>
              <w:jc w:val="right"/>
              <w:rPr>
                <w:sz w:val="16"/>
                <w:szCs w:val="16"/>
              </w:rPr>
            </w:pPr>
            <w:r>
              <w:rPr>
                <w:sz w:val="16"/>
                <w:szCs w:val="16"/>
              </w:rPr>
              <w:t>25</w:t>
            </w:r>
            <w:r w:rsidR="00FD5172">
              <w:rPr>
                <w:sz w:val="16"/>
                <w:szCs w:val="16"/>
              </w:rPr>
              <w:t>,00</w:t>
            </w:r>
            <w:r w:rsidR="00683CF7">
              <w:rPr>
                <w:sz w:val="16"/>
                <w:szCs w:val="16"/>
              </w:rPr>
              <w:t> </w:t>
            </w:r>
            <w:r w:rsidR="00FD5172">
              <w:rPr>
                <w:sz w:val="16"/>
                <w:szCs w:val="16"/>
              </w:rPr>
              <w:t>%</w:t>
            </w:r>
            <w:r w:rsidR="009C65E7">
              <w:rPr>
                <w:sz w:val="16"/>
                <w:szCs w:val="16"/>
              </w:rPr>
              <w:t>–</w:t>
            </w:r>
            <w:r w:rsidR="00FD5172">
              <w:rPr>
                <w:sz w:val="16"/>
                <w:szCs w:val="16"/>
              </w:rPr>
              <w:t>5,00</w:t>
            </w:r>
            <w:r w:rsidR="00683CF7">
              <w:rPr>
                <w:sz w:val="16"/>
                <w:szCs w:val="16"/>
              </w:rPr>
              <w:t> </w:t>
            </w:r>
            <w:r w:rsidR="00C0608B">
              <w:rPr>
                <w:sz w:val="16"/>
                <w:szCs w:val="16"/>
              </w:rPr>
              <w:t>%</w:t>
            </w:r>
          </w:p>
        </w:tc>
      </w:tr>
      <w:tr w:rsidR="0047307D" w:rsidRPr="0047307D" w:rsidTr="007D3B92">
        <w:tc>
          <w:tcPr>
            <w:tcW w:w="6628" w:type="dxa"/>
            <w:gridSpan w:val="4"/>
          </w:tcPr>
          <w:p w:rsidR="0047307D" w:rsidRPr="0047307D" w:rsidRDefault="0047307D" w:rsidP="0047307D">
            <w:pPr>
              <w:rPr>
                <w:b/>
                <w:i/>
                <w:sz w:val="16"/>
                <w:szCs w:val="16"/>
              </w:rPr>
            </w:pPr>
            <w:r>
              <w:rPr>
                <w:b/>
                <w:i/>
                <w:sz w:val="16"/>
                <w:szCs w:val="16"/>
              </w:rPr>
              <w:t xml:space="preserve">Immobilisations </w:t>
            </w:r>
            <w:r w:rsidR="00C23767">
              <w:rPr>
                <w:b/>
                <w:i/>
                <w:sz w:val="16"/>
                <w:szCs w:val="16"/>
              </w:rPr>
              <w:t>in</w:t>
            </w:r>
            <w:r>
              <w:rPr>
                <w:b/>
                <w:i/>
                <w:sz w:val="16"/>
                <w:szCs w:val="16"/>
              </w:rPr>
              <w:t>corporelles</w:t>
            </w:r>
          </w:p>
        </w:tc>
      </w:tr>
      <w:tr w:rsidR="002A238C" w:rsidRPr="001D78AE" w:rsidTr="007D212D">
        <w:tc>
          <w:tcPr>
            <w:tcW w:w="675" w:type="dxa"/>
          </w:tcPr>
          <w:p w:rsidR="002A238C" w:rsidRPr="001D78AE" w:rsidRDefault="0047307D" w:rsidP="002A238C">
            <w:pPr>
              <w:spacing w:after="0" w:line="200" w:lineRule="exact"/>
              <w:jc w:val="right"/>
              <w:rPr>
                <w:sz w:val="16"/>
                <w:szCs w:val="16"/>
              </w:rPr>
            </w:pPr>
            <w:r>
              <w:rPr>
                <w:sz w:val="16"/>
                <w:szCs w:val="16"/>
              </w:rPr>
              <w:t>1420</w:t>
            </w:r>
          </w:p>
        </w:tc>
        <w:tc>
          <w:tcPr>
            <w:tcW w:w="3402" w:type="dxa"/>
          </w:tcPr>
          <w:p w:rsidR="002A238C" w:rsidRPr="001D78AE" w:rsidRDefault="00627D53" w:rsidP="002A238C">
            <w:pPr>
              <w:spacing w:after="0" w:line="200" w:lineRule="exact"/>
              <w:jc w:val="left"/>
              <w:rPr>
                <w:b/>
                <w:sz w:val="16"/>
                <w:szCs w:val="16"/>
              </w:rPr>
            </w:pPr>
            <w:r>
              <w:rPr>
                <w:b/>
                <w:sz w:val="16"/>
                <w:szCs w:val="16"/>
              </w:rPr>
              <w:t>Logiciels</w:t>
            </w:r>
          </w:p>
        </w:tc>
        <w:tc>
          <w:tcPr>
            <w:tcW w:w="1134" w:type="dxa"/>
          </w:tcPr>
          <w:p w:rsidR="002A238C" w:rsidRPr="001D78AE" w:rsidRDefault="002A238C" w:rsidP="002A238C">
            <w:pPr>
              <w:spacing w:after="0" w:line="200" w:lineRule="exact"/>
              <w:jc w:val="right"/>
              <w:rPr>
                <w:sz w:val="16"/>
                <w:szCs w:val="16"/>
              </w:rPr>
            </w:pPr>
            <w:r w:rsidRPr="001D78AE">
              <w:rPr>
                <w:sz w:val="16"/>
                <w:szCs w:val="16"/>
              </w:rPr>
              <w:t>4 ans</w:t>
            </w:r>
          </w:p>
        </w:tc>
        <w:tc>
          <w:tcPr>
            <w:tcW w:w="1417" w:type="dxa"/>
          </w:tcPr>
          <w:p w:rsidR="002A238C" w:rsidRPr="001D78AE" w:rsidRDefault="00FD5172" w:rsidP="002A238C">
            <w:pPr>
              <w:spacing w:after="0" w:line="200" w:lineRule="exact"/>
              <w:jc w:val="right"/>
              <w:rPr>
                <w:sz w:val="16"/>
                <w:szCs w:val="16"/>
              </w:rPr>
            </w:pPr>
            <w:r>
              <w:rPr>
                <w:sz w:val="16"/>
                <w:szCs w:val="16"/>
              </w:rPr>
              <w:t>25,00</w:t>
            </w:r>
            <w:r w:rsidR="00683CF7">
              <w:rPr>
                <w:sz w:val="16"/>
                <w:szCs w:val="16"/>
              </w:rPr>
              <w:t> </w:t>
            </w:r>
            <w:r w:rsidR="002A238C" w:rsidRPr="001D78AE">
              <w:rPr>
                <w:sz w:val="16"/>
                <w:szCs w:val="16"/>
              </w:rPr>
              <w:t>%</w:t>
            </w:r>
          </w:p>
        </w:tc>
      </w:tr>
      <w:tr w:rsidR="002A238C" w:rsidRPr="001D78AE" w:rsidTr="007D212D">
        <w:tc>
          <w:tcPr>
            <w:tcW w:w="675" w:type="dxa"/>
          </w:tcPr>
          <w:p w:rsidR="002A238C" w:rsidRPr="001D78AE" w:rsidRDefault="0047307D" w:rsidP="002A238C">
            <w:pPr>
              <w:spacing w:after="0" w:line="200" w:lineRule="exact"/>
              <w:jc w:val="right"/>
              <w:rPr>
                <w:sz w:val="16"/>
                <w:szCs w:val="16"/>
              </w:rPr>
            </w:pPr>
            <w:r>
              <w:rPr>
                <w:sz w:val="16"/>
                <w:szCs w:val="16"/>
              </w:rPr>
              <w:t>1421</w:t>
            </w:r>
          </w:p>
        </w:tc>
        <w:tc>
          <w:tcPr>
            <w:tcW w:w="3402" w:type="dxa"/>
          </w:tcPr>
          <w:p w:rsidR="002A238C" w:rsidRPr="001D78AE" w:rsidRDefault="00627D53" w:rsidP="000E1446">
            <w:pPr>
              <w:spacing w:after="0" w:line="200" w:lineRule="exact"/>
              <w:jc w:val="left"/>
              <w:rPr>
                <w:sz w:val="16"/>
                <w:szCs w:val="16"/>
              </w:rPr>
            </w:pPr>
            <w:r>
              <w:rPr>
                <w:b/>
                <w:sz w:val="16"/>
                <w:szCs w:val="16"/>
              </w:rPr>
              <w:t>L</w:t>
            </w:r>
            <w:r w:rsidR="00C23767">
              <w:rPr>
                <w:b/>
                <w:sz w:val="16"/>
                <w:szCs w:val="16"/>
              </w:rPr>
              <w:t>icence</w:t>
            </w:r>
            <w:r w:rsidR="00F02949">
              <w:rPr>
                <w:b/>
                <w:sz w:val="16"/>
                <w:szCs w:val="16"/>
              </w:rPr>
              <w:t>s</w:t>
            </w:r>
            <w:r>
              <w:rPr>
                <w:b/>
                <w:sz w:val="16"/>
                <w:szCs w:val="16"/>
              </w:rPr>
              <w:t>, droits d’utilisation</w:t>
            </w:r>
            <w:r w:rsidR="000E1446">
              <w:rPr>
                <w:b/>
                <w:sz w:val="16"/>
                <w:szCs w:val="16"/>
              </w:rPr>
              <w:t>,</w:t>
            </w:r>
            <w:r>
              <w:rPr>
                <w:b/>
                <w:sz w:val="16"/>
                <w:szCs w:val="16"/>
              </w:rPr>
              <w:t xml:space="preserve"> droits des marques</w:t>
            </w:r>
          </w:p>
        </w:tc>
        <w:tc>
          <w:tcPr>
            <w:tcW w:w="1134" w:type="dxa"/>
          </w:tcPr>
          <w:p w:rsidR="002A238C" w:rsidRPr="001D78AE" w:rsidRDefault="002A238C" w:rsidP="002A238C">
            <w:pPr>
              <w:spacing w:after="0" w:line="200" w:lineRule="exact"/>
              <w:jc w:val="right"/>
              <w:rPr>
                <w:sz w:val="16"/>
                <w:szCs w:val="16"/>
              </w:rPr>
            </w:pPr>
            <w:r w:rsidRPr="001D78AE">
              <w:rPr>
                <w:sz w:val="16"/>
                <w:szCs w:val="16"/>
              </w:rPr>
              <w:t>5 ans</w:t>
            </w:r>
          </w:p>
        </w:tc>
        <w:tc>
          <w:tcPr>
            <w:tcW w:w="1417" w:type="dxa"/>
          </w:tcPr>
          <w:p w:rsidR="002A238C" w:rsidRPr="001D78AE" w:rsidRDefault="0078454E" w:rsidP="002A238C">
            <w:pPr>
              <w:spacing w:after="0" w:line="200" w:lineRule="exact"/>
              <w:jc w:val="right"/>
              <w:rPr>
                <w:sz w:val="16"/>
                <w:szCs w:val="16"/>
              </w:rPr>
            </w:pPr>
            <w:r w:rsidRPr="001D78AE">
              <w:rPr>
                <w:sz w:val="16"/>
                <w:szCs w:val="16"/>
              </w:rPr>
              <w:t>20</w:t>
            </w:r>
            <w:r w:rsidR="00FD5172">
              <w:rPr>
                <w:sz w:val="16"/>
                <w:szCs w:val="16"/>
              </w:rPr>
              <w:t>,00</w:t>
            </w:r>
            <w:r w:rsidR="00683CF7">
              <w:rPr>
                <w:sz w:val="16"/>
                <w:szCs w:val="16"/>
              </w:rPr>
              <w:t> </w:t>
            </w:r>
            <w:r w:rsidR="002A238C" w:rsidRPr="001D78AE">
              <w:rPr>
                <w:sz w:val="16"/>
                <w:szCs w:val="16"/>
              </w:rPr>
              <w:t>%</w:t>
            </w:r>
          </w:p>
        </w:tc>
      </w:tr>
      <w:tr w:rsidR="0047307D" w:rsidRPr="001D78AE" w:rsidTr="007D212D">
        <w:tc>
          <w:tcPr>
            <w:tcW w:w="675" w:type="dxa"/>
          </w:tcPr>
          <w:p w:rsidR="0047307D" w:rsidRDefault="0047307D" w:rsidP="002A238C">
            <w:pPr>
              <w:spacing w:after="0" w:line="200" w:lineRule="exact"/>
              <w:jc w:val="right"/>
              <w:rPr>
                <w:sz w:val="16"/>
                <w:szCs w:val="16"/>
              </w:rPr>
            </w:pPr>
            <w:r>
              <w:rPr>
                <w:sz w:val="16"/>
                <w:szCs w:val="16"/>
              </w:rPr>
              <w:t>1429</w:t>
            </w:r>
          </w:p>
        </w:tc>
        <w:tc>
          <w:tcPr>
            <w:tcW w:w="3402" w:type="dxa"/>
          </w:tcPr>
          <w:p w:rsidR="0047307D" w:rsidRPr="0047307D" w:rsidRDefault="000E1446" w:rsidP="002A238C">
            <w:pPr>
              <w:spacing w:after="0" w:line="200" w:lineRule="exact"/>
              <w:jc w:val="left"/>
              <w:rPr>
                <w:b/>
                <w:sz w:val="16"/>
                <w:szCs w:val="16"/>
              </w:rPr>
            </w:pPr>
            <w:r>
              <w:rPr>
                <w:b/>
                <w:sz w:val="16"/>
                <w:szCs w:val="16"/>
              </w:rPr>
              <w:t>Autres immobilisations incorporelles</w:t>
            </w:r>
          </w:p>
        </w:tc>
        <w:tc>
          <w:tcPr>
            <w:tcW w:w="1134" w:type="dxa"/>
          </w:tcPr>
          <w:p w:rsidR="0047307D" w:rsidRPr="001D78AE" w:rsidRDefault="0047307D" w:rsidP="002A238C">
            <w:pPr>
              <w:spacing w:after="0" w:line="200" w:lineRule="exact"/>
              <w:jc w:val="right"/>
              <w:rPr>
                <w:sz w:val="16"/>
                <w:szCs w:val="16"/>
              </w:rPr>
            </w:pPr>
            <w:r>
              <w:rPr>
                <w:sz w:val="16"/>
                <w:szCs w:val="16"/>
              </w:rPr>
              <w:t>10 ans</w:t>
            </w:r>
          </w:p>
        </w:tc>
        <w:tc>
          <w:tcPr>
            <w:tcW w:w="1417" w:type="dxa"/>
          </w:tcPr>
          <w:p w:rsidR="0047307D" w:rsidRPr="001D78AE" w:rsidRDefault="0047307D" w:rsidP="002A238C">
            <w:pPr>
              <w:spacing w:after="0" w:line="200" w:lineRule="exact"/>
              <w:jc w:val="right"/>
              <w:rPr>
                <w:sz w:val="16"/>
                <w:szCs w:val="16"/>
              </w:rPr>
            </w:pPr>
            <w:r>
              <w:rPr>
                <w:sz w:val="16"/>
                <w:szCs w:val="16"/>
              </w:rPr>
              <w:t>10,00</w:t>
            </w:r>
            <w:r w:rsidR="00683CF7">
              <w:rPr>
                <w:sz w:val="16"/>
                <w:szCs w:val="16"/>
              </w:rPr>
              <w:t> </w:t>
            </w:r>
            <w:r>
              <w:rPr>
                <w:sz w:val="16"/>
                <w:szCs w:val="16"/>
              </w:rPr>
              <w:t>%</w:t>
            </w:r>
          </w:p>
        </w:tc>
      </w:tr>
      <w:tr w:rsidR="0047307D" w:rsidRPr="001D78AE" w:rsidTr="00051E4A">
        <w:tc>
          <w:tcPr>
            <w:tcW w:w="4077" w:type="dxa"/>
            <w:gridSpan w:val="2"/>
          </w:tcPr>
          <w:p w:rsidR="0047307D" w:rsidRPr="0047307D" w:rsidRDefault="0047307D" w:rsidP="0047307D">
            <w:pPr>
              <w:rPr>
                <w:b/>
                <w:i/>
                <w:sz w:val="16"/>
                <w:szCs w:val="16"/>
              </w:rPr>
            </w:pPr>
            <w:r w:rsidRPr="0047307D">
              <w:rPr>
                <w:b/>
                <w:i/>
                <w:sz w:val="16"/>
                <w:szCs w:val="16"/>
              </w:rPr>
              <w:t>Subvention</w:t>
            </w:r>
            <w:r w:rsidR="00F02949">
              <w:rPr>
                <w:b/>
                <w:i/>
                <w:sz w:val="16"/>
                <w:szCs w:val="16"/>
              </w:rPr>
              <w:t>s</w:t>
            </w:r>
            <w:r w:rsidRPr="0047307D">
              <w:rPr>
                <w:b/>
                <w:i/>
                <w:sz w:val="16"/>
                <w:szCs w:val="16"/>
              </w:rPr>
              <w:t xml:space="preserve"> d’investissement</w:t>
            </w:r>
          </w:p>
        </w:tc>
        <w:tc>
          <w:tcPr>
            <w:tcW w:w="2551" w:type="dxa"/>
            <w:gridSpan w:val="2"/>
          </w:tcPr>
          <w:p w:rsidR="0047307D" w:rsidRPr="001D78AE" w:rsidRDefault="0047307D" w:rsidP="002A238C">
            <w:pPr>
              <w:spacing w:after="0" w:line="200" w:lineRule="exact"/>
              <w:jc w:val="left"/>
              <w:rPr>
                <w:sz w:val="16"/>
                <w:szCs w:val="16"/>
              </w:rPr>
            </w:pPr>
            <w:r>
              <w:rPr>
                <w:i/>
                <w:sz w:val="16"/>
                <w:szCs w:val="16"/>
              </w:rPr>
              <w:t>a</w:t>
            </w:r>
            <w:r w:rsidRPr="001D78AE">
              <w:rPr>
                <w:i/>
                <w:sz w:val="16"/>
                <w:szCs w:val="16"/>
              </w:rPr>
              <w:t>morti selon l’objet</w:t>
            </w:r>
            <w:r>
              <w:rPr>
                <w:i/>
                <w:sz w:val="16"/>
                <w:szCs w:val="16"/>
              </w:rPr>
              <w:t xml:space="preserve"> subventionné</w:t>
            </w:r>
          </w:p>
        </w:tc>
      </w:tr>
      <w:tr w:rsidR="0047307D" w:rsidRPr="001D78AE" w:rsidTr="00AD75CE">
        <w:tc>
          <w:tcPr>
            <w:tcW w:w="4077" w:type="dxa"/>
            <w:gridSpan w:val="2"/>
          </w:tcPr>
          <w:p w:rsidR="0047307D" w:rsidRPr="001D78AE" w:rsidRDefault="0047307D" w:rsidP="0047307D">
            <w:pPr>
              <w:rPr>
                <w:b/>
                <w:sz w:val="16"/>
                <w:szCs w:val="16"/>
              </w:rPr>
            </w:pPr>
            <w:r w:rsidRPr="0047307D">
              <w:rPr>
                <w:b/>
                <w:i/>
                <w:sz w:val="16"/>
                <w:szCs w:val="16"/>
              </w:rPr>
              <w:t>Prêt</w:t>
            </w:r>
            <w:r w:rsidR="00F02949">
              <w:rPr>
                <w:b/>
                <w:i/>
                <w:sz w:val="16"/>
                <w:szCs w:val="16"/>
              </w:rPr>
              <w:t>s</w:t>
            </w:r>
            <w:r w:rsidRPr="0047307D">
              <w:rPr>
                <w:b/>
                <w:i/>
                <w:sz w:val="16"/>
                <w:szCs w:val="16"/>
              </w:rPr>
              <w:t>, participation</w:t>
            </w:r>
            <w:r w:rsidR="00F02949">
              <w:rPr>
                <w:b/>
                <w:i/>
                <w:sz w:val="16"/>
                <w:szCs w:val="16"/>
              </w:rPr>
              <w:t>s</w:t>
            </w:r>
            <w:r w:rsidRPr="0047307D">
              <w:rPr>
                <w:b/>
                <w:i/>
                <w:sz w:val="16"/>
                <w:szCs w:val="16"/>
              </w:rPr>
              <w:t>, capital social</w:t>
            </w:r>
          </w:p>
        </w:tc>
        <w:tc>
          <w:tcPr>
            <w:tcW w:w="2551" w:type="dxa"/>
            <w:gridSpan w:val="2"/>
          </w:tcPr>
          <w:p w:rsidR="0047307D" w:rsidRPr="001D78AE" w:rsidRDefault="0047307D" w:rsidP="002A238C">
            <w:pPr>
              <w:spacing w:after="0" w:line="200" w:lineRule="exact"/>
              <w:jc w:val="left"/>
              <w:rPr>
                <w:sz w:val="16"/>
                <w:szCs w:val="16"/>
              </w:rPr>
            </w:pPr>
            <w:r w:rsidRPr="001D78AE">
              <w:rPr>
                <w:i/>
                <w:sz w:val="16"/>
                <w:szCs w:val="16"/>
              </w:rPr>
              <w:t>non soumis à l’amortissement</w:t>
            </w:r>
          </w:p>
        </w:tc>
      </w:tr>
    </w:tbl>
    <w:p w:rsidR="00811D29" w:rsidRPr="001D78AE" w:rsidRDefault="002B607C" w:rsidP="0094606E">
      <w:pPr>
        <w:spacing w:before="240"/>
      </w:pPr>
      <w:r w:rsidRPr="001D78AE">
        <w:rPr>
          <w:rStyle w:val="Appelnotedebasdep"/>
          <w:position w:val="6"/>
          <w:sz w:val="14"/>
          <w:vertAlign w:val="baseline"/>
        </w:rPr>
        <w:t>2</w:t>
      </w:r>
      <w:r w:rsidRPr="001D78AE">
        <w:rPr>
          <w:position w:val="6"/>
          <w:sz w:val="14"/>
        </w:rPr>
        <w:t xml:space="preserve"> </w:t>
      </w:r>
      <w:r w:rsidR="00811D29" w:rsidRPr="001D78AE">
        <w:t xml:space="preserve">L’énumération détaillée des </w:t>
      </w:r>
      <w:r w:rsidR="00F96D26" w:rsidRPr="001D78AE">
        <w:t>immobilisations</w:t>
      </w:r>
      <w:r w:rsidR="000F4528">
        <w:t xml:space="preserve"> figure</w:t>
      </w:r>
      <w:r w:rsidR="009F6135" w:rsidRPr="001D78AE">
        <w:t xml:space="preserve"> dans les</w:t>
      </w:r>
      <w:r w:rsidR="00811D29" w:rsidRPr="001D78AE">
        <w:t xml:space="preserve"> directive</w:t>
      </w:r>
      <w:r w:rsidR="009F6135" w:rsidRPr="001D78AE">
        <w:t>s</w:t>
      </w:r>
      <w:r w:rsidR="00811D29" w:rsidRPr="001D78AE">
        <w:t xml:space="preserve"> </w:t>
      </w:r>
      <w:r w:rsidR="003B134C" w:rsidRPr="001D78AE">
        <w:t>établie</w:t>
      </w:r>
      <w:r w:rsidR="009F6135" w:rsidRPr="001D78AE">
        <w:t>s</w:t>
      </w:r>
      <w:r w:rsidR="00811D29" w:rsidRPr="001D78AE">
        <w:t xml:space="preserve"> par le Service.</w:t>
      </w:r>
      <w:bookmarkStart w:id="95" w:name="_GoBack"/>
      <w:bookmarkEnd w:id="95"/>
    </w:p>
    <w:sectPr w:rsidR="00811D29" w:rsidRPr="001D78AE" w:rsidSect="00C7042D">
      <w:headerReference w:type="even" r:id="rId9"/>
      <w:footerReference w:type="even" r:id="rId10"/>
      <w:footerReference w:type="default" r:id="rId11"/>
      <w:headerReference w:type="first" r:id="rId12"/>
      <w:footerReference w:type="first" r:id="rId13"/>
      <w:endnotePr>
        <w:numFmt w:val="decimal"/>
      </w:endnotePr>
      <w:pgSz w:w="8391" w:h="11907" w:code="11"/>
      <w:pgMar w:top="1134" w:right="1021" w:bottom="1134" w:left="1134" w:header="624"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616" w:rsidRDefault="005D6616">
      <w:r>
        <w:separator/>
      </w:r>
    </w:p>
  </w:endnote>
  <w:endnote w:type="continuationSeparator" w:id="0">
    <w:p w:rsidR="005D6616" w:rsidRDefault="005D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616" w:rsidRDefault="005D6616">
    <w:r>
      <w:fldChar w:fldCharType="begin"/>
    </w:r>
    <w:r>
      <w:instrText xml:space="preserve">PAGE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616" w:rsidRDefault="005D6616">
    <w:pPr>
      <w:pStyle w:val="Pieddepage"/>
    </w:pPr>
    <w:r>
      <w:t xml:space="preserve">– </w:t>
    </w:r>
    <w:r>
      <w:fldChar w:fldCharType="begin"/>
    </w:r>
    <w:r>
      <w:instrText xml:space="preserve">PAGE </w:instrText>
    </w:r>
    <w:r>
      <w:fldChar w:fldCharType="separate"/>
    </w:r>
    <w:r w:rsidR="00272CCE">
      <w:rPr>
        <w:noProof/>
      </w:rPr>
      <w:t>17</w:t>
    </w:r>
    <w:r>
      <w:rPr>
        <w:noProof/>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616" w:rsidRDefault="005D6616">
    <w:pPr>
      <w:pStyle w:val="Pieddepage"/>
    </w:pPr>
    <w:r>
      <w:t xml:space="preserve">– </w:t>
    </w:r>
    <w:r>
      <w:fldChar w:fldCharType="begin"/>
    </w:r>
    <w:r>
      <w:instrText xml:space="preserve">PAGE </w:instrText>
    </w:r>
    <w:r>
      <w:fldChar w:fldCharType="separate"/>
    </w:r>
    <w:r w:rsidR="00272CCE">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616" w:rsidRDefault="005D6616">
      <w:r>
        <w:t>__________</w:t>
      </w:r>
    </w:p>
  </w:footnote>
  <w:footnote w:type="continuationSeparator" w:id="0">
    <w:p w:rsidR="005D6616" w:rsidRDefault="005D66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616" w:rsidRDefault="005D6616">
    <w:pPr>
      <w:ind w:right="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616" w:rsidRDefault="005D6616">
    <w:pPr>
      <w:pStyle w:val="en-tte1"/>
    </w:pPr>
    <w:r>
      <w:t>DIAF</w:t>
    </w:r>
    <w:r w:rsidRPr="007121E8">
      <w:t>/</w:t>
    </w:r>
    <w:r>
      <w:t xml:space="preserve">Projet </w:t>
    </w:r>
    <w:r w:rsidR="00074E38">
      <w:t>24</w:t>
    </w:r>
    <w:r w:rsidR="002B6D74">
      <w:t>.01.2019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DBD"/>
    <w:multiLevelType w:val="hybridMultilevel"/>
    <w:tmpl w:val="66809A96"/>
    <w:lvl w:ilvl="0" w:tplc="BBBA751E">
      <w:start w:val="2"/>
      <w:numFmt w:val="bullet"/>
      <w:lvlText w:val="-"/>
      <w:lvlJc w:val="left"/>
      <w:pPr>
        <w:ind w:left="927" w:hanging="360"/>
      </w:pPr>
      <w:rPr>
        <w:rFonts w:ascii="Times New Roman" w:eastAsia="Times New Roman" w:hAnsi="Times New Roman" w:cs="Times New Roman"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
    <w:nsid w:val="5709297E"/>
    <w:multiLevelType w:val="hybridMultilevel"/>
    <w:tmpl w:val="829C4344"/>
    <w:lvl w:ilvl="0" w:tplc="E5C412FA">
      <w:start w:val="2"/>
      <w:numFmt w:val="bullet"/>
      <w:lvlText w:val="-"/>
      <w:lvlJc w:val="left"/>
      <w:pPr>
        <w:ind w:left="1080" w:hanging="360"/>
      </w:pPr>
      <w:rPr>
        <w:rFonts w:ascii="Times" w:eastAsia="Times New Roman" w:hAnsi="Times" w:cs="Times"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
    <w:nsid w:val="5EEC4CFA"/>
    <w:multiLevelType w:val="hybridMultilevel"/>
    <w:tmpl w:val="170A5FF6"/>
    <w:lvl w:ilvl="0" w:tplc="1D2EDCA4">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78162AC6"/>
    <w:multiLevelType w:val="hybridMultilevel"/>
    <w:tmpl w:val="9D124890"/>
    <w:lvl w:ilvl="0" w:tplc="3D30D478">
      <w:start w:val="2"/>
      <w:numFmt w:val="bullet"/>
      <w:lvlText w:val="-"/>
      <w:lvlJc w:val="left"/>
      <w:pPr>
        <w:ind w:left="720" w:hanging="360"/>
      </w:pPr>
      <w:rPr>
        <w:rFonts w:ascii="Times" w:eastAsia="Times New Roman" w:hAnsi="Times" w:cs="Time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17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angueDoc" w:val="Français"/>
  </w:docVars>
  <w:rsids>
    <w:rsidRoot w:val="00545F0C"/>
    <w:rsid w:val="000039F1"/>
    <w:rsid w:val="00003C85"/>
    <w:rsid w:val="00006DE0"/>
    <w:rsid w:val="00010B02"/>
    <w:rsid w:val="00011BB0"/>
    <w:rsid w:val="0001217F"/>
    <w:rsid w:val="00013C39"/>
    <w:rsid w:val="000140BB"/>
    <w:rsid w:val="00016EA6"/>
    <w:rsid w:val="00020667"/>
    <w:rsid w:val="00023822"/>
    <w:rsid w:val="00025C79"/>
    <w:rsid w:val="000343C8"/>
    <w:rsid w:val="000369F4"/>
    <w:rsid w:val="00037F3C"/>
    <w:rsid w:val="000402C3"/>
    <w:rsid w:val="000402C9"/>
    <w:rsid w:val="00040AE9"/>
    <w:rsid w:val="000419EF"/>
    <w:rsid w:val="00043223"/>
    <w:rsid w:val="00045D08"/>
    <w:rsid w:val="00050731"/>
    <w:rsid w:val="00051E96"/>
    <w:rsid w:val="00052FAF"/>
    <w:rsid w:val="00053368"/>
    <w:rsid w:val="000573E3"/>
    <w:rsid w:val="00061C16"/>
    <w:rsid w:val="00064CBD"/>
    <w:rsid w:val="00065252"/>
    <w:rsid w:val="000676D1"/>
    <w:rsid w:val="00072545"/>
    <w:rsid w:val="000747C3"/>
    <w:rsid w:val="00074E38"/>
    <w:rsid w:val="00077985"/>
    <w:rsid w:val="00083816"/>
    <w:rsid w:val="00086324"/>
    <w:rsid w:val="000912C9"/>
    <w:rsid w:val="00093CE7"/>
    <w:rsid w:val="0009666E"/>
    <w:rsid w:val="0009732B"/>
    <w:rsid w:val="000A3672"/>
    <w:rsid w:val="000A3F8B"/>
    <w:rsid w:val="000A6692"/>
    <w:rsid w:val="000B3C7B"/>
    <w:rsid w:val="000B3FB6"/>
    <w:rsid w:val="000B6A24"/>
    <w:rsid w:val="000B6ED6"/>
    <w:rsid w:val="000C3508"/>
    <w:rsid w:val="000C6289"/>
    <w:rsid w:val="000C6BA6"/>
    <w:rsid w:val="000C7C7F"/>
    <w:rsid w:val="000D0142"/>
    <w:rsid w:val="000D17FB"/>
    <w:rsid w:val="000D47FA"/>
    <w:rsid w:val="000D7BFD"/>
    <w:rsid w:val="000E0C84"/>
    <w:rsid w:val="000E0EF0"/>
    <w:rsid w:val="000E11DD"/>
    <w:rsid w:val="000E1446"/>
    <w:rsid w:val="000E1FD1"/>
    <w:rsid w:val="000E2B0E"/>
    <w:rsid w:val="000E4C2A"/>
    <w:rsid w:val="000F0AE5"/>
    <w:rsid w:val="000F25EF"/>
    <w:rsid w:val="000F4528"/>
    <w:rsid w:val="000F585D"/>
    <w:rsid w:val="001013B8"/>
    <w:rsid w:val="001016B7"/>
    <w:rsid w:val="00103D1B"/>
    <w:rsid w:val="001053BB"/>
    <w:rsid w:val="001068B5"/>
    <w:rsid w:val="00110FF4"/>
    <w:rsid w:val="0011327A"/>
    <w:rsid w:val="00115471"/>
    <w:rsid w:val="00120D66"/>
    <w:rsid w:val="00124AB9"/>
    <w:rsid w:val="00127E05"/>
    <w:rsid w:val="00134C4C"/>
    <w:rsid w:val="001365F6"/>
    <w:rsid w:val="00137B6E"/>
    <w:rsid w:val="00141AF6"/>
    <w:rsid w:val="00142C15"/>
    <w:rsid w:val="00147158"/>
    <w:rsid w:val="00150256"/>
    <w:rsid w:val="00156FC1"/>
    <w:rsid w:val="00161641"/>
    <w:rsid w:val="00162EB9"/>
    <w:rsid w:val="0017324D"/>
    <w:rsid w:val="00177D67"/>
    <w:rsid w:val="00181680"/>
    <w:rsid w:val="001826EC"/>
    <w:rsid w:val="00184434"/>
    <w:rsid w:val="00186A7F"/>
    <w:rsid w:val="00193C32"/>
    <w:rsid w:val="0019566D"/>
    <w:rsid w:val="00197CA0"/>
    <w:rsid w:val="001A4F20"/>
    <w:rsid w:val="001A5168"/>
    <w:rsid w:val="001A5E25"/>
    <w:rsid w:val="001A6C79"/>
    <w:rsid w:val="001C27AF"/>
    <w:rsid w:val="001C45F4"/>
    <w:rsid w:val="001C772B"/>
    <w:rsid w:val="001D16AA"/>
    <w:rsid w:val="001D47E1"/>
    <w:rsid w:val="001D48D4"/>
    <w:rsid w:val="001D767E"/>
    <w:rsid w:val="001D78AE"/>
    <w:rsid w:val="001E0E05"/>
    <w:rsid w:val="001E0FD9"/>
    <w:rsid w:val="001E1EC2"/>
    <w:rsid w:val="001E3239"/>
    <w:rsid w:val="001E55B4"/>
    <w:rsid w:val="001E6885"/>
    <w:rsid w:val="001E7EB9"/>
    <w:rsid w:val="001F1526"/>
    <w:rsid w:val="001F27F4"/>
    <w:rsid w:val="001F2B8B"/>
    <w:rsid w:val="0020116A"/>
    <w:rsid w:val="00201331"/>
    <w:rsid w:val="00203CC5"/>
    <w:rsid w:val="00204266"/>
    <w:rsid w:val="00207A39"/>
    <w:rsid w:val="00212C2C"/>
    <w:rsid w:val="00216F52"/>
    <w:rsid w:val="00217EFF"/>
    <w:rsid w:val="002246E7"/>
    <w:rsid w:val="00241704"/>
    <w:rsid w:val="00242347"/>
    <w:rsid w:val="002470B0"/>
    <w:rsid w:val="00250F5E"/>
    <w:rsid w:val="0025144C"/>
    <w:rsid w:val="00257AEF"/>
    <w:rsid w:val="00264379"/>
    <w:rsid w:val="00266177"/>
    <w:rsid w:val="00266B89"/>
    <w:rsid w:val="0027056F"/>
    <w:rsid w:val="00270D0A"/>
    <w:rsid w:val="00272C3E"/>
    <w:rsid w:val="00272CCE"/>
    <w:rsid w:val="00276AEE"/>
    <w:rsid w:val="0028190A"/>
    <w:rsid w:val="00284EE8"/>
    <w:rsid w:val="00284F4F"/>
    <w:rsid w:val="00286617"/>
    <w:rsid w:val="00294CA5"/>
    <w:rsid w:val="00296930"/>
    <w:rsid w:val="002A238C"/>
    <w:rsid w:val="002A654B"/>
    <w:rsid w:val="002B0F03"/>
    <w:rsid w:val="002B3B61"/>
    <w:rsid w:val="002B3CE3"/>
    <w:rsid w:val="002B607C"/>
    <w:rsid w:val="002B64F5"/>
    <w:rsid w:val="002B6D74"/>
    <w:rsid w:val="002B7DCC"/>
    <w:rsid w:val="002C6F8A"/>
    <w:rsid w:val="002D2A46"/>
    <w:rsid w:val="002D2DF1"/>
    <w:rsid w:val="002D5F7F"/>
    <w:rsid w:val="002D6DB5"/>
    <w:rsid w:val="002E0177"/>
    <w:rsid w:val="002E0FED"/>
    <w:rsid w:val="002E1F93"/>
    <w:rsid w:val="002F576C"/>
    <w:rsid w:val="0030678A"/>
    <w:rsid w:val="003074E0"/>
    <w:rsid w:val="003118F5"/>
    <w:rsid w:val="003122D0"/>
    <w:rsid w:val="00313FEA"/>
    <w:rsid w:val="00321976"/>
    <w:rsid w:val="00322A0F"/>
    <w:rsid w:val="003262EC"/>
    <w:rsid w:val="00330A5A"/>
    <w:rsid w:val="00331EF2"/>
    <w:rsid w:val="0033796A"/>
    <w:rsid w:val="00340841"/>
    <w:rsid w:val="003414DD"/>
    <w:rsid w:val="0034392B"/>
    <w:rsid w:val="00345BB8"/>
    <w:rsid w:val="00345E9B"/>
    <w:rsid w:val="00350319"/>
    <w:rsid w:val="003508FB"/>
    <w:rsid w:val="00352101"/>
    <w:rsid w:val="00360E4F"/>
    <w:rsid w:val="003716F2"/>
    <w:rsid w:val="00372912"/>
    <w:rsid w:val="003735CA"/>
    <w:rsid w:val="00381E56"/>
    <w:rsid w:val="0038534A"/>
    <w:rsid w:val="003863C0"/>
    <w:rsid w:val="003868D2"/>
    <w:rsid w:val="003915EC"/>
    <w:rsid w:val="00396E53"/>
    <w:rsid w:val="00397BB3"/>
    <w:rsid w:val="003A5C3B"/>
    <w:rsid w:val="003B134C"/>
    <w:rsid w:val="003B31E9"/>
    <w:rsid w:val="003C2346"/>
    <w:rsid w:val="003C25DA"/>
    <w:rsid w:val="003C4B06"/>
    <w:rsid w:val="003D067B"/>
    <w:rsid w:val="003D2BFF"/>
    <w:rsid w:val="003D4790"/>
    <w:rsid w:val="003D56CB"/>
    <w:rsid w:val="003D6098"/>
    <w:rsid w:val="003E3CFB"/>
    <w:rsid w:val="003F11BE"/>
    <w:rsid w:val="003F5981"/>
    <w:rsid w:val="00400A13"/>
    <w:rsid w:val="00415CDB"/>
    <w:rsid w:val="00421479"/>
    <w:rsid w:val="004214FC"/>
    <w:rsid w:val="00421970"/>
    <w:rsid w:val="004228CA"/>
    <w:rsid w:val="00424478"/>
    <w:rsid w:val="0042448D"/>
    <w:rsid w:val="004248AC"/>
    <w:rsid w:val="00425096"/>
    <w:rsid w:val="004339E7"/>
    <w:rsid w:val="004342FF"/>
    <w:rsid w:val="00436A33"/>
    <w:rsid w:val="004402AE"/>
    <w:rsid w:val="00444260"/>
    <w:rsid w:val="00446685"/>
    <w:rsid w:val="00450BCC"/>
    <w:rsid w:val="00451873"/>
    <w:rsid w:val="00451BF9"/>
    <w:rsid w:val="004525EA"/>
    <w:rsid w:val="00452C53"/>
    <w:rsid w:val="00453C8A"/>
    <w:rsid w:val="00457CAF"/>
    <w:rsid w:val="00464993"/>
    <w:rsid w:val="004656A3"/>
    <w:rsid w:val="0046688A"/>
    <w:rsid w:val="004719E3"/>
    <w:rsid w:val="0047307D"/>
    <w:rsid w:val="00474D69"/>
    <w:rsid w:val="00475B4D"/>
    <w:rsid w:val="00476B46"/>
    <w:rsid w:val="004801A7"/>
    <w:rsid w:val="004811A4"/>
    <w:rsid w:val="00481596"/>
    <w:rsid w:val="0048252C"/>
    <w:rsid w:val="00482917"/>
    <w:rsid w:val="00484A3E"/>
    <w:rsid w:val="004957FE"/>
    <w:rsid w:val="004A255F"/>
    <w:rsid w:val="004A2E7E"/>
    <w:rsid w:val="004A6FBC"/>
    <w:rsid w:val="004C1FA3"/>
    <w:rsid w:val="004C5973"/>
    <w:rsid w:val="004C7CB4"/>
    <w:rsid w:val="004D0A8B"/>
    <w:rsid w:val="004D4191"/>
    <w:rsid w:val="004D47F0"/>
    <w:rsid w:val="004D5054"/>
    <w:rsid w:val="004D67A1"/>
    <w:rsid w:val="004D7592"/>
    <w:rsid w:val="004E4DCD"/>
    <w:rsid w:val="004E7D13"/>
    <w:rsid w:val="004F04DF"/>
    <w:rsid w:val="004F16B5"/>
    <w:rsid w:val="004F1AC5"/>
    <w:rsid w:val="004F22C4"/>
    <w:rsid w:val="004F3FF0"/>
    <w:rsid w:val="004F61CC"/>
    <w:rsid w:val="005011D6"/>
    <w:rsid w:val="005074DF"/>
    <w:rsid w:val="00510D33"/>
    <w:rsid w:val="0051135E"/>
    <w:rsid w:val="00511616"/>
    <w:rsid w:val="00512534"/>
    <w:rsid w:val="005143E4"/>
    <w:rsid w:val="005161BD"/>
    <w:rsid w:val="00516756"/>
    <w:rsid w:val="00522C80"/>
    <w:rsid w:val="00523F37"/>
    <w:rsid w:val="005263A3"/>
    <w:rsid w:val="00532EBF"/>
    <w:rsid w:val="005350A4"/>
    <w:rsid w:val="00542DE5"/>
    <w:rsid w:val="00543237"/>
    <w:rsid w:val="00543A12"/>
    <w:rsid w:val="005451CA"/>
    <w:rsid w:val="00545F0C"/>
    <w:rsid w:val="00546534"/>
    <w:rsid w:val="005470DA"/>
    <w:rsid w:val="00552B0D"/>
    <w:rsid w:val="0056259D"/>
    <w:rsid w:val="0057051C"/>
    <w:rsid w:val="00576913"/>
    <w:rsid w:val="00576F2F"/>
    <w:rsid w:val="005813AD"/>
    <w:rsid w:val="00581EEA"/>
    <w:rsid w:val="00590020"/>
    <w:rsid w:val="0059442E"/>
    <w:rsid w:val="005A12B4"/>
    <w:rsid w:val="005A276C"/>
    <w:rsid w:val="005A2E16"/>
    <w:rsid w:val="005A43F1"/>
    <w:rsid w:val="005A584F"/>
    <w:rsid w:val="005A5ED0"/>
    <w:rsid w:val="005A6ABA"/>
    <w:rsid w:val="005B119C"/>
    <w:rsid w:val="005B72C7"/>
    <w:rsid w:val="005C2EDB"/>
    <w:rsid w:val="005C2FCD"/>
    <w:rsid w:val="005D290E"/>
    <w:rsid w:val="005D4063"/>
    <w:rsid w:val="005D6324"/>
    <w:rsid w:val="005D6616"/>
    <w:rsid w:val="005D6677"/>
    <w:rsid w:val="005E022D"/>
    <w:rsid w:val="005E5F71"/>
    <w:rsid w:val="005E62E4"/>
    <w:rsid w:val="005F344D"/>
    <w:rsid w:val="005F4F81"/>
    <w:rsid w:val="00600690"/>
    <w:rsid w:val="006048FD"/>
    <w:rsid w:val="00607680"/>
    <w:rsid w:val="00611A46"/>
    <w:rsid w:val="0062180F"/>
    <w:rsid w:val="0062291B"/>
    <w:rsid w:val="0062315A"/>
    <w:rsid w:val="00623183"/>
    <w:rsid w:val="00623C07"/>
    <w:rsid w:val="00626CCD"/>
    <w:rsid w:val="0062730A"/>
    <w:rsid w:val="00627D53"/>
    <w:rsid w:val="006305D1"/>
    <w:rsid w:val="006366A2"/>
    <w:rsid w:val="0064085E"/>
    <w:rsid w:val="006408FD"/>
    <w:rsid w:val="00647476"/>
    <w:rsid w:val="006474AA"/>
    <w:rsid w:val="006503CB"/>
    <w:rsid w:val="00650E29"/>
    <w:rsid w:val="00655BF7"/>
    <w:rsid w:val="0066610F"/>
    <w:rsid w:val="00671229"/>
    <w:rsid w:val="00673B52"/>
    <w:rsid w:val="00675B8A"/>
    <w:rsid w:val="006800FB"/>
    <w:rsid w:val="00680B51"/>
    <w:rsid w:val="00680E32"/>
    <w:rsid w:val="00683CF7"/>
    <w:rsid w:val="00685184"/>
    <w:rsid w:val="00691B55"/>
    <w:rsid w:val="00691BAD"/>
    <w:rsid w:val="0069250D"/>
    <w:rsid w:val="00694AF3"/>
    <w:rsid w:val="006965F3"/>
    <w:rsid w:val="006B2895"/>
    <w:rsid w:val="006B3002"/>
    <w:rsid w:val="006B6015"/>
    <w:rsid w:val="006C1FBD"/>
    <w:rsid w:val="006C3A1F"/>
    <w:rsid w:val="006C4D90"/>
    <w:rsid w:val="006C6C1E"/>
    <w:rsid w:val="006C6EDE"/>
    <w:rsid w:val="006C71A1"/>
    <w:rsid w:val="006D0BFD"/>
    <w:rsid w:val="006D39F3"/>
    <w:rsid w:val="006D5AD6"/>
    <w:rsid w:val="006D6A26"/>
    <w:rsid w:val="006D6BE1"/>
    <w:rsid w:val="006D6D69"/>
    <w:rsid w:val="006E762C"/>
    <w:rsid w:val="006F0FEA"/>
    <w:rsid w:val="006F3054"/>
    <w:rsid w:val="006F3355"/>
    <w:rsid w:val="006F37C2"/>
    <w:rsid w:val="006F489E"/>
    <w:rsid w:val="006F5925"/>
    <w:rsid w:val="00702487"/>
    <w:rsid w:val="00702EFF"/>
    <w:rsid w:val="0070360D"/>
    <w:rsid w:val="00704A1E"/>
    <w:rsid w:val="00705709"/>
    <w:rsid w:val="00705C87"/>
    <w:rsid w:val="007061E8"/>
    <w:rsid w:val="00706AF8"/>
    <w:rsid w:val="007073C6"/>
    <w:rsid w:val="007117AE"/>
    <w:rsid w:val="007121E8"/>
    <w:rsid w:val="00716ECF"/>
    <w:rsid w:val="00721144"/>
    <w:rsid w:val="00721592"/>
    <w:rsid w:val="007240AB"/>
    <w:rsid w:val="00725771"/>
    <w:rsid w:val="00727323"/>
    <w:rsid w:val="00731498"/>
    <w:rsid w:val="00732419"/>
    <w:rsid w:val="00740B87"/>
    <w:rsid w:val="00740C90"/>
    <w:rsid w:val="00745FAD"/>
    <w:rsid w:val="00747B33"/>
    <w:rsid w:val="00755721"/>
    <w:rsid w:val="007569E6"/>
    <w:rsid w:val="0075704E"/>
    <w:rsid w:val="0075773E"/>
    <w:rsid w:val="00762CFD"/>
    <w:rsid w:val="007634F8"/>
    <w:rsid w:val="00765E85"/>
    <w:rsid w:val="00766544"/>
    <w:rsid w:val="00766858"/>
    <w:rsid w:val="00766914"/>
    <w:rsid w:val="00767975"/>
    <w:rsid w:val="00767ACB"/>
    <w:rsid w:val="00772091"/>
    <w:rsid w:val="00773376"/>
    <w:rsid w:val="00774249"/>
    <w:rsid w:val="007817F5"/>
    <w:rsid w:val="0078454E"/>
    <w:rsid w:val="00785DEB"/>
    <w:rsid w:val="00785E3C"/>
    <w:rsid w:val="00786C2F"/>
    <w:rsid w:val="007876E8"/>
    <w:rsid w:val="00787750"/>
    <w:rsid w:val="00792D50"/>
    <w:rsid w:val="007A3636"/>
    <w:rsid w:val="007A3993"/>
    <w:rsid w:val="007A3AD9"/>
    <w:rsid w:val="007A3B92"/>
    <w:rsid w:val="007A5C8D"/>
    <w:rsid w:val="007B0811"/>
    <w:rsid w:val="007B1791"/>
    <w:rsid w:val="007B1A85"/>
    <w:rsid w:val="007B4282"/>
    <w:rsid w:val="007B50C2"/>
    <w:rsid w:val="007C5D7A"/>
    <w:rsid w:val="007C661F"/>
    <w:rsid w:val="007C7F09"/>
    <w:rsid w:val="007D01D1"/>
    <w:rsid w:val="007D212D"/>
    <w:rsid w:val="007E0DCE"/>
    <w:rsid w:val="007E17D3"/>
    <w:rsid w:val="007E3ABC"/>
    <w:rsid w:val="007E7B93"/>
    <w:rsid w:val="007F0838"/>
    <w:rsid w:val="007F3A72"/>
    <w:rsid w:val="007F708E"/>
    <w:rsid w:val="007F7D6D"/>
    <w:rsid w:val="008001F9"/>
    <w:rsid w:val="00800A0D"/>
    <w:rsid w:val="0080511D"/>
    <w:rsid w:val="00806125"/>
    <w:rsid w:val="0081097F"/>
    <w:rsid w:val="00811D29"/>
    <w:rsid w:val="00813279"/>
    <w:rsid w:val="00817F95"/>
    <w:rsid w:val="00820D91"/>
    <w:rsid w:val="00825691"/>
    <w:rsid w:val="00825BD2"/>
    <w:rsid w:val="00831ED9"/>
    <w:rsid w:val="00834C8A"/>
    <w:rsid w:val="00836D59"/>
    <w:rsid w:val="008375DF"/>
    <w:rsid w:val="0084421D"/>
    <w:rsid w:val="0084650E"/>
    <w:rsid w:val="00847563"/>
    <w:rsid w:val="00847C65"/>
    <w:rsid w:val="0086009D"/>
    <w:rsid w:val="008631C5"/>
    <w:rsid w:val="00864114"/>
    <w:rsid w:val="008671A0"/>
    <w:rsid w:val="00867BD3"/>
    <w:rsid w:val="00867F34"/>
    <w:rsid w:val="00872DF4"/>
    <w:rsid w:val="008808CD"/>
    <w:rsid w:val="008814ED"/>
    <w:rsid w:val="00881714"/>
    <w:rsid w:val="008822BC"/>
    <w:rsid w:val="00883188"/>
    <w:rsid w:val="00884AE3"/>
    <w:rsid w:val="00885381"/>
    <w:rsid w:val="008940CD"/>
    <w:rsid w:val="008A17CC"/>
    <w:rsid w:val="008A1ED3"/>
    <w:rsid w:val="008A4D74"/>
    <w:rsid w:val="008A689D"/>
    <w:rsid w:val="008B2282"/>
    <w:rsid w:val="008B49AE"/>
    <w:rsid w:val="008B5580"/>
    <w:rsid w:val="008B60C8"/>
    <w:rsid w:val="008B6472"/>
    <w:rsid w:val="008C23B7"/>
    <w:rsid w:val="008C333D"/>
    <w:rsid w:val="008C419F"/>
    <w:rsid w:val="008C4CF3"/>
    <w:rsid w:val="008C5DCB"/>
    <w:rsid w:val="008C746F"/>
    <w:rsid w:val="008D00E8"/>
    <w:rsid w:val="008D0CB8"/>
    <w:rsid w:val="008D36CB"/>
    <w:rsid w:val="008D54B7"/>
    <w:rsid w:val="008D770B"/>
    <w:rsid w:val="008F0AAF"/>
    <w:rsid w:val="008F2E8B"/>
    <w:rsid w:val="009001A5"/>
    <w:rsid w:val="0090163A"/>
    <w:rsid w:val="00902C85"/>
    <w:rsid w:val="0090372F"/>
    <w:rsid w:val="00903916"/>
    <w:rsid w:val="0090468F"/>
    <w:rsid w:val="0091096B"/>
    <w:rsid w:val="009145A9"/>
    <w:rsid w:val="00915885"/>
    <w:rsid w:val="0091601F"/>
    <w:rsid w:val="00917101"/>
    <w:rsid w:val="00917890"/>
    <w:rsid w:val="00920831"/>
    <w:rsid w:val="00930A2B"/>
    <w:rsid w:val="0094096D"/>
    <w:rsid w:val="00940B4F"/>
    <w:rsid w:val="00941816"/>
    <w:rsid w:val="00943CBF"/>
    <w:rsid w:val="0094606E"/>
    <w:rsid w:val="00951264"/>
    <w:rsid w:val="009535D4"/>
    <w:rsid w:val="00963834"/>
    <w:rsid w:val="00965334"/>
    <w:rsid w:val="00965F62"/>
    <w:rsid w:val="00971EEB"/>
    <w:rsid w:val="00973B0F"/>
    <w:rsid w:val="00974A96"/>
    <w:rsid w:val="009924D0"/>
    <w:rsid w:val="0099684D"/>
    <w:rsid w:val="00996D6F"/>
    <w:rsid w:val="00997049"/>
    <w:rsid w:val="009A2E1D"/>
    <w:rsid w:val="009A46C0"/>
    <w:rsid w:val="009A495F"/>
    <w:rsid w:val="009A6ACA"/>
    <w:rsid w:val="009A76DE"/>
    <w:rsid w:val="009B2B31"/>
    <w:rsid w:val="009B5A25"/>
    <w:rsid w:val="009B5DE7"/>
    <w:rsid w:val="009B5F7E"/>
    <w:rsid w:val="009B6F53"/>
    <w:rsid w:val="009C034E"/>
    <w:rsid w:val="009C4CE4"/>
    <w:rsid w:val="009C5FFB"/>
    <w:rsid w:val="009C65E7"/>
    <w:rsid w:val="009D055B"/>
    <w:rsid w:val="009D1C62"/>
    <w:rsid w:val="009D34DA"/>
    <w:rsid w:val="009D3A44"/>
    <w:rsid w:val="009E0686"/>
    <w:rsid w:val="009E1358"/>
    <w:rsid w:val="009E13DE"/>
    <w:rsid w:val="009E3873"/>
    <w:rsid w:val="009E50EF"/>
    <w:rsid w:val="009E7F68"/>
    <w:rsid w:val="009F0BBA"/>
    <w:rsid w:val="009F1454"/>
    <w:rsid w:val="009F5714"/>
    <w:rsid w:val="009F6135"/>
    <w:rsid w:val="009F6D1E"/>
    <w:rsid w:val="009F6E9B"/>
    <w:rsid w:val="009F71A2"/>
    <w:rsid w:val="00A01481"/>
    <w:rsid w:val="00A031E3"/>
    <w:rsid w:val="00A03A08"/>
    <w:rsid w:val="00A04384"/>
    <w:rsid w:val="00A04F01"/>
    <w:rsid w:val="00A06394"/>
    <w:rsid w:val="00A139A1"/>
    <w:rsid w:val="00A14616"/>
    <w:rsid w:val="00A21542"/>
    <w:rsid w:val="00A22F8F"/>
    <w:rsid w:val="00A2394C"/>
    <w:rsid w:val="00A239D8"/>
    <w:rsid w:val="00A278C8"/>
    <w:rsid w:val="00A31CE0"/>
    <w:rsid w:val="00A32EFE"/>
    <w:rsid w:val="00A349EB"/>
    <w:rsid w:val="00A3602F"/>
    <w:rsid w:val="00A41F51"/>
    <w:rsid w:val="00A4201E"/>
    <w:rsid w:val="00A4500B"/>
    <w:rsid w:val="00A45ABD"/>
    <w:rsid w:val="00A5288C"/>
    <w:rsid w:val="00A53A1F"/>
    <w:rsid w:val="00A571CC"/>
    <w:rsid w:val="00A57EFD"/>
    <w:rsid w:val="00A62501"/>
    <w:rsid w:val="00A626D2"/>
    <w:rsid w:val="00A65803"/>
    <w:rsid w:val="00A66BFF"/>
    <w:rsid w:val="00A7070D"/>
    <w:rsid w:val="00A7156F"/>
    <w:rsid w:val="00A72ED8"/>
    <w:rsid w:val="00A766E9"/>
    <w:rsid w:val="00A77FE1"/>
    <w:rsid w:val="00A82AA4"/>
    <w:rsid w:val="00A84D27"/>
    <w:rsid w:val="00A92836"/>
    <w:rsid w:val="00A94AF8"/>
    <w:rsid w:val="00A94B28"/>
    <w:rsid w:val="00A95B96"/>
    <w:rsid w:val="00A961EC"/>
    <w:rsid w:val="00A9671D"/>
    <w:rsid w:val="00A96FBB"/>
    <w:rsid w:val="00A9708E"/>
    <w:rsid w:val="00A979A6"/>
    <w:rsid w:val="00AA47F0"/>
    <w:rsid w:val="00AB2EA4"/>
    <w:rsid w:val="00AB33B8"/>
    <w:rsid w:val="00AB4211"/>
    <w:rsid w:val="00AC5709"/>
    <w:rsid w:val="00AD0C24"/>
    <w:rsid w:val="00AD0F3B"/>
    <w:rsid w:val="00AD3E95"/>
    <w:rsid w:val="00AE0150"/>
    <w:rsid w:val="00AE7005"/>
    <w:rsid w:val="00AE7C93"/>
    <w:rsid w:val="00AF3070"/>
    <w:rsid w:val="00B04B58"/>
    <w:rsid w:val="00B15B62"/>
    <w:rsid w:val="00B16486"/>
    <w:rsid w:val="00B21BDF"/>
    <w:rsid w:val="00B24DB5"/>
    <w:rsid w:val="00B3277A"/>
    <w:rsid w:val="00B332A8"/>
    <w:rsid w:val="00B44342"/>
    <w:rsid w:val="00B45430"/>
    <w:rsid w:val="00B47886"/>
    <w:rsid w:val="00B61638"/>
    <w:rsid w:val="00B63910"/>
    <w:rsid w:val="00B657E6"/>
    <w:rsid w:val="00B66D2A"/>
    <w:rsid w:val="00B72223"/>
    <w:rsid w:val="00B737DB"/>
    <w:rsid w:val="00B73B5A"/>
    <w:rsid w:val="00B74396"/>
    <w:rsid w:val="00B745B2"/>
    <w:rsid w:val="00B776F3"/>
    <w:rsid w:val="00B85C5F"/>
    <w:rsid w:val="00B861F5"/>
    <w:rsid w:val="00B87151"/>
    <w:rsid w:val="00B8728B"/>
    <w:rsid w:val="00B87961"/>
    <w:rsid w:val="00B87E41"/>
    <w:rsid w:val="00B91782"/>
    <w:rsid w:val="00B93A02"/>
    <w:rsid w:val="00B9753E"/>
    <w:rsid w:val="00BA1681"/>
    <w:rsid w:val="00BA4FF3"/>
    <w:rsid w:val="00BB0225"/>
    <w:rsid w:val="00BC3E01"/>
    <w:rsid w:val="00BC493C"/>
    <w:rsid w:val="00BE072E"/>
    <w:rsid w:val="00BE2BA3"/>
    <w:rsid w:val="00BE392D"/>
    <w:rsid w:val="00BE55FF"/>
    <w:rsid w:val="00BE581A"/>
    <w:rsid w:val="00BE58E7"/>
    <w:rsid w:val="00BF1503"/>
    <w:rsid w:val="00BF1749"/>
    <w:rsid w:val="00BF377F"/>
    <w:rsid w:val="00C0258C"/>
    <w:rsid w:val="00C0608B"/>
    <w:rsid w:val="00C1085A"/>
    <w:rsid w:val="00C137BE"/>
    <w:rsid w:val="00C14577"/>
    <w:rsid w:val="00C23767"/>
    <w:rsid w:val="00C24206"/>
    <w:rsid w:val="00C24C8F"/>
    <w:rsid w:val="00C259E9"/>
    <w:rsid w:val="00C26A48"/>
    <w:rsid w:val="00C270E6"/>
    <w:rsid w:val="00C27F51"/>
    <w:rsid w:val="00C30B54"/>
    <w:rsid w:val="00C31638"/>
    <w:rsid w:val="00C34F0B"/>
    <w:rsid w:val="00C35D7B"/>
    <w:rsid w:val="00C412B4"/>
    <w:rsid w:val="00C41EC6"/>
    <w:rsid w:val="00C42225"/>
    <w:rsid w:val="00C4385B"/>
    <w:rsid w:val="00C450D0"/>
    <w:rsid w:val="00C501D0"/>
    <w:rsid w:val="00C52618"/>
    <w:rsid w:val="00C54CA7"/>
    <w:rsid w:val="00C61223"/>
    <w:rsid w:val="00C63432"/>
    <w:rsid w:val="00C6418D"/>
    <w:rsid w:val="00C7042D"/>
    <w:rsid w:val="00C715C5"/>
    <w:rsid w:val="00C73861"/>
    <w:rsid w:val="00C76E66"/>
    <w:rsid w:val="00C811C8"/>
    <w:rsid w:val="00C923B4"/>
    <w:rsid w:val="00C93827"/>
    <w:rsid w:val="00C96710"/>
    <w:rsid w:val="00C96D05"/>
    <w:rsid w:val="00C9771E"/>
    <w:rsid w:val="00CA3C88"/>
    <w:rsid w:val="00CA74F6"/>
    <w:rsid w:val="00CB07C3"/>
    <w:rsid w:val="00CB45D1"/>
    <w:rsid w:val="00CC3B41"/>
    <w:rsid w:val="00CC43DA"/>
    <w:rsid w:val="00CC726E"/>
    <w:rsid w:val="00CD1635"/>
    <w:rsid w:val="00CD1FD0"/>
    <w:rsid w:val="00CD32F5"/>
    <w:rsid w:val="00CD4B20"/>
    <w:rsid w:val="00CE3B5A"/>
    <w:rsid w:val="00CF290E"/>
    <w:rsid w:val="00D00C7B"/>
    <w:rsid w:val="00D12958"/>
    <w:rsid w:val="00D13189"/>
    <w:rsid w:val="00D14A1E"/>
    <w:rsid w:val="00D169CC"/>
    <w:rsid w:val="00D20132"/>
    <w:rsid w:val="00D2071F"/>
    <w:rsid w:val="00D229B8"/>
    <w:rsid w:val="00D3090A"/>
    <w:rsid w:val="00D32FE8"/>
    <w:rsid w:val="00D337AB"/>
    <w:rsid w:val="00D3702C"/>
    <w:rsid w:val="00D373EF"/>
    <w:rsid w:val="00D37A3D"/>
    <w:rsid w:val="00D37BEE"/>
    <w:rsid w:val="00D40137"/>
    <w:rsid w:val="00D4277E"/>
    <w:rsid w:val="00D43DA6"/>
    <w:rsid w:val="00D446DB"/>
    <w:rsid w:val="00D47FDA"/>
    <w:rsid w:val="00D51C3A"/>
    <w:rsid w:val="00D553A4"/>
    <w:rsid w:val="00D60BA9"/>
    <w:rsid w:val="00D60CDC"/>
    <w:rsid w:val="00D623C7"/>
    <w:rsid w:val="00D751DD"/>
    <w:rsid w:val="00D762C9"/>
    <w:rsid w:val="00D825C2"/>
    <w:rsid w:val="00D9164B"/>
    <w:rsid w:val="00D93423"/>
    <w:rsid w:val="00DA2C38"/>
    <w:rsid w:val="00DA30E7"/>
    <w:rsid w:val="00DB4F39"/>
    <w:rsid w:val="00DD0C8D"/>
    <w:rsid w:val="00DD4729"/>
    <w:rsid w:val="00DD4B17"/>
    <w:rsid w:val="00DD5815"/>
    <w:rsid w:val="00DD6359"/>
    <w:rsid w:val="00DD76D0"/>
    <w:rsid w:val="00DD7CF2"/>
    <w:rsid w:val="00DE09A0"/>
    <w:rsid w:val="00DE18DB"/>
    <w:rsid w:val="00DE3DFD"/>
    <w:rsid w:val="00DE6D16"/>
    <w:rsid w:val="00DE6F46"/>
    <w:rsid w:val="00DF330B"/>
    <w:rsid w:val="00DF66A5"/>
    <w:rsid w:val="00E017C6"/>
    <w:rsid w:val="00E01B07"/>
    <w:rsid w:val="00E03CF3"/>
    <w:rsid w:val="00E04741"/>
    <w:rsid w:val="00E10308"/>
    <w:rsid w:val="00E2006E"/>
    <w:rsid w:val="00E21118"/>
    <w:rsid w:val="00E227B5"/>
    <w:rsid w:val="00E32A3C"/>
    <w:rsid w:val="00E3583D"/>
    <w:rsid w:val="00E36DF3"/>
    <w:rsid w:val="00E443D2"/>
    <w:rsid w:val="00E44664"/>
    <w:rsid w:val="00E50600"/>
    <w:rsid w:val="00E66405"/>
    <w:rsid w:val="00E71871"/>
    <w:rsid w:val="00E84A5A"/>
    <w:rsid w:val="00E87303"/>
    <w:rsid w:val="00E94B40"/>
    <w:rsid w:val="00E965F3"/>
    <w:rsid w:val="00E97C2E"/>
    <w:rsid w:val="00EA4DEF"/>
    <w:rsid w:val="00EB2B85"/>
    <w:rsid w:val="00EB2D6E"/>
    <w:rsid w:val="00EC05C5"/>
    <w:rsid w:val="00EC0A0C"/>
    <w:rsid w:val="00EC0E6E"/>
    <w:rsid w:val="00EC423D"/>
    <w:rsid w:val="00EC4B7B"/>
    <w:rsid w:val="00EC5D09"/>
    <w:rsid w:val="00ED1B5E"/>
    <w:rsid w:val="00ED1C90"/>
    <w:rsid w:val="00ED274E"/>
    <w:rsid w:val="00ED561B"/>
    <w:rsid w:val="00ED5E19"/>
    <w:rsid w:val="00EE68EF"/>
    <w:rsid w:val="00EF242F"/>
    <w:rsid w:val="00F008D5"/>
    <w:rsid w:val="00F02949"/>
    <w:rsid w:val="00F04980"/>
    <w:rsid w:val="00F1649C"/>
    <w:rsid w:val="00F1791B"/>
    <w:rsid w:val="00F306A4"/>
    <w:rsid w:val="00F35C6F"/>
    <w:rsid w:val="00F407DF"/>
    <w:rsid w:val="00F4119C"/>
    <w:rsid w:val="00F469B5"/>
    <w:rsid w:val="00F474BC"/>
    <w:rsid w:val="00F47756"/>
    <w:rsid w:val="00F526B5"/>
    <w:rsid w:val="00F54B2E"/>
    <w:rsid w:val="00F55961"/>
    <w:rsid w:val="00F57880"/>
    <w:rsid w:val="00F61DDB"/>
    <w:rsid w:val="00F66DC6"/>
    <w:rsid w:val="00F7177F"/>
    <w:rsid w:val="00F72155"/>
    <w:rsid w:val="00F73F12"/>
    <w:rsid w:val="00F765E0"/>
    <w:rsid w:val="00F76D11"/>
    <w:rsid w:val="00F90C68"/>
    <w:rsid w:val="00F96D26"/>
    <w:rsid w:val="00F97219"/>
    <w:rsid w:val="00FA36CD"/>
    <w:rsid w:val="00FB0849"/>
    <w:rsid w:val="00FC0224"/>
    <w:rsid w:val="00FC3B30"/>
    <w:rsid w:val="00FC418A"/>
    <w:rsid w:val="00FC765F"/>
    <w:rsid w:val="00FD2F12"/>
    <w:rsid w:val="00FD5172"/>
    <w:rsid w:val="00FE0F2B"/>
    <w:rsid w:val="00FE1E17"/>
    <w:rsid w:val="00FE4B94"/>
    <w:rsid w:val="00FE5203"/>
    <w:rsid w:val="00FE767F"/>
    <w:rsid w:val="00FF0818"/>
    <w:rsid w:val="00FF71B2"/>
    <w:rsid w:val="00FF7D7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0E7"/>
    <w:pPr>
      <w:overflowPunct w:val="0"/>
      <w:autoSpaceDE w:val="0"/>
      <w:autoSpaceDN w:val="0"/>
      <w:adjustRightInd w:val="0"/>
      <w:spacing w:after="80" w:line="220" w:lineRule="exact"/>
      <w:jc w:val="both"/>
      <w:textAlignment w:val="baseline"/>
    </w:pPr>
    <w:rPr>
      <w:spacing w:val="2"/>
    </w:rPr>
  </w:style>
  <w:style w:type="paragraph" w:styleId="Titre1">
    <w:name w:val="heading 1"/>
    <w:basedOn w:val="Normal"/>
    <w:next w:val="NoArt"/>
    <w:link w:val="Titre1Car"/>
    <w:qFormat/>
    <w:rsid w:val="00DA30E7"/>
    <w:pPr>
      <w:keepNext/>
      <w:keepLines/>
      <w:tabs>
        <w:tab w:val="left" w:pos="284"/>
      </w:tabs>
      <w:suppressAutoHyphens/>
      <w:spacing w:before="240" w:after="60" w:line="300" w:lineRule="exact"/>
      <w:jc w:val="left"/>
      <w:outlineLvl w:val="0"/>
    </w:pPr>
    <w:rPr>
      <w:b/>
    </w:rPr>
  </w:style>
  <w:style w:type="paragraph" w:styleId="Titre2">
    <w:name w:val="heading 2"/>
    <w:basedOn w:val="Titre1"/>
    <w:next w:val="NoArt"/>
    <w:link w:val="Titre2Car"/>
    <w:qFormat/>
    <w:rsid w:val="00DA30E7"/>
    <w:pPr>
      <w:outlineLvl w:val="1"/>
    </w:pPr>
  </w:style>
  <w:style w:type="paragraph" w:styleId="Titre3">
    <w:name w:val="heading 3"/>
    <w:basedOn w:val="Titre2"/>
    <w:next w:val="NoArt"/>
    <w:link w:val="Titre3Car"/>
    <w:qFormat/>
    <w:rsid w:val="00DA30E7"/>
    <w:pPr>
      <w:outlineLvl w:val="2"/>
    </w:pPr>
    <w:rPr>
      <w:b w:val="0"/>
      <w:i/>
    </w:rPr>
  </w:style>
  <w:style w:type="paragraph" w:styleId="Titre4">
    <w:name w:val="heading 4"/>
    <w:basedOn w:val="Titre2"/>
    <w:next w:val="NoArt"/>
    <w:qFormat/>
    <w:rsid w:val="00DA30E7"/>
    <w:pPr>
      <w:outlineLvl w:val="3"/>
    </w:pPr>
  </w:style>
  <w:style w:type="paragraph" w:styleId="Titre5">
    <w:name w:val="heading 5"/>
    <w:basedOn w:val="Titre4"/>
    <w:next w:val="NoArt"/>
    <w:qFormat/>
    <w:rsid w:val="00DA30E7"/>
    <w:pPr>
      <w:outlineLvl w:val="4"/>
    </w:pPr>
  </w:style>
  <w:style w:type="paragraph" w:styleId="Titre6">
    <w:name w:val="heading 6"/>
    <w:basedOn w:val="Titre5"/>
    <w:next w:val="NoArt"/>
    <w:qFormat/>
    <w:rsid w:val="00DA30E7"/>
    <w:pPr>
      <w:outlineLvl w:val="5"/>
    </w:pPr>
  </w:style>
  <w:style w:type="paragraph" w:styleId="Titre7">
    <w:name w:val="heading 7"/>
    <w:basedOn w:val="Titre6"/>
    <w:next w:val="NoArt"/>
    <w:qFormat/>
    <w:rsid w:val="00DA30E7"/>
    <w:pPr>
      <w:outlineLvl w:val="6"/>
    </w:pPr>
  </w:style>
  <w:style w:type="paragraph" w:styleId="Titre8">
    <w:name w:val="heading 8"/>
    <w:basedOn w:val="Titre7"/>
    <w:next w:val="NoArt"/>
    <w:qFormat/>
    <w:rsid w:val="00DA30E7"/>
    <w:pPr>
      <w:outlineLvl w:val="7"/>
    </w:pPr>
  </w:style>
  <w:style w:type="paragraph" w:styleId="Titre9">
    <w:name w:val="heading 9"/>
    <w:basedOn w:val="Titre8"/>
    <w:next w:val="NoArt"/>
    <w:qFormat/>
    <w:rsid w:val="00DA30E7"/>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Art">
    <w:name w:val="No_Art"/>
    <w:basedOn w:val="Normal"/>
    <w:next w:val="Normal"/>
    <w:link w:val="NoArtCar"/>
    <w:qFormat/>
    <w:rsid w:val="00DA30E7"/>
    <w:pPr>
      <w:keepNext/>
      <w:spacing w:before="160"/>
      <w:ind w:left="964" w:hanging="964"/>
      <w:jc w:val="left"/>
    </w:pPr>
  </w:style>
  <w:style w:type="character" w:customStyle="1" w:styleId="Titre1Car">
    <w:name w:val="Titre 1 Car"/>
    <w:basedOn w:val="Policepardfaut"/>
    <w:link w:val="Titre1"/>
    <w:rsid w:val="0084421D"/>
    <w:rPr>
      <w:b/>
      <w:spacing w:val="2"/>
      <w:lang w:val="fr-CH" w:eastAsia="fr-CH" w:bidi="ar-SA"/>
    </w:rPr>
  </w:style>
  <w:style w:type="character" w:customStyle="1" w:styleId="Titre2Car">
    <w:name w:val="Titre 2 Car"/>
    <w:basedOn w:val="Titre1Car"/>
    <w:link w:val="Titre2"/>
    <w:rsid w:val="0084421D"/>
    <w:rPr>
      <w:b/>
      <w:spacing w:val="2"/>
      <w:lang w:val="fr-CH" w:eastAsia="fr-CH" w:bidi="ar-SA"/>
    </w:rPr>
  </w:style>
  <w:style w:type="character" w:customStyle="1" w:styleId="Titre3Car">
    <w:name w:val="Titre 3 Car"/>
    <w:basedOn w:val="Titre2Car"/>
    <w:link w:val="Titre3"/>
    <w:rsid w:val="0084421D"/>
    <w:rPr>
      <w:b/>
      <w:i/>
      <w:spacing w:val="2"/>
      <w:lang w:val="fr-CH" w:eastAsia="fr-CH" w:bidi="ar-SA"/>
    </w:rPr>
  </w:style>
  <w:style w:type="paragraph" w:customStyle="1" w:styleId="Actetitre">
    <w:name w:val="Acte titre"/>
    <w:basedOn w:val="Acte"/>
    <w:next w:val="Actedate"/>
    <w:rsid w:val="00DA30E7"/>
  </w:style>
  <w:style w:type="paragraph" w:customStyle="1" w:styleId="Acte">
    <w:name w:val="Acte"/>
    <w:basedOn w:val="Normal"/>
    <w:rsid w:val="00DA30E7"/>
    <w:pPr>
      <w:keepNext/>
      <w:suppressAutoHyphens/>
      <w:spacing w:after="240" w:line="240" w:lineRule="atLeast"/>
      <w:jc w:val="left"/>
    </w:pPr>
    <w:rPr>
      <w:b/>
      <w:sz w:val="24"/>
    </w:rPr>
  </w:style>
  <w:style w:type="paragraph" w:customStyle="1" w:styleId="Actedate">
    <w:name w:val="Acte date"/>
    <w:basedOn w:val="Acte"/>
    <w:next w:val="Actetitre2"/>
    <w:rsid w:val="00DA30E7"/>
    <w:rPr>
      <w:b w:val="0"/>
      <w:i/>
      <w:sz w:val="20"/>
    </w:rPr>
  </w:style>
  <w:style w:type="paragraph" w:customStyle="1" w:styleId="Actetitre2">
    <w:name w:val="Acte titre 2"/>
    <w:basedOn w:val="Actetitre"/>
    <w:next w:val="Actetrait"/>
    <w:rsid w:val="00DA30E7"/>
  </w:style>
  <w:style w:type="paragraph" w:customStyle="1" w:styleId="Actetrait">
    <w:name w:val="Acte trait"/>
    <w:basedOn w:val="Normal"/>
    <w:next w:val="Prambule"/>
    <w:rsid w:val="00DA30E7"/>
    <w:pPr>
      <w:keepNext/>
      <w:pBdr>
        <w:top w:val="single" w:sz="6" w:space="0" w:color="auto"/>
      </w:pBdr>
      <w:spacing w:line="48" w:lineRule="exact"/>
    </w:pPr>
    <w:rPr>
      <w:sz w:val="24"/>
    </w:rPr>
  </w:style>
  <w:style w:type="paragraph" w:customStyle="1" w:styleId="Prambule">
    <w:name w:val="Préambule"/>
    <w:basedOn w:val="Normal"/>
    <w:next w:val="Vu"/>
    <w:rsid w:val="00DA30E7"/>
    <w:pPr>
      <w:spacing w:before="360" w:after="240" w:line="240" w:lineRule="exact"/>
    </w:pPr>
    <w:rPr>
      <w:i/>
      <w:sz w:val="24"/>
    </w:rPr>
  </w:style>
  <w:style w:type="paragraph" w:customStyle="1" w:styleId="Vu">
    <w:name w:val="Vu"/>
    <w:basedOn w:val="Normal"/>
    <w:rsid w:val="00DA30E7"/>
  </w:style>
  <w:style w:type="paragraph" w:customStyle="1" w:styleId="Dcrte">
    <w:name w:val="Décrète"/>
    <w:basedOn w:val="Prambule"/>
    <w:next w:val="NoArt"/>
    <w:rsid w:val="00DA30E7"/>
    <w:pPr>
      <w:spacing w:before="240" w:after="120"/>
    </w:pPr>
  </w:style>
  <w:style w:type="character" w:customStyle="1" w:styleId="Appelnote">
    <w:name w:val="Appel note"/>
    <w:basedOn w:val="Policepardfaut"/>
    <w:rsid w:val="00721144"/>
    <w:rPr>
      <w:spacing w:val="2"/>
      <w:position w:val="6"/>
      <w:sz w:val="14"/>
    </w:rPr>
  </w:style>
  <w:style w:type="paragraph" w:customStyle="1" w:styleId="Note">
    <w:name w:val="Note"/>
    <w:basedOn w:val="Normal"/>
    <w:next w:val="Normal"/>
    <w:rsid w:val="00721144"/>
    <w:pPr>
      <w:spacing w:line="200" w:lineRule="exact"/>
      <w:ind w:left="368" w:hanging="170"/>
    </w:pPr>
    <w:rPr>
      <w:rFonts w:ascii="Times" w:hAnsi="Times"/>
      <w:i/>
      <w:sz w:val="18"/>
    </w:rPr>
  </w:style>
  <w:style w:type="paragraph" w:customStyle="1" w:styleId="en-tte1">
    <w:name w:val="en-tête 1"/>
    <w:basedOn w:val="Normal"/>
    <w:rsid w:val="00DA30E7"/>
    <w:pPr>
      <w:spacing w:line="240" w:lineRule="exact"/>
      <w:jc w:val="right"/>
    </w:pPr>
    <w:rPr>
      <w:b/>
      <w:sz w:val="24"/>
    </w:rPr>
  </w:style>
  <w:style w:type="paragraph" w:styleId="Retraitnormal">
    <w:name w:val="Normal Indent"/>
    <w:basedOn w:val="Normal"/>
    <w:rsid w:val="00DA30E7"/>
    <w:pPr>
      <w:ind w:left="720"/>
    </w:pPr>
  </w:style>
  <w:style w:type="paragraph" w:customStyle="1" w:styleId="Structure0avecliste">
    <w:name w:val="Structure 0 avec liste"/>
    <w:basedOn w:val="Normal"/>
    <w:rsid w:val="00DA30E7"/>
    <w:pPr>
      <w:tabs>
        <w:tab w:val="right" w:pos="6237"/>
      </w:tabs>
      <w:ind w:right="1276"/>
    </w:pPr>
  </w:style>
  <w:style w:type="paragraph" w:customStyle="1" w:styleId="Structure1">
    <w:name w:val="Structure 1"/>
    <w:basedOn w:val="Normal"/>
    <w:link w:val="Structure1Car"/>
    <w:qFormat/>
    <w:rsid w:val="00DA30E7"/>
    <w:pPr>
      <w:tabs>
        <w:tab w:val="left" w:pos="624"/>
      </w:tabs>
      <w:ind w:left="312" w:hanging="312"/>
    </w:pPr>
  </w:style>
  <w:style w:type="paragraph" w:customStyle="1" w:styleId="Structure1avecliste">
    <w:name w:val="Structure 1 avec liste"/>
    <w:basedOn w:val="Structure1"/>
    <w:rsid w:val="00DA30E7"/>
    <w:pPr>
      <w:tabs>
        <w:tab w:val="clear" w:pos="624"/>
        <w:tab w:val="right" w:pos="6237"/>
      </w:tabs>
      <w:ind w:right="1276"/>
    </w:pPr>
  </w:style>
  <w:style w:type="paragraph" w:customStyle="1" w:styleId="Structure2">
    <w:name w:val="Structure 2"/>
    <w:basedOn w:val="Structure1"/>
    <w:qFormat/>
    <w:rsid w:val="00DA30E7"/>
    <w:pPr>
      <w:tabs>
        <w:tab w:val="clear" w:pos="624"/>
        <w:tab w:val="left" w:pos="936"/>
      </w:tabs>
      <w:ind w:left="624"/>
    </w:pPr>
  </w:style>
  <w:style w:type="paragraph" w:customStyle="1" w:styleId="Structure2avecliste">
    <w:name w:val="Structure 2 avec liste"/>
    <w:basedOn w:val="Structure2"/>
    <w:rsid w:val="00DA30E7"/>
    <w:pPr>
      <w:tabs>
        <w:tab w:val="clear" w:pos="936"/>
        <w:tab w:val="right" w:pos="6237"/>
      </w:tabs>
      <w:ind w:right="1276"/>
    </w:pPr>
  </w:style>
  <w:style w:type="paragraph" w:customStyle="1" w:styleId="Structure3">
    <w:name w:val="Structure 3"/>
    <w:basedOn w:val="Structure2"/>
    <w:rsid w:val="00DA30E7"/>
    <w:pPr>
      <w:tabs>
        <w:tab w:val="clear" w:pos="936"/>
        <w:tab w:val="left" w:pos="1247"/>
      </w:tabs>
      <w:ind w:left="936"/>
    </w:pPr>
  </w:style>
  <w:style w:type="paragraph" w:customStyle="1" w:styleId="Structure3avecliste">
    <w:name w:val="Structure 3 avec liste"/>
    <w:basedOn w:val="Structure3"/>
    <w:rsid w:val="00DA30E7"/>
    <w:pPr>
      <w:tabs>
        <w:tab w:val="clear" w:pos="1247"/>
        <w:tab w:val="right" w:pos="6237"/>
      </w:tabs>
      <w:ind w:right="1276"/>
    </w:pPr>
  </w:style>
  <w:style w:type="paragraph" w:customStyle="1" w:styleId="SurProposition">
    <w:name w:val="SurProposition"/>
    <w:basedOn w:val="Normal"/>
    <w:next w:val="Dcrte"/>
    <w:rsid w:val="00DA30E7"/>
    <w:pPr>
      <w:spacing w:after="120"/>
    </w:pPr>
  </w:style>
  <w:style w:type="paragraph" w:customStyle="1" w:styleId="Formule">
    <w:name w:val="Formule"/>
    <w:basedOn w:val="Normal"/>
    <w:rsid w:val="00DA30E7"/>
    <w:pPr>
      <w:spacing w:line="240" w:lineRule="atLeast"/>
    </w:pPr>
  </w:style>
  <w:style w:type="paragraph" w:customStyle="1" w:styleId="Considrant">
    <w:name w:val="Considérant"/>
    <w:basedOn w:val="Normal"/>
    <w:next w:val="Considrant1"/>
    <w:rsid w:val="00DA30E7"/>
    <w:pPr>
      <w:keepNext/>
      <w:spacing w:before="120" w:line="240" w:lineRule="atLeast"/>
    </w:pPr>
  </w:style>
  <w:style w:type="paragraph" w:customStyle="1" w:styleId="Considrant1">
    <w:name w:val="Considérant1"/>
    <w:basedOn w:val="Normal"/>
    <w:rsid w:val="00DA30E7"/>
  </w:style>
  <w:style w:type="paragraph" w:customStyle="1" w:styleId="tableau">
    <w:name w:val="tableau"/>
    <w:basedOn w:val="Normal"/>
    <w:rsid w:val="00DA30E7"/>
    <w:pPr>
      <w:spacing w:line="240" w:lineRule="exact"/>
    </w:pPr>
    <w:rPr>
      <w:sz w:val="22"/>
    </w:rPr>
  </w:style>
  <w:style w:type="paragraph" w:customStyle="1" w:styleId="Filet">
    <w:name w:val="Filet"/>
    <w:basedOn w:val="Normal"/>
    <w:next w:val="Normal"/>
    <w:rsid w:val="00B657E6"/>
    <w:pPr>
      <w:pBdr>
        <w:top w:val="single" w:sz="6" w:space="0" w:color="auto"/>
      </w:pBdr>
      <w:spacing w:before="240" w:after="240" w:line="48" w:lineRule="exact"/>
      <w:ind w:left="2268" w:right="2268"/>
      <w:jc w:val="center"/>
    </w:pPr>
    <w:rPr>
      <w:rFonts w:ascii="Times" w:hAnsi="Times"/>
      <w:lang w:val="fr-FR"/>
    </w:rPr>
  </w:style>
  <w:style w:type="paragraph" w:styleId="En-tte">
    <w:name w:val="header"/>
    <w:basedOn w:val="Normal"/>
    <w:rsid w:val="00DA30E7"/>
    <w:pPr>
      <w:spacing w:after="300"/>
      <w:jc w:val="right"/>
    </w:pPr>
    <w:rPr>
      <w:b/>
    </w:rPr>
  </w:style>
  <w:style w:type="paragraph" w:styleId="Pieddepage">
    <w:name w:val="footer"/>
    <w:basedOn w:val="Normal"/>
    <w:rsid w:val="00DA30E7"/>
    <w:pPr>
      <w:spacing w:after="0"/>
      <w:jc w:val="center"/>
    </w:pPr>
  </w:style>
  <w:style w:type="paragraph" w:customStyle="1" w:styleId="graf">
    <w:name w:val="graf"/>
    <w:basedOn w:val="Normal"/>
    <w:rsid w:val="00DA30E7"/>
  </w:style>
  <w:style w:type="paragraph" w:customStyle="1" w:styleId="Approbannexe">
    <w:name w:val="Approb_annexe"/>
    <w:basedOn w:val="Normal"/>
    <w:next w:val="Normal"/>
    <w:rsid w:val="00B657E6"/>
    <w:pPr>
      <w:keepNext/>
      <w:suppressAutoHyphens/>
      <w:spacing w:after="240" w:line="340" w:lineRule="exact"/>
      <w:jc w:val="left"/>
    </w:pPr>
    <w:rPr>
      <w:rFonts w:ascii="Times" w:hAnsi="Times"/>
      <w:b/>
      <w:sz w:val="24"/>
      <w:lang w:val="fr-FR"/>
    </w:rPr>
  </w:style>
  <w:style w:type="paragraph" w:styleId="TM1">
    <w:name w:val="toc 1"/>
    <w:basedOn w:val="Normal"/>
    <w:next w:val="Normal"/>
    <w:autoRedefine/>
    <w:uiPriority w:val="39"/>
    <w:rsid w:val="00785DEB"/>
    <w:pPr>
      <w:spacing w:before="120" w:after="120"/>
      <w:jc w:val="left"/>
    </w:pPr>
    <w:rPr>
      <w:rFonts w:asciiTheme="minorHAnsi" w:hAnsiTheme="minorHAnsi"/>
      <w:b/>
      <w:bCs/>
      <w:caps/>
    </w:rPr>
  </w:style>
  <w:style w:type="paragraph" w:styleId="TM2">
    <w:name w:val="toc 2"/>
    <w:basedOn w:val="Normal"/>
    <w:next w:val="Normal"/>
    <w:autoRedefine/>
    <w:uiPriority w:val="39"/>
    <w:rsid w:val="00785DEB"/>
    <w:pPr>
      <w:spacing w:after="0"/>
      <w:ind w:left="200"/>
      <w:jc w:val="left"/>
    </w:pPr>
    <w:rPr>
      <w:rFonts w:asciiTheme="minorHAnsi" w:hAnsiTheme="minorHAnsi"/>
      <w:smallCaps/>
    </w:rPr>
  </w:style>
  <w:style w:type="character" w:styleId="Lienhypertexte">
    <w:name w:val="Hyperlink"/>
    <w:basedOn w:val="Policepardfaut"/>
    <w:uiPriority w:val="99"/>
    <w:rsid w:val="00785DEB"/>
    <w:rPr>
      <w:color w:val="0000FF"/>
      <w:u w:val="single"/>
    </w:rPr>
  </w:style>
  <w:style w:type="character" w:styleId="Marquedecommentaire">
    <w:name w:val="annotation reference"/>
    <w:basedOn w:val="Policepardfaut"/>
    <w:semiHidden/>
    <w:rsid w:val="00F526B5"/>
    <w:rPr>
      <w:sz w:val="16"/>
      <w:szCs w:val="16"/>
    </w:rPr>
  </w:style>
  <w:style w:type="paragraph" w:styleId="Commentaire">
    <w:name w:val="annotation text"/>
    <w:basedOn w:val="Normal"/>
    <w:link w:val="CommentaireCar"/>
    <w:semiHidden/>
    <w:rsid w:val="00F526B5"/>
  </w:style>
  <w:style w:type="character" w:customStyle="1" w:styleId="CommentaireCar">
    <w:name w:val="Commentaire Car"/>
    <w:basedOn w:val="Policepardfaut"/>
    <w:link w:val="Commentaire"/>
    <w:semiHidden/>
    <w:rsid w:val="006048FD"/>
    <w:rPr>
      <w:spacing w:val="2"/>
    </w:rPr>
  </w:style>
  <w:style w:type="paragraph" w:styleId="Objetducommentaire">
    <w:name w:val="annotation subject"/>
    <w:basedOn w:val="Commentaire"/>
    <w:next w:val="Commentaire"/>
    <w:semiHidden/>
    <w:rsid w:val="00F526B5"/>
    <w:rPr>
      <w:b/>
      <w:bCs/>
    </w:rPr>
  </w:style>
  <w:style w:type="paragraph" w:styleId="Textedebulles">
    <w:name w:val="Balloon Text"/>
    <w:basedOn w:val="Normal"/>
    <w:semiHidden/>
    <w:rsid w:val="00F526B5"/>
    <w:rPr>
      <w:rFonts w:ascii="Tahoma" w:hAnsi="Tahoma" w:cs="Tahoma"/>
      <w:sz w:val="16"/>
      <w:szCs w:val="16"/>
    </w:rPr>
  </w:style>
  <w:style w:type="paragraph" w:styleId="TM4">
    <w:name w:val="toc 4"/>
    <w:basedOn w:val="Normal"/>
    <w:next w:val="Normal"/>
    <w:autoRedefine/>
    <w:uiPriority w:val="39"/>
    <w:rsid w:val="005E62E4"/>
    <w:pPr>
      <w:spacing w:after="0"/>
      <w:ind w:left="600"/>
      <w:jc w:val="left"/>
    </w:pPr>
    <w:rPr>
      <w:rFonts w:asciiTheme="minorHAnsi" w:hAnsiTheme="minorHAnsi"/>
      <w:sz w:val="18"/>
      <w:szCs w:val="18"/>
    </w:rPr>
  </w:style>
  <w:style w:type="character" w:styleId="Appelnotedebasdep">
    <w:name w:val="footnote reference"/>
    <w:basedOn w:val="Policepardfaut"/>
    <w:rsid w:val="00510D33"/>
    <w:rPr>
      <w:vertAlign w:val="superscript"/>
    </w:rPr>
  </w:style>
  <w:style w:type="character" w:customStyle="1" w:styleId="Structure1Car">
    <w:name w:val="Structure 1 Car"/>
    <w:basedOn w:val="Policepardfaut"/>
    <w:link w:val="Structure1"/>
    <w:rsid w:val="00D4277E"/>
    <w:rPr>
      <w:spacing w:val="2"/>
    </w:rPr>
  </w:style>
  <w:style w:type="character" w:customStyle="1" w:styleId="NoArtCar">
    <w:name w:val="No_Art Car"/>
    <w:basedOn w:val="Policepardfaut"/>
    <w:link w:val="NoArt"/>
    <w:rsid w:val="002B0F03"/>
    <w:rPr>
      <w:spacing w:val="2"/>
    </w:rPr>
  </w:style>
  <w:style w:type="paragraph" w:styleId="TM3">
    <w:name w:val="toc 3"/>
    <w:basedOn w:val="Normal"/>
    <w:next w:val="Normal"/>
    <w:autoRedefine/>
    <w:uiPriority w:val="39"/>
    <w:rsid w:val="00FC0224"/>
    <w:pPr>
      <w:spacing w:after="0"/>
      <w:ind w:left="400"/>
      <w:jc w:val="left"/>
    </w:pPr>
    <w:rPr>
      <w:rFonts w:asciiTheme="minorHAnsi" w:hAnsiTheme="minorHAnsi"/>
      <w:i/>
      <w:iCs/>
    </w:rPr>
  </w:style>
  <w:style w:type="paragraph" w:styleId="TM5">
    <w:name w:val="toc 5"/>
    <w:basedOn w:val="Normal"/>
    <w:next w:val="Normal"/>
    <w:autoRedefine/>
    <w:uiPriority w:val="39"/>
    <w:rsid w:val="00FC0224"/>
    <w:pPr>
      <w:spacing w:after="0"/>
      <w:ind w:left="800"/>
      <w:jc w:val="left"/>
    </w:pPr>
    <w:rPr>
      <w:rFonts w:asciiTheme="minorHAnsi" w:hAnsiTheme="minorHAnsi"/>
      <w:sz w:val="18"/>
      <w:szCs w:val="18"/>
    </w:rPr>
  </w:style>
  <w:style w:type="paragraph" w:styleId="TM6">
    <w:name w:val="toc 6"/>
    <w:basedOn w:val="Normal"/>
    <w:next w:val="Normal"/>
    <w:autoRedefine/>
    <w:uiPriority w:val="39"/>
    <w:rsid w:val="00FC0224"/>
    <w:pPr>
      <w:spacing w:after="0"/>
      <w:ind w:left="1000"/>
      <w:jc w:val="left"/>
    </w:pPr>
    <w:rPr>
      <w:rFonts w:asciiTheme="minorHAnsi" w:hAnsiTheme="minorHAnsi"/>
      <w:sz w:val="18"/>
      <w:szCs w:val="18"/>
    </w:rPr>
  </w:style>
  <w:style w:type="paragraph" w:styleId="TM7">
    <w:name w:val="toc 7"/>
    <w:basedOn w:val="Normal"/>
    <w:next w:val="Normal"/>
    <w:autoRedefine/>
    <w:uiPriority w:val="39"/>
    <w:rsid w:val="00FC0224"/>
    <w:pPr>
      <w:spacing w:after="0"/>
      <w:ind w:left="1200"/>
      <w:jc w:val="left"/>
    </w:pPr>
    <w:rPr>
      <w:rFonts w:asciiTheme="minorHAnsi" w:hAnsiTheme="minorHAnsi"/>
      <w:sz w:val="18"/>
      <w:szCs w:val="18"/>
    </w:rPr>
  </w:style>
  <w:style w:type="paragraph" w:styleId="TM8">
    <w:name w:val="toc 8"/>
    <w:basedOn w:val="Normal"/>
    <w:next w:val="Normal"/>
    <w:autoRedefine/>
    <w:uiPriority w:val="39"/>
    <w:rsid w:val="00FC0224"/>
    <w:pPr>
      <w:spacing w:after="0"/>
      <w:ind w:left="1400"/>
      <w:jc w:val="left"/>
    </w:pPr>
    <w:rPr>
      <w:rFonts w:asciiTheme="minorHAnsi" w:hAnsiTheme="minorHAnsi"/>
      <w:sz w:val="18"/>
      <w:szCs w:val="18"/>
    </w:rPr>
  </w:style>
  <w:style w:type="paragraph" w:styleId="TM9">
    <w:name w:val="toc 9"/>
    <w:basedOn w:val="Normal"/>
    <w:next w:val="Normal"/>
    <w:autoRedefine/>
    <w:uiPriority w:val="39"/>
    <w:rsid w:val="00FC0224"/>
    <w:pPr>
      <w:spacing w:after="0"/>
      <w:ind w:left="1600"/>
      <w:jc w:val="left"/>
    </w:pPr>
    <w:rPr>
      <w:rFonts w:asciiTheme="minorHAnsi" w:hAnsiTheme="minorHAnsi"/>
      <w:sz w:val="18"/>
      <w:szCs w:val="18"/>
    </w:rPr>
  </w:style>
  <w:style w:type="paragraph" w:styleId="Paragraphedeliste">
    <w:name w:val="List Paragraph"/>
    <w:basedOn w:val="Normal"/>
    <w:uiPriority w:val="34"/>
    <w:qFormat/>
    <w:rsid w:val="00C35D7B"/>
    <w:pPr>
      <w:ind w:left="720"/>
      <w:contextualSpacing/>
    </w:pPr>
  </w:style>
  <w:style w:type="table" w:styleId="Grilledutableau">
    <w:name w:val="Table Grid"/>
    <w:basedOn w:val="TableauNormal"/>
    <w:rsid w:val="00040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0E7"/>
    <w:pPr>
      <w:overflowPunct w:val="0"/>
      <w:autoSpaceDE w:val="0"/>
      <w:autoSpaceDN w:val="0"/>
      <w:adjustRightInd w:val="0"/>
      <w:spacing w:after="80" w:line="220" w:lineRule="exact"/>
      <w:jc w:val="both"/>
      <w:textAlignment w:val="baseline"/>
    </w:pPr>
    <w:rPr>
      <w:spacing w:val="2"/>
    </w:rPr>
  </w:style>
  <w:style w:type="paragraph" w:styleId="Titre1">
    <w:name w:val="heading 1"/>
    <w:basedOn w:val="Normal"/>
    <w:next w:val="NoArt"/>
    <w:link w:val="Titre1Car"/>
    <w:qFormat/>
    <w:rsid w:val="00DA30E7"/>
    <w:pPr>
      <w:keepNext/>
      <w:keepLines/>
      <w:tabs>
        <w:tab w:val="left" w:pos="284"/>
      </w:tabs>
      <w:suppressAutoHyphens/>
      <w:spacing w:before="240" w:after="60" w:line="300" w:lineRule="exact"/>
      <w:jc w:val="left"/>
      <w:outlineLvl w:val="0"/>
    </w:pPr>
    <w:rPr>
      <w:b/>
    </w:rPr>
  </w:style>
  <w:style w:type="paragraph" w:styleId="Titre2">
    <w:name w:val="heading 2"/>
    <w:basedOn w:val="Titre1"/>
    <w:next w:val="NoArt"/>
    <w:link w:val="Titre2Car"/>
    <w:qFormat/>
    <w:rsid w:val="00DA30E7"/>
    <w:pPr>
      <w:outlineLvl w:val="1"/>
    </w:pPr>
  </w:style>
  <w:style w:type="paragraph" w:styleId="Titre3">
    <w:name w:val="heading 3"/>
    <w:basedOn w:val="Titre2"/>
    <w:next w:val="NoArt"/>
    <w:link w:val="Titre3Car"/>
    <w:qFormat/>
    <w:rsid w:val="00DA30E7"/>
    <w:pPr>
      <w:outlineLvl w:val="2"/>
    </w:pPr>
    <w:rPr>
      <w:b w:val="0"/>
      <w:i/>
    </w:rPr>
  </w:style>
  <w:style w:type="paragraph" w:styleId="Titre4">
    <w:name w:val="heading 4"/>
    <w:basedOn w:val="Titre2"/>
    <w:next w:val="NoArt"/>
    <w:qFormat/>
    <w:rsid w:val="00DA30E7"/>
    <w:pPr>
      <w:outlineLvl w:val="3"/>
    </w:pPr>
  </w:style>
  <w:style w:type="paragraph" w:styleId="Titre5">
    <w:name w:val="heading 5"/>
    <w:basedOn w:val="Titre4"/>
    <w:next w:val="NoArt"/>
    <w:qFormat/>
    <w:rsid w:val="00DA30E7"/>
    <w:pPr>
      <w:outlineLvl w:val="4"/>
    </w:pPr>
  </w:style>
  <w:style w:type="paragraph" w:styleId="Titre6">
    <w:name w:val="heading 6"/>
    <w:basedOn w:val="Titre5"/>
    <w:next w:val="NoArt"/>
    <w:qFormat/>
    <w:rsid w:val="00DA30E7"/>
    <w:pPr>
      <w:outlineLvl w:val="5"/>
    </w:pPr>
  </w:style>
  <w:style w:type="paragraph" w:styleId="Titre7">
    <w:name w:val="heading 7"/>
    <w:basedOn w:val="Titre6"/>
    <w:next w:val="NoArt"/>
    <w:qFormat/>
    <w:rsid w:val="00DA30E7"/>
    <w:pPr>
      <w:outlineLvl w:val="6"/>
    </w:pPr>
  </w:style>
  <w:style w:type="paragraph" w:styleId="Titre8">
    <w:name w:val="heading 8"/>
    <w:basedOn w:val="Titre7"/>
    <w:next w:val="NoArt"/>
    <w:qFormat/>
    <w:rsid w:val="00DA30E7"/>
    <w:pPr>
      <w:outlineLvl w:val="7"/>
    </w:pPr>
  </w:style>
  <w:style w:type="paragraph" w:styleId="Titre9">
    <w:name w:val="heading 9"/>
    <w:basedOn w:val="Titre8"/>
    <w:next w:val="NoArt"/>
    <w:qFormat/>
    <w:rsid w:val="00DA30E7"/>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Art">
    <w:name w:val="No_Art"/>
    <w:basedOn w:val="Normal"/>
    <w:next w:val="Normal"/>
    <w:link w:val="NoArtCar"/>
    <w:qFormat/>
    <w:rsid w:val="00DA30E7"/>
    <w:pPr>
      <w:keepNext/>
      <w:spacing w:before="160"/>
      <w:ind w:left="964" w:hanging="964"/>
      <w:jc w:val="left"/>
    </w:pPr>
  </w:style>
  <w:style w:type="character" w:customStyle="1" w:styleId="Titre1Car">
    <w:name w:val="Titre 1 Car"/>
    <w:basedOn w:val="Policepardfaut"/>
    <w:link w:val="Titre1"/>
    <w:rsid w:val="0084421D"/>
    <w:rPr>
      <w:b/>
      <w:spacing w:val="2"/>
      <w:lang w:val="fr-CH" w:eastAsia="fr-CH" w:bidi="ar-SA"/>
    </w:rPr>
  </w:style>
  <w:style w:type="character" w:customStyle="1" w:styleId="Titre2Car">
    <w:name w:val="Titre 2 Car"/>
    <w:basedOn w:val="Titre1Car"/>
    <w:link w:val="Titre2"/>
    <w:rsid w:val="0084421D"/>
    <w:rPr>
      <w:b/>
      <w:spacing w:val="2"/>
      <w:lang w:val="fr-CH" w:eastAsia="fr-CH" w:bidi="ar-SA"/>
    </w:rPr>
  </w:style>
  <w:style w:type="character" w:customStyle="1" w:styleId="Titre3Car">
    <w:name w:val="Titre 3 Car"/>
    <w:basedOn w:val="Titre2Car"/>
    <w:link w:val="Titre3"/>
    <w:rsid w:val="0084421D"/>
    <w:rPr>
      <w:b/>
      <w:i/>
      <w:spacing w:val="2"/>
      <w:lang w:val="fr-CH" w:eastAsia="fr-CH" w:bidi="ar-SA"/>
    </w:rPr>
  </w:style>
  <w:style w:type="paragraph" w:customStyle="1" w:styleId="Actetitre">
    <w:name w:val="Acte titre"/>
    <w:basedOn w:val="Acte"/>
    <w:next w:val="Actedate"/>
    <w:rsid w:val="00DA30E7"/>
  </w:style>
  <w:style w:type="paragraph" w:customStyle="1" w:styleId="Acte">
    <w:name w:val="Acte"/>
    <w:basedOn w:val="Normal"/>
    <w:rsid w:val="00DA30E7"/>
    <w:pPr>
      <w:keepNext/>
      <w:suppressAutoHyphens/>
      <w:spacing w:after="240" w:line="240" w:lineRule="atLeast"/>
      <w:jc w:val="left"/>
    </w:pPr>
    <w:rPr>
      <w:b/>
      <w:sz w:val="24"/>
    </w:rPr>
  </w:style>
  <w:style w:type="paragraph" w:customStyle="1" w:styleId="Actedate">
    <w:name w:val="Acte date"/>
    <w:basedOn w:val="Acte"/>
    <w:next w:val="Actetitre2"/>
    <w:rsid w:val="00DA30E7"/>
    <w:rPr>
      <w:b w:val="0"/>
      <w:i/>
      <w:sz w:val="20"/>
    </w:rPr>
  </w:style>
  <w:style w:type="paragraph" w:customStyle="1" w:styleId="Actetitre2">
    <w:name w:val="Acte titre 2"/>
    <w:basedOn w:val="Actetitre"/>
    <w:next w:val="Actetrait"/>
    <w:rsid w:val="00DA30E7"/>
  </w:style>
  <w:style w:type="paragraph" w:customStyle="1" w:styleId="Actetrait">
    <w:name w:val="Acte trait"/>
    <w:basedOn w:val="Normal"/>
    <w:next w:val="Prambule"/>
    <w:rsid w:val="00DA30E7"/>
    <w:pPr>
      <w:keepNext/>
      <w:pBdr>
        <w:top w:val="single" w:sz="6" w:space="0" w:color="auto"/>
      </w:pBdr>
      <w:spacing w:line="48" w:lineRule="exact"/>
    </w:pPr>
    <w:rPr>
      <w:sz w:val="24"/>
    </w:rPr>
  </w:style>
  <w:style w:type="paragraph" w:customStyle="1" w:styleId="Prambule">
    <w:name w:val="Préambule"/>
    <w:basedOn w:val="Normal"/>
    <w:next w:val="Vu"/>
    <w:rsid w:val="00DA30E7"/>
    <w:pPr>
      <w:spacing w:before="360" w:after="240" w:line="240" w:lineRule="exact"/>
    </w:pPr>
    <w:rPr>
      <w:i/>
      <w:sz w:val="24"/>
    </w:rPr>
  </w:style>
  <w:style w:type="paragraph" w:customStyle="1" w:styleId="Vu">
    <w:name w:val="Vu"/>
    <w:basedOn w:val="Normal"/>
    <w:rsid w:val="00DA30E7"/>
  </w:style>
  <w:style w:type="paragraph" w:customStyle="1" w:styleId="Dcrte">
    <w:name w:val="Décrète"/>
    <w:basedOn w:val="Prambule"/>
    <w:next w:val="NoArt"/>
    <w:rsid w:val="00DA30E7"/>
    <w:pPr>
      <w:spacing w:before="240" w:after="120"/>
    </w:pPr>
  </w:style>
  <w:style w:type="character" w:customStyle="1" w:styleId="Appelnote">
    <w:name w:val="Appel note"/>
    <w:basedOn w:val="Policepardfaut"/>
    <w:rsid w:val="00721144"/>
    <w:rPr>
      <w:spacing w:val="2"/>
      <w:position w:val="6"/>
      <w:sz w:val="14"/>
    </w:rPr>
  </w:style>
  <w:style w:type="paragraph" w:customStyle="1" w:styleId="Note">
    <w:name w:val="Note"/>
    <w:basedOn w:val="Normal"/>
    <w:next w:val="Normal"/>
    <w:rsid w:val="00721144"/>
    <w:pPr>
      <w:spacing w:line="200" w:lineRule="exact"/>
      <w:ind w:left="368" w:hanging="170"/>
    </w:pPr>
    <w:rPr>
      <w:rFonts w:ascii="Times" w:hAnsi="Times"/>
      <w:i/>
      <w:sz w:val="18"/>
    </w:rPr>
  </w:style>
  <w:style w:type="paragraph" w:customStyle="1" w:styleId="en-tte1">
    <w:name w:val="en-tête 1"/>
    <w:basedOn w:val="Normal"/>
    <w:rsid w:val="00DA30E7"/>
    <w:pPr>
      <w:spacing w:line="240" w:lineRule="exact"/>
      <w:jc w:val="right"/>
    </w:pPr>
    <w:rPr>
      <w:b/>
      <w:sz w:val="24"/>
    </w:rPr>
  </w:style>
  <w:style w:type="paragraph" w:styleId="Retraitnormal">
    <w:name w:val="Normal Indent"/>
    <w:basedOn w:val="Normal"/>
    <w:rsid w:val="00DA30E7"/>
    <w:pPr>
      <w:ind w:left="720"/>
    </w:pPr>
  </w:style>
  <w:style w:type="paragraph" w:customStyle="1" w:styleId="Structure0avecliste">
    <w:name w:val="Structure 0 avec liste"/>
    <w:basedOn w:val="Normal"/>
    <w:rsid w:val="00DA30E7"/>
    <w:pPr>
      <w:tabs>
        <w:tab w:val="right" w:pos="6237"/>
      </w:tabs>
      <w:ind w:right="1276"/>
    </w:pPr>
  </w:style>
  <w:style w:type="paragraph" w:customStyle="1" w:styleId="Structure1">
    <w:name w:val="Structure 1"/>
    <w:basedOn w:val="Normal"/>
    <w:link w:val="Structure1Car"/>
    <w:qFormat/>
    <w:rsid w:val="00DA30E7"/>
    <w:pPr>
      <w:tabs>
        <w:tab w:val="left" w:pos="624"/>
      </w:tabs>
      <w:ind w:left="312" w:hanging="312"/>
    </w:pPr>
  </w:style>
  <w:style w:type="paragraph" w:customStyle="1" w:styleId="Structure1avecliste">
    <w:name w:val="Structure 1 avec liste"/>
    <w:basedOn w:val="Structure1"/>
    <w:rsid w:val="00DA30E7"/>
    <w:pPr>
      <w:tabs>
        <w:tab w:val="clear" w:pos="624"/>
        <w:tab w:val="right" w:pos="6237"/>
      </w:tabs>
      <w:ind w:right="1276"/>
    </w:pPr>
  </w:style>
  <w:style w:type="paragraph" w:customStyle="1" w:styleId="Structure2">
    <w:name w:val="Structure 2"/>
    <w:basedOn w:val="Structure1"/>
    <w:qFormat/>
    <w:rsid w:val="00DA30E7"/>
    <w:pPr>
      <w:tabs>
        <w:tab w:val="clear" w:pos="624"/>
        <w:tab w:val="left" w:pos="936"/>
      </w:tabs>
      <w:ind w:left="624"/>
    </w:pPr>
  </w:style>
  <w:style w:type="paragraph" w:customStyle="1" w:styleId="Structure2avecliste">
    <w:name w:val="Structure 2 avec liste"/>
    <w:basedOn w:val="Structure2"/>
    <w:rsid w:val="00DA30E7"/>
    <w:pPr>
      <w:tabs>
        <w:tab w:val="clear" w:pos="936"/>
        <w:tab w:val="right" w:pos="6237"/>
      </w:tabs>
      <w:ind w:right="1276"/>
    </w:pPr>
  </w:style>
  <w:style w:type="paragraph" w:customStyle="1" w:styleId="Structure3">
    <w:name w:val="Structure 3"/>
    <w:basedOn w:val="Structure2"/>
    <w:rsid w:val="00DA30E7"/>
    <w:pPr>
      <w:tabs>
        <w:tab w:val="clear" w:pos="936"/>
        <w:tab w:val="left" w:pos="1247"/>
      </w:tabs>
      <w:ind w:left="936"/>
    </w:pPr>
  </w:style>
  <w:style w:type="paragraph" w:customStyle="1" w:styleId="Structure3avecliste">
    <w:name w:val="Structure 3 avec liste"/>
    <w:basedOn w:val="Structure3"/>
    <w:rsid w:val="00DA30E7"/>
    <w:pPr>
      <w:tabs>
        <w:tab w:val="clear" w:pos="1247"/>
        <w:tab w:val="right" w:pos="6237"/>
      </w:tabs>
      <w:ind w:right="1276"/>
    </w:pPr>
  </w:style>
  <w:style w:type="paragraph" w:customStyle="1" w:styleId="SurProposition">
    <w:name w:val="SurProposition"/>
    <w:basedOn w:val="Normal"/>
    <w:next w:val="Dcrte"/>
    <w:rsid w:val="00DA30E7"/>
    <w:pPr>
      <w:spacing w:after="120"/>
    </w:pPr>
  </w:style>
  <w:style w:type="paragraph" w:customStyle="1" w:styleId="Formule">
    <w:name w:val="Formule"/>
    <w:basedOn w:val="Normal"/>
    <w:rsid w:val="00DA30E7"/>
    <w:pPr>
      <w:spacing w:line="240" w:lineRule="atLeast"/>
    </w:pPr>
  </w:style>
  <w:style w:type="paragraph" w:customStyle="1" w:styleId="Considrant">
    <w:name w:val="Considérant"/>
    <w:basedOn w:val="Normal"/>
    <w:next w:val="Considrant1"/>
    <w:rsid w:val="00DA30E7"/>
    <w:pPr>
      <w:keepNext/>
      <w:spacing w:before="120" w:line="240" w:lineRule="atLeast"/>
    </w:pPr>
  </w:style>
  <w:style w:type="paragraph" w:customStyle="1" w:styleId="Considrant1">
    <w:name w:val="Considérant1"/>
    <w:basedOn w:val="Normal"/>
    <w:rsid w:val="00DA30E7"/>
  </w:style>
  <w:style w:type="paragraph" w:customStyle="1" w:styleId="tableau">
    <w:name w:val="tableau"/>
    <w:basedOn w:val="Normal"/>
    <w:rsid w:val="00DA30E7"/>
    <w:pPr>
      <w:spacing w:line="240" w:lineRule="exact"/>
    </w:pPr>
    <w:rPr>
      <w:sz w:val="22"/>
    </w:rPr>
  </w:style>
  <w:style w:type="paragraph" w:customStyle="1" w:styleId="Filet">
    <w:name w:val="Filet"/>
    <w:basedOn w:val="Normal"/>
    <w:next w:val="Normal"/>
    <w:rsid w:val="00B657E6"/>
    <w:pPr>
      <w:pBdr>
        <w:top w:val="single" w:sz="6" w:space="0" w:color="auto"/>
      </w:pBdr>
      <w:spacing w:before="240" w:after="240" w:line="48" w:lineRule="exact"/>
      <w:ind w:left="2268" w:right="2268"/>
      <w:jc w:val="center"/>
    </w:pPr>
    <w:rPr>
      <w:rFonts w:ascii="Times" w:hAnsi="Times"/>
      <w:lang w:val="fr-FR"/>
    </w:rPr>
  </w:style>
  <w:style w:type="paragraph" w:styleId="En-tte">
    <w:name w:val="header"/>
    <w:basedOn w:val="Normal"/>
    <w:rsid w:val="00DA30E7"/>
    <w:pPr>
      <w:spacing w:after="300"/>
      <w:jc w:val="right"/>
    </w:pPr>
    <w:rPr>
      <w:b/>
    </w:rPr>
  </w:style>
  <w:style w:type="paragraph" w:styleId="Pieddepage">
    <w:name w:val="footer"/>
    <w:basedOn w:val="Normal"/>
    <w:rsid w:val="00DA30E7"/>
    <w:pPr>
      <w:spacing w:after="0"/>
      <w:jc w:val="center"/>
    </w:pPr>
  </w:style>
  <w:style w:type="paragraph" w:customStyle="1" w:styleId="graf">
    <w:name w:val="graf"/>
    <w:basedOn w:val="Normal"/>
    <w:rsid w:val="00DA30E7"/>
  </w:style>
  <w:style w:type="paragraph" w:customStyle="1" w:styleId="Approbannexe">
    <w:name w:val="Approb_annexe"/>
    <w:basedOn w:val="Normal"/>
    <w:next w:val="Normal"/>
    <w:rsid w:val="00B657E6"/>
    <w:pPr>
      <w:keepNext/>
      <w:suppressAutoHyphens/>
      <w:spacing w:after="240" w:line="340" w:lineRule="exact"/>
      <w:jc w:val="left"/>
    </w:pPr>
    <w:rPr>
      <w:rFonts w:ascii="Times" w:hAnsi="Times"/>
      <w:b/>
      <w:sz w:val="24"/>
      <w:lang w:val="fr-FR"/>
    </w:rPr>
  </w:style>
  <w:style w:type="paragraph" w:styleId="TM1">
    <w:name w:val="toc 1"/>
    <w:basedOn w:val="Normal"/>
    <w:next w:val="Normal"/>
    <w:autoRedefine/>
    <w:uiPriority w:val="39"/>
    <w:rsid w:val="00785DEB"/>
    <w:pPr>
      <w:spacing w:before="120" w:after="120"/>
      <w:jc w:val="left"/>
    </w:pPr>
    <w:rPr>
      <w:rFonts w:asciiTheme="minorHAnsi" w:hAnsiTheme="minorHAnsi"/>
      <w:b/>
      <w:bCs/>
      <w:caps/>
    </w:rPr>
  </w:style>
  <w:style w:type="paragraph" w:styleId="TM2">
    <w:name w:val="toc 2"/>
    <w:basedOn w:val="Normal"/>
    <w:next w:val="Normal"/>
    <w:autoRedefine/>
    <w:uiPriority w:val="39"/>
    <w:rsid w:val="00785DEB"/>
    <w:pPr>
      <w:spacing w:after="0"/>
      <w:ind w:left="200"/>
      <w:jc w:val="left"/>
    </w:pPr>
    <w:rPr>
      <w:rFonts w:asciiTheme="minorHAnsi" w:hAnsiTheme="minorHAnsi"/>
      <w:smallCaps/>
    </w:rPr>
  </w:style>
  <w:style w:type="character" w:styleId="Lienhypertexte">
    <w:name w:val="Hyperlink"/>
    <w:basedOn w:val="Policepardfaut"/>
    <w:uiPriority w:val="99"/>
    <w:rsid w:val="00785DEB"/>
    <w:rPr>
      <w:color w:val="0000FF"/>
      <w:u w:val="single"/>
    </w:rPr>
  </w:style>
  <w:style w:type="character" w:styleId="Marquedecommentaire">
    <w:name w:val="annotation reference"/>
    <w:basedOn w:val="Policepardfaut"/>
    <w:semiHidden/>
    <w:rsid w:val="00F526B5"/>
    <w:rPr>
      <w:sz w:val="16"/>
      <w:szCs w:val="16"/>
    </w:rPr>
  </w:style>
  <w:style w:type="paragraph" w:styleId="Commentaire">
    <w:name w:val="annotation text"/>
    <w:basedOn w:val="Normal"/>
    <w:link w:val="CommentaireCar"/>
    <w:semiHidden/>
    <w:rsid w:val="00F526B5"/>
  </w:style>
  <w:style w:type="character" w:customStyle="1" w:styleId="CommentaireCar">
    <w:name w:val="Commentaire Car"/>
    <w:basedOn w:val="Policepardfaut"/>
    <w:link w:val="Commentaire"/>
    <w:semiHidden/>
    <w:rsid w:val="006048FD"/>
    <w:rPr>
      <w:spacing w:val="2"/>
    </w:rPr>
  </w:style>
  <w:style w:type="paragraph" w:styleId="Objetducommentaire">
    <w:name w:val="annotation subject"/>
    <w:basedOn w:val="Commentaire"/>
    <w:next w:val="Commentaire"/>
    <w:semiHidden/>
    <w:rsid w:val="00F526B5"/>
    <w:rPr>
      <w:b/>
      <w:bCs/>
    </w:rPr>
  </w:style>
  <w:style w:type="paragraph" w:styleId="Textedebulles">
    <w:name w:val="Balloon Text"/>
    <w:basedOn w:val="Normal"/>
    <w:semiHidden/>
    <w:rsid w:val="00F526B5"/>
    <w:rPr>
      <w:rFonts w:ascii="Tahoma" w:hAnsi="Tahoma" w:cs="Tahoma"/>
      <w:sz w:val="16"/>
      <w:szCs w:val="16"/>
    </w:rPr>
  </w:style>
  <w:style w:type="paragraph" w:styleId="TM4">
    <w:name w:val="toc 4"/>
    <w:basedOn w:val="Normal"/>
    <w:next w:val="Normal"/>
    <w:autoRedefine/>
    <w:uiPriority w:val="39"/>
    <w:rsid w:val="005E62E4"/>
    <w:pPr>
      <w:spacing w:after="0"/>
      <w:ind w:left="600"/>
      <w:jc w:val="left"/>
    </w:pPr>
    <w:rPr>
      <w:rFonts w:asciiTheme="minorHAnsi" w:hAnsiTheme="minorHAnsi"/>
      <w:sz w:val="18"/>
      <w:szCs w:val="18"/>
    </w:rPr>
  </w:style>
  <w:style w:type="character" w:styleId="Appelnotedebasdep">
    <w:name w:val="footnote reference"/>
    <w:basedOn w:val="Policepardfaut"/>
    <w:rsid w:val="00510D33"/>
    <w:rPr>
      <w:vertAlign w:val="superscript"/>
    </w:rPr>
  </w:style>
  <w:style w:type="character" w:customStyle="1" w:styleId="Structure1Car">
    <w:name w:val="Structure 1 Car"/>
    <w:basedOn w:val="Policepardfaut"/>
    <w:link w:val="Structure1"/>
    <w:rsid w:val="00D4277E"/>
    <w:rPr>
      <w:spacing w:val="2"/>
    </w:rPr>
  </w:style>
  <w:style w:type="character" w:customStyle="1" w:styleId="NoArtCar">
    <w:name w:val="No_Art Car"/>
    <w:basedOn w:val="Policepardfaut"/>
    <w:link w:val="NoArt"/>
    <w:rsid w:val="002B0F03"/>
    <w:rPr>
      <w:spacing w:val="2"/>
    </w:rPr>
  </w:style>
  <w:style w:type="paragraph" w:styleId="TM3">
    <w:name w:val="toc 3"/>
    <w:basedOn w:val="Normal"/>
    <w:next w:val="Normal"/>
    <w:autoRedefine/>
    <w:uiPriority w:val="39"/>
    <w:rsid w:val="00FC0224"/>
    <w:pPr>
      <w:spacing w:after="0"/>
      <w:ind w:left="400"/>
      <w:jc w:val="left"/>
    </w:pPr>
    <w:rPr>
      <w:rFonts w:asciiTheme="minorHAnsi" w:hAnsiTheme="minorHAnsi"/>
      <w:i/>
      <w:iCs/>
    </w:rPr>
  </w:style>
  <w:style w:type="paragraph" w:styleId="TM5">
    <w:name w:val="toc 5"/>
    <w:basedOn w:val="Normal"/>
    <w:next w:val="Normal"/>
    <w:autoRedefine/>
    <w:uiPriority w:val="39"/>
    <w:rsid w:val="00FC0224"/>
    <w:pPr>
      <w:spacing w:after="0"/>
      <w:ind w:left="800"/>
      <w:jc w:val="left"/>
    </w:pPr>
    <w:rPr>
      <w:rFonts w:asciiTheme="minorHAnsi" w:hAnsiTheme="minorHAnsi"/>
      <w:sz w:val="18"/>
      <w:szCs w:val="18"/>
    </w:rPr>
  </w:style>
  <w:style w:type="paragraph" w:styleId="TM6">
    <w:name w:val="toc 6"/>
    <w:basedOn w:val="Normal"/>
    <w:next w:val="Normal"/>
    <w:autoRedefine/>
    <w:uiPriority w:val="39"/>
    <w:rsid w:val="00FC0224"/>
    <w:pPr>
      <w:spacing w:after="0"/>
      <w:ind w:left="1000"/>
      <w:jc w:val="left"/>
    </w:pPr>
    <w:rPr>
      <w:rFonts w:asciiTheme="minorHAnsi" w:hAnsiTheme="minorHAnsi"/>
      <w:sz w:val="18"/>
      <w:szCs w:val="18"/>
    </w:rPr>
  </w:style>
  <w:style w:type="paragraph" w:styleId="TM7">
    <w:name w:val="toc 7"/>
    <w:basedOn w:val="Normal"/>
    <w:next w:val="Normal"/>
    <w:autoRedefine/>
    <w:uiPriority w:val="39"/>
    <w:rsid w:val="00FC0224"/>
    <w:pPr>
      <w:spacing w:after="0"/>
      <w:ind w:left="1200"/>
      <w:jc w:val="left"/>
    </w:pPr>
    <w:rPr>
      <w:rFonts w:asciiTheme="minorHAnsi" w:hAnsiTheme="minorHAnsi"/>
      <w:sz w:val="18"/>
      <w:szCs w:val="18"/>
    </w:rPr>
  </w:style>
  <w:style w:type="paragraph" w:styleId="TM8">
    <w:name w:val="toc 8"/>
    <w:basedOn w:val="Normal"/>
    <w:next w:val="Normal"/>
    <w:autoRedefine/>
    <w:uiPriority w:val="39"/>
    <w:rsid w:val="00FC0224"/>
    <w:pPr>
      <w:spacing w:after="0"/>
      <w:ind w:left="1400"/>
      <w:jc w:val="left"/>
    </w:pPr>
    <w:rPr>
      <w:rFonts w:asciiTheme="minorHAnsi" w:hAnsiTheme="minorHAnsi"/>
      <w:sz w:val="18"/>
      <w:szCs w:val="18"/>
    </w:rPr>
  </w:style>
  <w:style w:type="paragraph" w:styleId="TM9">
    <w:name w:val="toc 9"/>
    <w:basedOn w:val="Normal"/>
    <w:next w:val="Normal"/>
    <w:autoRedefine/>
    <w:uiPriority w:val="39"/>
    <w:rsid w:val="00FC0224"/>
    <w:pPr>
      <w:spacing w:after="0"/>
      <w:ind w:left="1600"/>
      <w:jc w:val="left"/>
    </w:pPr>
    <w:rPr>
      <w:rFonts w:asciiTheme="minorHAnsi" w:hAnsiTheme="minorHAnsi"/>
      <w:sz w:val="18"/>
      <w:szCs w:val="18"/>
    </w:rPr>
  </w:style>
  <w:style w:type="paragraph" w:styleId="Paragraphedeliste">
    <w:name w:val="List Paragraph"/>
    <w:basedOn w:val="Normal"/>
    <w:uiPriority w:val="34"/>
    <w:qFormat/>
    <w:rsid w:val="00C35D7B"/>
    <w:pPr>
      <w:ind w:left="720"/>
      <w:contextualSpacing/>
    </w:pPr>
  </w:style>
  <w:style w:type="table" w:styleId="Grilledutableau">
    <w:name w:val="Table Grid"/>
    <w:basedOn w:val="TableauNormal"/>
    <w:rsid w:val="00040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8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MODELES\ROF\FR_LW-f.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A4124-2C0E-4E4A-862E-CBCECD230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FR_LW-f</Template>
  <TotalTime>0</TotalTime>
  <Pages>17</Pages>
  <Words>4446</Words>
  <Characters>23409</Characters>
  <Application>Microsoft Office Word</Application>
  <DocSecurity>0</DocSecurity>
  <Lines>195</Lines>
  <Paragraphs>55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Modèle pour les projets législatifs</vt:lpstr>
      <vt:lpstr>Modèle pour les projets législatifs</vt:lpstr>
    </vt:vector>
  </TitlesOfParts>
  <Company>Etat de Fribourg</Company>
  <LinksUpToDate>false</LinksUpToDate>
  <CharactersWithSpaces>27800</CharactersWithSpaces>
  <SharedDoc>false</SharedDoc>
  <HLinks>
    <vt:vector size="150" baseType="variant">
      <vt:variant>
        <vt:i4>1441848</vt:i4>
      </vt:variant>
      <vt:variant>
        <vt:i4>146</vt:i4>
      </vt:variant>
      <vt:variant>
        <vt:i4>0</vt:i4>
      </vt:variant>
      <vt:variant>
        <vt:i4>5</vt:i4>
      </vt:variant>
      <vt:variant>
        <vt:lpwstr/>
      </vt:variant>
      <vt:variant>
        <vt:lpwstr>_Toc239207370</vt:lpwstr>
      </vt:variant>
      <vt:variant>
        <vt:i4>1507384</vt:i4>
      </vt:variant>
      <vt:variant>
        <vt:i4>140</vt:i4>
      </vt:variant>
      <vt:variant>
        <vt:i4>0</vt:i4>
      </vt:variant>
      <vt:variant>
        <vt:i4>5</vt:i4>
      </vt:variant>
      <vt:variant>
        <vt:lpwstr/>
      </vt:variant>
      <vt:variant>
        <vt:lpwstr>_Toc239207369</vt:lpwstr>
      </vt:variant>
      <vt:variant>
        <vt:i4>1507384</vt:i4>
      </vt:variant>
      <vt:variant>
        <vt:i4>134</vt:i4>
      </vt:variant>
      <vt:variant>
        <vt:i4>0</vt:i4>
      </vt:variant>
      <vt:variant>
        <vt:i4>5</vt:i4>
      </vt:variant>
      <vt:variant>
        <vt:lpwstr/>
      </vt:variant>
      <vt:variant>
        <vt:lpwstr>_Toc239207368</vt:lpwstr>
      </vt:variant>
      <vt:variant>
        <vt:i4>1507384</vt:i4>
      </vt:variant>
      <vt:variant>
        <vt:i4>128</vt:i4>
      </vt:variant>
      <vt:variant>
        <vt:i4>0</vt:i4>
      </vt:variant>
      <vt:variant>
        <vt:i4>5</vt:i4>
      </vt:variant>
      <vt:variant>
        <vt:lpwstr/>
      </vt:variant>
      <vt:variant>
        <vt:lpwstr>_Toc239207367</vt:lpwstr>
      </vt:variant>
      <vt:variant>
        <vt:i4>1507384</vt:i4>
      </vt:variant>
      <vt:variant>
        <vt:i4>122</vt:i4>
      </vt:variant>
      <vt:variant>
        <vt:i4>0</vt:i4>
      </vt:variant>
      <vt:variant>
        <vt:i4>5</vt:i4>
      </vt:variant>
      <vt:variant>
        <vt:lpwstr/>
      </vt:variant>
      <vt:variant>
        <vt:lpwstr>_Toc239207366</vt:lpwstr>
      </vt:variant>
      <vt:variant>
        <vt:i4>1507384</vt:i4>
      </vt:variant>
      <vt:variant>
        <vt:i4>116</vt:i4>
      </vt:variant>
      <vt:variant>
        <vt:i4>0</vt:i4>
      </vt:variant>
      <vt:variant>
        <vt:i4>5</vt:i4>
      </vt:variant>
      <vt:variant>
        <vt:lpwstr/>
      </vt:variant>
      <vt:variant>
        <vt:lpwstr>_Toc239207365</vt:lpwstr>
      </vt:variant>
      <vt:variant>
        <vt:i4>1507384</vt:i4>
      </vt:variant>
      <vt:variant>
        <vt:i4>110</vt:i4>
      </vt:variant>
      <vt:variant>
        <vt:i4>0</vt:i4>
      </vt:variant>
      <vt:variant>
        <vt:i4>5</vt:i4>
      </vt:variant>
      <vt:variant>
        <vt:lpwstr/>
      </vt:variant>
      <vt:variant>
        <vt:lpwstr>_Toc239207364</vt:lpwstr>
      </vt:variant>
      <vt:variant>
        <vt:i4>1507384</vt:i4>
      </vt:variant>
      <vt:variant>
        <vt:i4>104</vt:i4>
      </vt:variant>
      <vt:variant>
        <vt:i4>0</vt:i4>
      </vt:variant>
      <vt:variant>
        <vt:i4>5</vt:i4>
      </vt:variant>
      <vt:variant>
        <vt:lpwstr/>
      </vt:variant>
      <vt:variant>
        <vt:lpwstr>_Toc239207363</vt:lpwstr>
      </vt:variant>
      <vt:variant>
        <vt:i4>1507384</vt:i4>
      </vt:variant>
      <vt:variant>
        <vt:i4>98</vt:i4>
      </vt:variant>
      <vt:variant>
        <vt:i4>0</vt:i4>
      </vt:variant>
      <vt:variant>
        <vt:i4>5</vt:i4>
      </vt:variant>
      <vt:variant>
        <vt:lpwstr/>
      </vt:variant>
      <vt:variant>
        <vt:lpwstr>_Toc239207362</vt:lpwstr>
      </vt:variant>
      <vt:variant>
        <vt:i4>1507384</vt:i4>
      </vt:variant>
      <vt:variant>
        <vt:i4>92</vt:i4>
      </vt:variant>
      <vt:variant>
        <vt:i4>0</vt:i4>
      </vt:variant>
      <vt:variant>
        <vt:i4>5</vt:i4>
      </vt:variant>
      <vt:variant>
        <vt:lpwstr/>
      </vt:variant>
      <vt:variant>
        <vt:lpwstr>_Toc239207361</vt:lpwstr>
      </vt:variant>
      <vt:variant>
        <vt:i4>1507384</vt:i4>
      </vt:variant>
      <vt:variant>
        <vt:i4>86</vt:i4>
      </vt:variant>
      <vt:variant>
        <vt:i4>0</vt:i4>
      </vt:variant>
      <vt:variant>
        <vt:i4>5</vt:i4>
      </vt:variant>
      <vt:variant>
        <vt:lpwstr/>
      </vt:variant>
      <vt:variant>
        <vt:lpwstr>_Toc239207360</vt:lpwstr>
      </vt:variant>
      <vt:variant>
        <vt:i4>1310776</vt:i4>
      </vt:variant>
      <vt:variant>
        <vt:i4>80</vt:i4>
      </vt:variant>
      <vt:variant>
        <vt:i4>0</vt:i4>
      </vt:variant>
      <vt:variant>
        <vt:i4>5</vt:i4>
      </vt:variant>
      <vt:variant>
        <vt:lpwstr/>
      </vt:variant>
      <vt:variant>
        <vt:lpwstr>_Toc239207359</vt:lpwstr>
      </vt:variant>
      <vt:variant>
        <vt:i4>1310776</vt:i4>
      </vt:variant>
      <vt:variant>
        <vt:i4>74</vt:i4>
      </vt:variant>
      <vt:variant>
        <vt:i4>0</vt:i4>
      </vt:variant>
      <vt:variant>
        <vt:i4>5</vt:i4>
      </vt:variant>
      <vt:variant>
        <vt:lpwstr/>
      </vt:variant>
      <vt:variant>
        <vt:lpwstr>_Toc239207358</vt:lpwstr>
      </vt:variant>
      <vt:variant>
        <vt:i4>1310776</vt:i4>
      </vt:variant>
      <vt:variant>
        <vt:i4>68</vt:i4>
      </vt:variant>
      <vt:variant>
        <vt:i4>0</vt:i4>
      </vt:variant>
      <vt:variant>
        <vt:i4>5</vt:i4>
      </vt:variant>
      <vt:variant>
        <vt:lpwstr/>
      </vt:variant>
      <vt:variant>
        <vt:lpwstr>_Toc239207357</vt:lpwstr>
      </vt:variant>
      <vt:variant>
        <vt:i4>1310776</vt:i4>
      </vt:variant>
      <vt:variant>
        <vt:i4>62</vt:i4>
      </vt:variant>
      <vt:variant>
        <vt:i4>0</vt:i4>
      </vt:variant>
      <vt:variant>
        <vt:i4>5</vt:i4>
      </vt:variant>
      <vt:variant>
        <vt:lpwstr/>
      </vt:variant>
      <vt:variant>
        <vt:lpwstr>_Toc239207356</vt:lpwstr>
      </vt:variant>
      <vt:variant>
        <vt:i4>1310776</vt:i4>
      </vt:variant>
      <vt:variant>
        <vt:i4>56</vt:i4>
      </vt:variant>
      <vt:variant>
        <vt:i4>0</vt:i4>
      </vt:variant>
      <vt:variant>
        <vt:i4>5</vt:i4>
      </vt:variant>
      <vt:variant>
        <vt:lpwstr/>
      </vt:variant>
      <vt:variant>
        <vt:lpwstr>_Toc239207355</vt:lpwstr>
      </vt:variant>
      <vt:variant>
        <vt:i4>1310776</vt:i4>
      </vt:variant>
      <vt:variant>
        <vt:i4>50</vt:i4>
      </vt:variant>
      <vt:variant>
        <vt:i4>0</vt:i4>
      </vt:variant>
      <vt:variant>
        <vt:i4>5</vt:i4>
      </vt:variant>
      <vt:variant>
        <vt:lpwstr/>
      </vt:variant>
      <vt:variant>
        <vt:lpwstr>_Toc239207354</vt:lpwstr>
      </vt:variant>
      <vt:variant>
        <vt:i4>1310776</vt:i4>
      </vt:variant>
      <vt:variant>
        <vt:i4>44</vt:i4>
      </vt:variant>
      <vt:variant>
        <vt:i4>0</vt:i4>
      </vt:variant>
      <vt:variant>
        <vt:i4>5</vt:i4>
      </vt:variant>
      <vt:variant>
        <vt:lpwstr/>
      </vt:variant>
      <vt:variant>
        <vt:lpwstr>_Toc239207353</vt:lpwstr>
      </vt:variant>
      <vt:variant>
        <vt:i4>1310776</vt:i4>
      </vt:variant>
      <vt:variant>
        <vt:i4>38</vt:i4>
      </vt:variant>
      <vt:variant>
        <vt:i4>0</vt:i4>
      </vt:variant>
      <vt:variant>
        <vt:i4>5</vt:i4>
      </vt:variant>
      <vt:variant>
        <vt:lpwstr/>
      </vt:variant>
      <vt:variant>
        <vt:lpwstr>_Toc239207352</vt:lpwstr>
      </vt:variant>
      <vt:variant>
        <vt:i4>1310776</vt:i4>
      </vt:variant>
      <vt:variant>
        <vt:i4>32</vt:i4>
      </vt:variant>
      <vt:variant>
        <vt:i4>0</vt:i4>
      </vt:variant>
      <vt:variant>
        <vt:i4>5</vt:i4>
      </vt:variant>
      <vt:variant>
        <vt:lpwstr/>
      </vt:variant>
      <vt:variant>
        <vt:lpwstr>_Toc239207351</vt:lpwstr>
      </vt:variant>
      <vt:variant>
        <vt:i4>1310776</vt:i4>
      </vt:variant>
      <vt:variant>
        <vt:i4>26</vt:i4>
      </vt:variant>
      <vt:variant>
        <vt:i4>0</vt:i4>
      </vt:variant>
      <vt:variant>
        <vt:i4>5</vt:i4>
      </vt:variant>
      <vt:variant>
        <vt:lpwstr/>
      </vt:variant>
      <vt:variant>
        <vt:lpwstr>_Toc239207350</vt:lpwstr>
      </vt:variant>
      <vt:variant>
        <vt:i4>1376312</vt:i4>
      </vt:variant>
      <vt:variant>
        <vt:i4>20</vt:i4>
      </vt:variant>
      <vt:variant>
        <vt:i4>0</vt:i4>
      </vt:variant>
      <vt:variant>
        <vt:i4>5</vt:i4>
      </vt:variant>
      <vt:variant>
        <vt:lpwstr/>
      </vt:variant>
      <vt:variant>
        <vt:lpwstr>_Toc239207349</vt:lpwstr>
      </vt:variant>
      <vt:variant>
        <vt:i4>1376312</vt:i4>
      </vt:variant>
      <vt:variant>
        <vt:i4>14</vt:i4>
      </vt:variant>
      <vt:variant>
        <vt:i4>0</vt:i4>
      </vt:variant>
      <vt:variant>
        <vt:i4>5</vt:i4>
      </vt:variant>
      <vt:variant>
        <vt:lpwstr/>
      </vt:variant>
      <vt:variant>
        <vt:lpwstr>_Toc239207348</vt:lpwstr>
      </vt:variant>
      <vt:variant>
        <vt:i4>1376312</vt:i4>
      </vt:variant>
      <vt:variant>
        <vt:i4>8</vt:i4>
      </vt:variant>
      <vt:variant>
        <vt:i4>0</vt:i4>
      </vt:variant>
      <vt:variant>
        <vt:i4>5</vt:i4>
      </vt:variant>
      <vt:variant>
        <vt:lpwstr/>
      </vt:variant>
      <vt:variant>
        <vt:lpwstr>_Toc239207347</vt:lpwstr>
      </vt:variant>
      <vt:variant>
        <vt:i4>1376312</vt:i4>
      </vt:variant>
      <vt:variant>
        <vt:i4>2</vt:i4>
      </vt:variant>
      <vt:variant>
        <vt:i4>0</vt:i4>
      </vt:variant>
      <vt:variant>
        <vt:i4>5</vt:i4>
      </vt:variant>
      <vt:variant>
        <vt:lpwstr/>
      </vt:variant>
      <vt:variant>
        <vt:lpwstr>_Toc239207346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pour les projets législatifs</dc:title>
  <dc:subject>version avec notes d'article</dc:subject>
  <dc:creator>SITel</dc:creator>
  <cp:lastModifiedBy>Privet Patricia</cp:lastModifiedBy>
  <cp:revision>5</cp:revision>
  <cp:lastPrinted>2018-08-22T09:05:00Z</cp:lastPrinted>
  <dcterms:created xsi:type="dcterms:W3CDTF">2019-01-22T12:45:00Z</dcterms:created>
  <dcterms:modified xsi:type="dcterms:W3CDTF">2019-01-25T12:23:00Z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ocLangue">
    <vt:lpwstr>Français</vt:lpwstr>
  </property>
</Properties>
</file>