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CEF7" w14:textId="77777777" w:rsidR="00FD0818" w:rsidRDefault="00A26A4D" w:rsidP="00FD0818">
      <w:pPr>
        <w:jc w:val="right"/>
      </w:pPr>
      <w:r>
        <w:t>SK/Vorentwurf vom 02.03.26</w:t>
      </w:r>
    </w:p>
    <w:p w14:paraId="0CF9C328" w14:textId="3364AF0F" w:rsidR="00FD0818" w:rsidRPr="00FC7F16" w:rsidRDefault="005F3F80" w:rsidP="00FC7F16">
      <w:pPr>
        <w:pStyle w:val="05titreprincipalouobjetgras"/>
        <w:tabs>
          <w:tab w:val="right" w:pos="9920"/>
        </w:tabs>
      </w:pPr>
      <w:r>
        <w:t>Erläuternder Bericht 202</w:t>
      </w:r>
      <w:r w:rsidR="007363B9">
        <w:t>5-GC-85</w:t>
      </w:r>
    </w:p>
    <w:p w14:paraId="64C09EE2" w14:textId="77777777" w:rsidR="00FD0818" w:rsidRPr="000000BC" w:rsidRDefault="00FD0818" w:rsidP="000000BC">
      <w:pPr>
        <w:pStyle w:val="05titreprincipalouobjetgras"/>
      </w:pPr>
      <w:r>
        <w:t>—</w:t>
      </w:r>
    </w:p>
    <w:p w14:paraId="4C9C3DA3" w14:textId="69609EFA" w:rsidR="001E1E5C" w:rsidRDefault="00543D59" w:rsidP="00461369">
      <w:pPr>
        <w:pStyle w:val="04titreprincipalouobjetnormal"/>
      </w:pPr>
      <w:r>
        <w:t>Gesetzes</w:t>
      </w:r>
      <w:r w:rsidR="00C41A3D">
        <w:t>vorentwurf</w:t>
      </w:r>
      <w:r>
        <w:t xml:space="preserve"> zur Änderung der </w:t>
      </w:r>
      <w:r w:rsidR="00211DD8">
        <w:t>Vorschriften</w:t>
      </w:r>
      <w:r>
        <w:t xml:space="preserve"> des Verwaltungsverfahrens bezüglich </w:t>
      </w:r>
      <w:r w:rsidR="00211DD8">
        <w:t xml:space="preserve">der </w:t>
      </w:r>
      <w:r>
        <w:t xml:space="preserve">Zustellung von </w:t>
      </w:r>
      <w:r w:rsidR="00211DD8">
        <w:t>Sendungen</w:t>
      </w:r>
    </w:p>
    <w:p w14:paraId="20F56185" w14:textId="39F2E193" w:rsidR="00B01E1B" w:rsidRPr="00B01E1B" w:rsidRDefault="00543D59" w:rsidP="00B01E1B">
      <w:pPr>
        <w:pStyle w:val="06lead"/>
        <w:rPr>
          <w:i w:val="0"/>
          <w:sz w:val="24"/>
        </w:rPr>
      </w:pPr>
      <w:r>
        <w:t xml:space="preserve">Der vorliegende </w:t>
      </w:r>
      <w:r w:rsidR="00971CBC">
        <w:t>Gesetzesv</w:t>
      </w:r>
      <w:r>
        <w:t>orentwurf folgt auf die Motion 2025-GC-85 (Zustellung von Sendungen an Wochenenden und Feiertagen per A-Post Plus)</w:t>
      </w:r>
      <w:r w:rsidR="00905AD6">
        <w:t>,</w:t>
      </w:r>
      <w:r>
        <w:t xml:space="preserve"> die am 17. Dezember 2025 vom Grossen Rat angenommen wurde.</w:t>
      </w:r>
    </w:p>
    <w:sdt>
      <w:sdtPr>
        <w:rPr>
          <w:rFonts w:asciiTheme="minorHAnsi" w:eastAsiaTheme="minorHAnsi" w:hAnsiTheme="minorHAnsi" w:cstheme="minorBidi"/>
          <w:b w:val="0"/>
          <w:kern w:val="0"/>
          <w:sz w:val="21"/>
          <w:szCs w:val="24"/>
        </w:rPr>
        <w:id w:val="-1372072147"/>
        <w:docPartObj>
          <w:docPartGallery w:val="Table of Contents"/>
          <w:docPartUnique/>
        </w:docPartObj>
      </w:sdtPr>
      <w:sdtEndPr>
        <w:rPr>
          <w:szCs w:val="21"/>
        </w:rPr>
      </w:sdtEndPr>
      <w:sdtContent>
        <w:p w14:paraId="00AAF3DA" w14:textId="77777777" w:rsidR="00FD0818" w:rsidRDefault="00FD0818" w:rsidP="00D04CC2">
          <w:pPr>
            <w:pStyle w:val="En-ttedetabledesmatires"/>
            <w:spacing w:before="360"/>
          </w:pPr>
          <w:r>
            <w:t>Inhaltsverzeichnis</w:t>
          </w:r>
        </w:p>
        <w:p w14:paraId="39599F14" w14:textId="77777777" w:rsidR="00FD0818" w:rsidRPr="00EA2538" w:rsidRDefault="00FD0818" w:rsidP="00FD0818">
          <w:pPr>
            <w:pStyle w:val="Tiret"/>
          </w:pPr>
          <w:r>
            <w:t>—</w:t>
          </w:r>
        </w:p>
        <w:p w14:paraId="00CCC7EC" w14:textId="2AD6A493" w:rsidR="00A05BF4" w:rsidRDefault="00774554">
          <w:pPr>
            <w:pStyle w:val="TM1"/>
            <w:rPr>
              <w:rFonts w:asciiTheme="minorHAnsi" w:eastAsiaTheme="minorEastAsia" w:hAnsiTheme="minorHAnsi"/>
              <w:b w:val="0"/>
              <w:kern w:val="2"/>
              <w:sz w:val="24"/>
              <w:szCs w:val="24"/>
              <w:lang w:val="fr-CH" w:eastAsia="fr-CH"/>
              <w14:ligatures w14:val="standardContextual"/>
            </w:rPr>
          </w:pPr>
          <w:r>
            <w:rPr>
              <w:color w:val="009581" w:themeColor="accent3"/>
            </w:rPr>
            <w:fldChar w:fldCharType="begin"/>
          </w:r>
          <w:r w:rsidR="00FD0818">
            <w:instrText xml:space="preserve"> TOC \o "1-3" \h \z \u </w:instrText>
          </w:r>
          <w:r>
            <w:fldChar w:fldCharType="separate"/>
          </w:r>
          <w:hyperlink w:anchor="_Toc224136669" w:history="1">
            <w:r w:rsidR="00A05BF4" w:rsidRPr="00A6434D">
              <w:rPr>
                <w:rStyle w:val="Lienhypertexte"/>
              </w:rPr>
              <w:t>1</w:t>
            </w:r>
            <w:r w:rsidR="00A05BF4">
              <w:rPr>
                <w:rFonts w:asciiTheme="minorHAnsi" w:eastAsiaTheme="minorEastAsia" w:hAnsiTheme="minorHAnsi"/>
                <w:b w:val="0"/>
                <w:kern w:val="2"/>
                <w:sz w:val="24"/>
                <w:szCs w:val="24"/>
                <w:lang w:val="fr-CH" w:eastAsia="fr-CH"/>
                <w14:ligatures w14:val="standardContextual"/>
              </w:rPr>
              <w:tab/>
            </w:r>
            <w:r w:rsidR="00A05BF4" w:rsidRPr="00A6434D">
              <w:rPr>
                <w:rStyle w:val="Lienhypertexte"/>
              </w:rPr>
              <w:t>Gegenstand der Änderung</w:t>
            </w:r>
            <w:r w:rsidR="00A05BF4">
              <w:rPr>
                <w:webHidden/>
              </w:rPr>
              <w:tab/>
            </w:r>
            <w:r w:rsidR="00A05BF4">
              <w:rPr>
                <w:webHidden/>
              </w:rPr>
              <w:fldChar w:fldCharType="begin"/>
            </w:r>
            <w:r w:rsidR="00A05BF4">
              <w:rPr>
                <w:webHidden/>
              </w:rPr>
              <w:instrText xml:space="preserve"> PAGEREF _Toc224136669 \h </w:instrText>
            </w:r>
            <w:r w:rsidR="00A05BF4">
              <w:rPr>
                <w:webHidden/>
              </w:rPr>
            </w:r>
            <w:r w:rsidR="00A05BF4">
              <w:rPr>
                <w:webHidden/>
              </w:rPr>
              <w:fldChar w:fldCharType="separate"/>
            </w:r>
            <w:r w:rsidR="00A05BF4">
              <w:rPr>
                <w:webHidden/>
              </w:rPr>
              <w:t>2</w:t>
            </w:r>
            <w:r w:rsidR="00A05BF4">
              <w:rPr>
                <w:webHidden/>
              </w:rPr>
              <w:fldChar w:fldCharType="end"/>
            </w:r>
          </w:hyperlink>
        </w:p>
        <w:p w14:paraId="4B1E55FE" w14:textId="14F4548D" w:rsidR="00A05BF4" w:rsidRDefault="00A05BF4">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4136670" w:history="1">
            <w:r w:rsidRPr="00A6434D">
              <w:rPr>
                <w:rStyle w:val="Lienhypertexte"/>
              </w:rPr>
              <w:t>1.1</w:t>
            </w:r>
            <w:r>
              <w:rPr>
                <w:rFonts w:asciiTheme="minorHAnsi" w:eastAsiaTheme="minorEastAsia" w:hAnsiTheme="minorHAnsi"/>
                <w:b w:val="0"/>
                <w:kern w:val="2"/>
                <w:sz w:val="24"/>
                <w:szCs w:val="24"/>
                <w:lang w:val="fr-CH" w:eastAsia="fr-CH"/>
                <w14:ligatures w14:val="standardContextual"/>
              </w:rPr>
              <w:tab/>
            </w:r>
            <w:r w:rsidRPr="00A6434D">
              <w:rPr>
                <w:rStyle w:val="Lienhypertexte"/>
              </w:rPr>
              <w:t>Hintergrund</w:t>
            </w:r>
            <w:r>
              <w:rPr>
                <w:webHidden/>
              </w:rPr>
              <w:tab/>
            </w:r>
            <w:r>
              <w:rPr>
                <w:webHidden/>
              </w:rPr>
              <w:fldChar w:fldCharType="begin"/>
            </w:r>
            <w:r>
              <w:rPr>
                <w:webHidden/>
              </w:rPr>
              <w:instrText xml:space="preserve"> PAGEREF _Toc224136670 \h </w:instrText>
            </w:r>
            <w:r>
              <w:rPr>
                <w:webHidden/>
              </w:rPr>
            </w:r>
            <w:r>
              <w:rPr>
                <w:webHidden/>
              </w:rPr>
              <w:fldChar w:fldCharType="separate"/>
            </w:r>
            <w:r>
              <w:rPr>
                <w:webHidden/>
              </w:rPr>
              <w:t>2</w:t>
            </w:r>
            <w:r>
              <w:rPr>
                <w:webHidden/>
              </w:rPr>
              <w:fldChar w:fldCharType="end"/>
            </w:r>
          </w:hyperlink>
        </w:p>
        <w:p w14:paraId="65D5C006" w14:textId="7D8FDF06" w:rsidR="00A05BF4" w:rsidRDefault="00A05BF4">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4136671" w:history="1">
            <w:r w:rsidRPr="00A6434D">
              <w:rPr>
                <w:rStyle w:val="Lienhypertexte"/>
              </w:rPr>
              <w:t>1.2</w:t>
            </w:r>
            <w:r>
              <w:rPr>
                <w:rFonts w:asciiTheme="minorHAnsi" w:eastAsiaTheme="minorEastAsia" w:hAnsiTheme="minorHAnsi"/>
                <w:b w:val="0"/>
                <w:kern w:val="2"/>
                <w:sz w:val="24"/>
                <w:szCs w:val="24"/>
                <w:lang w:val="fr-CH" w:eastAsia="fr-CH"/>
                <w14:ligatures w14:val="standardContextual"/>
              </w:rPr>
              <w:tab/>
            </w:r>
            <w:r w:rsidRPr="00A6434D">
              <w:rPr>
                <w:rStyle w:val="Lienhypertexte"/>
              </w:rPr>
              <w:t>Aktuelles System</w:t>
            </w:r>
            <w:r>
              <w:rPr>
                <w:webHidden/>
              </w:rPr>
              <w:tab/>
            </w:r>
            <w:r>
              <w:rPr>
                <w:webHidden/>
              </w:rPr>
              <w:fldChar w:fldCharType="begin"/>
            </w:r>
            <w:r>
              <w:rPr>
                <w:webHidden/>
              </w:rPr>
              <w:instrText xml:space="preserve"> PAGEREF _Toc224136671 \h </w:instrText>
            </w:r>
            <w:r>
              <w:rPr>
                <w:webHidden/>
              </w:rPr>
            </w:r>
            <w:r>
              <w:rPr>
                <w:webHidden/>
              </w:rPr>
              <w:fldChar w:fldCharType="separate"/>
            </w:r>
            <w:r>
              <w:rPr>
                <w:webHidden/>
              </w:rPr>
              <w:t>2</w:t>
            </w:r>
            <w:r>
              <w:rPr>
                <w:webHidden/>
              </w:rPr>
              <w:fldChar w:fldCharType="end"/>
            </w:r>
          </w:hyperlink>
        </w:p>
        <w:p w14:paraId="543487CF" w14:textId="2D722B86" w:rsidR="00A05BF4" w:rsidRDefault="00A05BF4">
          <w:pPr>
            <w:pStyle w:val="TM1"/>
            <w:rPr>
              <w:rFonts w:asciiTheme="minorHAnsi" w:eastAsiaTheme="minorEastAsia" w:hAnsiTheme="minorHAnsi"/>
              <w:b w:val="0"/>
              <w:kern w:val="2"/>
              <w:sz w:val="24"/>
              <w:szCs w:val="24"/>
              <w:lang w:val="fr-CH" w:eastAsia="fr-CH"/>
              <w14:ligatures w14:val="standardContextual"/>
            </w:rPr>
          </w:pPr>
          <w:hyperlink w:anchor="_Toc224136672" w:history="1">
            <w:r w:rsidRPr="00A6434D">
              <w:rPr>
                <w:rStyle w:val="Lienhypertexte"/>
              </w:rPr>
              <w:t>2</w:t>
            </w:r>
            <w:r>
              <w:rPr>
                <w:rFonts w:asciiTheme="minorHAnsi" w:eastAsiaTheme="minorEastAsia" w:hAnsiTheme="minorHAnsi"/>
                <w:b w:val="0"/>
                <w:kern w:val="2"/>
                <w:sz w:val="24"/>
                <w:szCs w:val="24"/>
                <w:lang w:val="fr-CH" w:eastAsia="fr-CH"/>
                <w14:ligatures w14:val="standardContextual"/>
              </w:rPr>
              <w:tab/>
            </w:r>
            <w:r w:rsidRPr="00A6434D">
              <w:rPr>
                <w:rStyle w:val="Lienhypertexte"/>
              </w:rPr>
              <w:t>Kommentare zu den Bestimmungen</w:t>
            </w:r>
            <w:r>
              <w:rPr>
                <w:webHidden/>
              </w:rPr>
              <w:tab/>
            </w:r>
            <w:r>
              <w:rPr>
                <w:webHidden/>
              </w:rPr>
              <w:fldChar w:fldCharType="begin"/>
            </w:r>
            <w:r>
              <w:rPr>
                <w:webHidden/>
              </w:rPr>
              <w:instrText xml:space="preserve"> PAGEREF _Toc224136672 \h </w:instrText>
            </w:r>
            <w:r>
              <w:rPr>
                <w:webHidden/>
              </w:rPr>
            </w:r>
            <w:r>
              <w:rPr>
                <w:webHidden/>
              </w:rPr>
              <w:fldChar w:fldCharType="separate"/>
            </w:r>
            <w:r>
              <w:rPr>
                <w:webHidden/>
              </w:rPr>
              <w:t>4</w:t>
            </w:r>
            <w:r>
              <w:rPr>
                <w:webHidden/>
              </w:rPr>
              <w:fldChar w:fldCharType="end"/>
            </w:r>
          </w:hyperlink>
        </w:p>
        <w:p w14:paraId="7E4B0409" w14:textId="63BD3C4B" w:rsidR="00A05BF4" w:rsidRDefault="00A05BF4">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4136673" w:history="1">
            <w:r w:rsidRPr="00A6434D">
              <w:rPr>
                <w:rStyle w:val="Lienhypertexte"/>
              </w:rPr>
              <w:t>2.1</w:t>
            </w:r>
            <w:r>
              <w:rPr>
                <w:rFonts w:asciiTheme="minorHAnsi" w:eastAsiaTheme="minorEastAsia" w:hAnsiTheme="minorHAnsi"/>
                <w:b w:val="0"/>
                <w:kern w:val="2"/>
                <w:sz w:val="24"/>
                <w:szCs w:val="24"/>
                <w:lang w:val="fr-CH" w:eastAsia="fr-CH"/>
                <w14:ligatures w14:val="standardContextual"/>
              </w:rPr>
              <w:tab/>
            </w:r>
            <w:r w:rsidRPr="00A6434D">
              <w:rPr>
                <w:rStyle w:val="Lienhypertexte"/>
              </w:rPr>
              <w:t>Art. 27 Abs. 1a VRG</w:t>
            </w:r>
            <w:r>
              <w:rPr>
                <w:webHidden/>
              </w:rPr>
              <w:tab/>
            </w:r>
            <w:r>
              <w:rPr>
                <w:webHidden/>
              </w:rPr>
              <w:fldChar w:fldCharType="begin"/>
            </w:r>
            <w:r>
              <w:rPr>
                <w:webHidden/>
              </w:rPr>
              <w:instrText xml:space="preserve"> PAGEREF _Toc224136673 \h </w:instrText>
            </w:r>
            <w:r>
              <w:rPr>
                <w:webHidden/>
              </w:rPr>
            </w:r>
            <w:r>
              <w:rPr>
                <w:webHidden/>
              </w:rPr>
              <w:fldChar w:fldCharType="separate"/>
            </w:r>
            <w:r>
              <w:rPr>
                <w:webHidden/>
              </w:rPr>
              <w:t>4</w:t>
            </w:r>
            <w:r>
              <w:rPr>
                <w:webHidden/>
              </w:rPr>
              <w:fldChar w:fldCharType="end"/>
            </w:r>
          </w:hyperlink>
        </w:p>
        <w:p w14:paraId="1EE6C66E" w14:textId="50E95FD8" w:rsidR="00A05BF4" w:rsidRDefault="00A05BF4">
          <w:pPr>
            <w:pStyle w:val="TM2"/>
            <w:tabs>
              <w:tab w:val="right" w:pos="9910"/>
            </w:tabs>
            <w:rPr>
              <w:rFonts w:asciiTheme="minorHAnsi" w:eastAsiaTheme="minorEastAsia" w:hAnsiTheme="minorHAnsi"/>
              <w:b w:val="0"/>
              <w:kern w:val="2"/>
              <w:sz w:val="24"/>
              <w:szCs w:val="24"/>
              <w:lang w:val="fr-CH" w:eastAsia="fr-CH"/>
              <w14:ligatures w14:val="standardContextual"/>
            </w:rPr>
          </w:pPr>
          <w:hyperlink w:anchor="_Toc224136674" w:history="1">
            <w:r w:rsidRPr="00A6434D">
              <w:rPr>
                <w:rStyle w:val="Lienhypertexte"/>
              </w:rPr>
              <w:t>2.2</w:t>
            </w:r>
            <w:r>
              <w:rPr>
                <w:rFonts w:asciiTheme="minorHAnsi" w:eastAsiaTheme="minorEastAsia" w:hAnsiTheme="minorHAnsi"/>
                <w:b w:val="0"/>
                <w:kern w:val="2"/>
                <w:sz w:val="24"/>
                <w:szCs w:val="24"/>
                <w:lang w:val="fr-CH" w:eastAsia="fr-CH"/>
                <w14:ligatures w14:val="standardContextual"/>
              </w:rPr>
              <w:tab/>
            </w:r>
            <w:r w:rsidRPr="00A6434D">
              <w:rPr>
                <w:rStyle w:val="Lienhypertexte"/>
              </w:rPr>
              <w:t>Art. 68 Abs. 1a GBG</w:t>
            </w:r>
            <w:r>
              <w:rPr>
                <w:webHidden/>
              </w:rPr>
              <w:tab/>
            </w:r>
            <w:r>
              <w:rPr>
                <w:webHidden/>
              </w:rPr>
              <w:fldChar w:fldCharType="begin"/>
            </w:r>
            <w:r>
              <w:rPr>
                <w:webHidden/>
              </w:rPr>
              <w:instrText xml:space="preserve"> PAGEREF _Toc224136674 \h </w:instrText>
            </w:r>
            <w:r>
              <w:rPr>
                <w:webHidden/>
              </w:rPr>
            </w:r>
            <w:r>
              <w:rPr>
                <w:webHidden/>
              </w:rPr>
              <w:fldChar w:fldCharType="separate"/>
            </w:r>
            <w:r>
              <w:rPr>
                <w:webHidden/>
              </w:rPr>
              <w:t>4</w:t>
            </w:r>
            <w:r>
              <w:rPr>
                <w:webHidden/>
              </w:rPr>
              <w:fldChar w:fldCharType="end"/>
            </w:r>
          </w:hyperlink>
        </w:p>
        <w:p w14:paraId="165738DD" w14:textId="62742B8B" w:rsidR="00A05BF4" w:rsidRDefault="00A05BF4">
          <w:pPr>
            <w:pStyle w:val="TM1"/>
            <w:rPr>
              <w:rFonts w:asciiTheme="minorHAnsi" w:eastAsiaTheme="minorEastAsia" w:hAnsiTheme="minorHAnsi"/>
              <w:b w:val="0"/>
              <w:kern w:val="2"/>
              <w:sz w:val="24"/>
              <w:szCs w:val="24"/>
              <w:lang w:val="fr-CH" w:eastAsia="fr-CH"/>
              <w14:ligatures w14:val="standardContextual"/>
            </w:rPr>
          </w:pPr>
          <w:hyperlink w:anchor="_Toc224136675" w:history="1">
            <w:r w:rsidRPr="00A6434D">
              <w:rPr>
                <w:rStyle w:val="Lienhypertexte"/>
              </w:rPr>
              <w:t>3</w:t>
            </w:r>
            <w:r>
              <w:rPr>
                <w:rFonts w:asciiTheme="minorHAnsi" w:eastAsiaTheme="minorEastAsia" w:hAnsiTheme="minorHAnsi"/>
                <w:b w:val="0"/>
                <w:kern w:val="2"/>
                <w:sz w:val="24"/>
                <w:szCs w:val="24"/>
                <w:lang w:val="fr-CH" w:eastAsia="fr-CH"/>
                <w14:ligatures w14:val="standardContextual"/>
              </w:rPr>
              <w:tab/>
            </w:r>
            <w:r w:rsidRPr="00A6434D">
              <w:rPr>
                <w:rStyle w:val="Lienhypertexte"/>
              </w:rPr>
              <w:t>Auswirkungen des Vorentwurfs</w:t>
            </w:r>
            <w:r>
              <w:rPr>
                <w:webHidden/>
              </w:rPr>
              <w:tab/>
            </w:r>
            <w:r>
              <w:rPr>
                <w:webHidden/>
              </w:rPr>
              <w:fldChar w:fldCharType="begin"/>
            </w:r>
            <w:r>
              <w:rPr>
                <w:webHidden/>
              </w:rPr>
              <w:instrText xml:space="preserve"> PAGEREF _Toc224136675 \h </w:instrText>
            </w:r>
            <w:r>
              <w:rPr>
                <w:webHidden/>
              </w:rPr>
            </w:r>
            <w:r>
              <w:rPr>
                <w:webHidden/>
              </w:rPr>
              <w:fldChar w:fldCharType="separate"/>
            </w:r>
            <w:r>
              <w:rPr>
                <w:webHidden/>
              </w:rPr>
              <w:t>4</w:t>
            </w:r>
            <w:r>
              <w:rPr>
                <w:webHidden/>
              </w:rPr>
              <w:fldChar w:fldCharType="end"/>
            </w:r>
          </w:hyperlink>
        </w:p>
        <w:p w14:paraId="2B2D3407" w14:textId="2068BC84" w:rsidR="00A05BF4" w:rsidRDefault="00A05BF4">
          <w:pPr>
            <w:pStyle w:val="TM1"/>
            <w:rPr>
              <w:rFonts w:asciiTheme="minorHAnsi" w:eastAsiaTheme="minorEastAsia" w:hAnsiTheme="minorHAnsi"/>
              <w:b w:val="0"/>
              <w:kern w:val="2"/>
              <w:sz w:val="24"/>
              <w:szCs w:val="24"/>
              <w:lang w:val="fr-CH" w:eastAsia="fr-CH"/>
              <w14:ligatures w14:val="standardContextual"/>
            </w:rPr>
          </w:pPr>
          <w:hyperlink w:anchor="_Toc224136676" w:history="1">
            <w:r w:rsidRPr="00A6434D">
              <w:rPr>
                <w:rStyle w:val="Lienhypertexte"/>
              </w:rPr>
              <w:t>4</w:t>
            </w:r>
            <w:r>
              <w:rPr>
                <w:rFonts w:asciiTheme="minorHAnsi" w:eastAsiaTheme="minorEastAsia" w:hAnsiTheme="minorHAnsi"/>
                <w:b w:val="0"/>
                <w:kern w:val="2"/>
                <w:sz w:val="24"/>
                <w:szCs w:val="24"/>
                <w:lang w:val="fr-CH" w:eastAsia="fr-CH"/>
                <w14:ligatures w14:val="standardContextual"/>
              </w:rPr>
              <w:tab/>
            </w:r>
            <w:r w:rsidRPr="00A6434D">
              <w:rPr>
                <w:rStyle w:val="Lienhypertexte"/>
              </w:rPr>
              <w:t>Konformität mit dem übergeordneten Recht</w:t>
            </w:r>
            <w:r>
              <w:rPr>
                <w:webHidden/>
              </w:rPr>
              <w:tab/>
            </w:r>
            <w:r>
              <w:rPr>
                <w:webHidden/>
              </w:rPr>
              <w:fldChar w:fldCharType="begin"/>
            </w:r>
            <w:r>
              <w:rPr>
                <w:webHidden/>
              </w:rPr>
              <w:instrText xml:space="preserve"> PAGEREF _Toc224136676 \h </w:instrText>
            </w:r>
            <w:r>
              <w:rPr>
                <w:webHidden/>
              </w:rPr>
            </w:r>
            <w:r>
              <w:rPr>
                <w:webHidden/>
              </w:rPr>
              <w:fldChar w:fldCharType="separate"/>
            </w:r>
            <w:r>
              <w:rPr>
                <w:webHidden/>
              </w:rPr>
              <w:t>4</w:t>
            </w:r>
            <w:r>
              <w:rPr>
                <w:webHidden/>
              </w:rPr>
              <w:fldChar w:fldCharType="end"/>
            </w:r>
          </w:hyperlink>
        </w:p>
        <w:p w14:paraId="7A9C1253" w14:textId="0031BDCC" w:rsidR="000C5933" w:rsidRDefault="00774554">
          <w:r>
            <w:fldChar w:fldCharType="end"/>
          </w:r>
        </w:p>
      </w:sdtContent>
    </w:sdt>
    <w:p w14:paraId="507804EB" w14:textId="77777777" w:rsidR="00FD0818" w:rsidRDefault="00CE5D56" w:rsidP="00FD0818">
      <w:r>
        <w:br w:type="page"/>
      </w:r>
    </w:p>
    <w:p w14:paraId="2761947F" w14:textId="77777777" w:rsidR="00D55A8D" w:rsidRDefault="00543D59" w:rsidP="00DC4643">
      <w:pPr>
        <w:pStyle w:val="Titre1"/>
      </w:pPr>
      <w:bookmarkStart w:id="0" w:name="_Toc224136669"/>
      <w:r>
        <w:lastRenderedPageBreak/>
        <w:t>Gegenstand der Änderung</w:t>
      </w:r>
      <w:bookmarkEnd w:id="0"/>
    </w:p>
    <w:p w14:paraId="658A9FE8" w14:textId="77777777" w:rsidR="008756FD" w:rsidRDefault="008756FD" w:rsidP="00970383">
      <w:pPr>
        <w:pStyle w:val="Tiret"/>
      </w:pPr>
      <w:r>
        <w:t>—</w:t>
      </w:r>
    </w:p>
    <w:p w14:paraId="122563F8" w14:textId="77777777" w:rsidR="00D55A8D" w:rsidRDefault="00543D59" w:rsidP="00DC4643">
      <w:pPr>
        <w:pStyle w:val="Titre2"/>
      </w:pPr>
      <w:bookmarkStart w:id="1" w:name="_Toc224136670"/>
      <w:r>
        <w:t>Hintergrund</w:t>
      </w:r>
      <w:bookmarkEnd w:id="1"/>
    </w:p>
    <w:p w14:paraId="3F78EF05" w14:textId="242BB5EF" w:rsidR="00543D59" w:rsidRPr="00395719" w:rsidRDefault="00543D59" w:rsidP="0078584E">
      <w:pPr>
        <w:pStyle w:val="07atexteprincipal"/>
        <w:rPr>
          <w:rStyle w:val="Lienhypertexte"/>
        </w:rPr>
      </w:pPr>
      <w:r>
        <w:t xml:space="preserve">Mit einer am 12. März 2025 eingereichten Motion beantragten die Grossrätinnen Sandra Lepori und Francine Defferrard die Anpassung </w:t>
      </w:r>
      <w:r w:rsidR="00DB28C5">
        <w:t>von Artikel</w:t>
      </w:r>
      <w:r>
        <w:t xml:space="preserve"> 27 des Gesetzes vom 23. Mai 1991 über die Verwaltungsrechtspflege (VRG) einerseits und die Änderung der anderen kantonalen Verfahrensgesetze andererseits nach dem Vorbild des neuen Artikels 142 Abs.</w:t>
      </w:r>
      <w:r w:rsidR="00395719">
        <w:t xml:space="preserve"> 1</w:t>
      </w:r>
      <w:r w:rsidR="00395719">
        <w:rPr>
          <w:vertAlign w:val="superscript"/>
        </w:rPr>
        <w:t>bi</w:t>
      </w:r>
      <w:r>
        <w:rPr>
          <w:vertAlign w:val="superscript"/>
        </w:rPr>
        <w:t>s</w:t>
      </w:r>
      <w:r>
        <w:t xml:space="preserve"> der Zivilprozessordnung vom 19. Dezember 2008 (ZPO; </w:t>
      </w:r>
      <w:r w:rsidRPr="00395719">
        <w:rPr>
          <w:u w:val="single"/>
        </w:rPr>
        <w:t xml:space="preserve">SR </w:t>
      </w:r>
      <w:r w:rsidR="00395719">
        <w:rPr>
          <w:u w:val="single"/>
        </w:rPr>
        <w:fldChar w:fldCharType="begin"/>
      </w:r>
      <w:r w:rsidR="00395719">
        <w:rPr>
          <w:u w:val="single"/>
        </w:rPr>
        <w:instrText>HYPERLINK "https://www.fedlex.admin.ch/eli/cc/2010/262/de"</w:instrText>
      </w:r>
      <w:r w:rsidR="00395719">
        <w:rPr>
          <w:u w:val="single"/>
        </w:rPr>
      </w:r>
      <w:r w:rsidR="00395719">
        <w:rPr>
          <w:u w:val="single"/>
        </w:rPr>
        <w:fldChar w:fldCharType="separate"/>
      </w:r>
      <w:r w:rsidRPr="00395719">
        <w:rPr>
          <w:rStyle w:val="Lienhypertexte"/>
        </w:rPr>
        <w:t>272).</w:t>
      </w:r>
    </w:p>
    <w:p w14:paraId="1D766910" w14:textId="60FDE444" w:rsidR="00543D59" w:rsidRDefault="00395719" w:rsidP="00543D59">
      <w:pPr>
        <w:pStyle w:val="07atexteprincipal"/>
        <w:rPr>
          <w:rFonts w:cstheme="minorHAnsi"/>
          <w:color w:val="000000" w:themeColor="text1"/>
          <w:shd w:val="clear" w:color="auto" w:fill="FFFFFF"/>
        </w:rPr>
      </w:pPr>
      <w:r>
        <w:rPr>
          <w:u w:val="single"/>
        </w:rPr>
        <w:fldChar w:fldCharType="end"/>
      </w:r>
      <w:r w:rsidR="00543D59">
        <w:t>Dieser Artikel, der am 1. Januar 2025 in Kraft getreten ist, schreibt Folgendes vor:</w:t>
      </w:r>
      <w:r w:rsidR="004E36D1">
        <w:t xml:space="preserve"> </w:t>
      </w:r>
      <w:r w:rsidR="00543D59">
        <w:rPr>
          <w:rFonts w:cstheme="minorHAnsi"/>
          <w:color w:val="000000" w:themeColor="text1"/>
          <w:shd w:val="clear" w:color="auto" w:fill="FFFFFF"/>
        </w:rPr>
        <w:t>«Erfolgt die Zustellung einer Sendung an einem Samstag, einem Sonntag oder einem am Gerichtsort vom Bundesrecht oder vom kantonalen Recht anerkannten Feiertag durch gewöhnliche Post (Art. 138 Abs. 4), so gilt die Mitteilung nach Absatz 1 am nächsten Werktag als erfolgt.</w:t>
      </w:r>
      <w:r w:rsidR="004E36D1" w:rsidRPr="00FE2EB2">
        <w:rPr>
          <w:rFonts w:cstheme="minorHAnsi"/>
          <w:b/>
          <w:bCs/>
          <w:color w:val="000000" w:themeColor="text1"/>
          <w:shd w:val="clear" w:color="auto" w:fill="FFFFFF"/>
        </w:rPr>
        <w:t>»</w:t>
      </w:r>
      <w:r w:rsidR="00543D59">
        <w:rPr>
          <w:rFonts w:cstheme="minorHAnsi"/>
          <w:color w:val="000000" w:themeColor="text1"/>
          <w:shd w:val="clear" w:color="auto" w:fill="FFFFFF"/>
        </w:rPr>
        <w:t xml:space="preserve"> Das Bundesgesetz vom 26</w:t>
      </w:r>
      <w:r w:rsidR="00DB28C5">
        <w:rPr>
          <w:rFonts w:cstheme="minorHAnsi"/>
          <w:color w:val="000000" w:themeColor="text1"/>
          <w:shd w:val="clear" w:color="auto" w:fill="FFFFFF"/>
        </w:rPr>
        <w:t>. </w:t>
      </w:r>
      <w:r w:rsidR="00543D59">
        <w:rPr>
          <w:rFonts w:cstheme="minorHAnsi"/>
          <w:color w:val="000000" w:themeColor="text1"/>
          <w:shd w:val="clear" w:color="auto" w:fill="FFFFFF"/>
        </w:rPr>
        <w:t>September 2025 über die Zustellung von Sendungen an Wochenenden und Feiertagen erweitert diesen Grundsatz auf andere Bundesgesetze (</w:t>
      </w:r>
      <w:hyperlink r:id="rId11" w:history="1">
        <w:r w:rsidR="00543D59">
          <w:rPr>
            <w:rStyle w:val="Lienhypertexte"/>
            <w:rFonts w:cstheme="minorHAnsi"/>
            <w:shd w:val="clear" w:color="auto" w:fill="FFFFFF"/>
          </w:rPr>
          <w:t>BBI 2025 2891</w:t>
        </w:r>
      </w:hyperlink>
      <w:r w:rsidR="00543D59">
        <w:rPr>
          <w:rFonts w:cstheme="minorHAnsi"/>
          <w:color w:val="000000" w:themeColor="text1"/>
          <w:shd w:val="clear" w:color="auto" w:fill="FFFFFF"/>
        </w:rPr>
        <w:t>).</w:t>
      </w:r>
    </w:p>
    <w:p w14:paraId="62A940E9" w14:textId="33C6A47F" w:rsidR="00543D59" w:rsidRDefault="00543D59" w:rsidP="00543D59">
      <w:pPr>
        <w:pStyle w:val="07atexteprincipal"/>
      </w:pPr>
      <w:r>
        <w:t>Der Staatsrat hat dem Grossen Rat die Annahme der Motion vorgeschlagen. Dieser hat sie am 17</w:t>
      </w:r>
      <w:r w:rsidR="00DB28C5">
        <w:t>. </w:t>
      </w:r>
      <w:r>
        <w:t>Dezember 2025 einstimmig angenommen.</w:t>
      </w:r>
    </w:p>
    <w:p w14:paraId="122C0A08" w14:textId="77777777" w:rsidR="00051411" w:rsidRDefault="00543D59" w:rsidP="00543D59">
      <w:pPr>
        <w:pStyle w:val="Titre2"/>
      </w:pPr>
      <w:bookmarkStart w:id="2" w:name="_Toc224136671"/>
      <w:r>
        <w:t>Aktuelles System</w:t>
      </w:r>
      <w:bookmarkEnd w:id="2"/>
    </w:p>
    <w:p w14:paraId="3E899126" w14:textId="77777777" w:rsidR="00543D59" w:rsidRDefault="00543D59" w:rsidP="00543D59">
      <w:pPr>
        <w:pStyle w:val="07atexteprincipal"/>
      </w:pPr>
      <w:r>
        <w:t>Die Motion soll das Problem bei der Berechnung von Fristen bei der Zustellung von Sendungen lösen, wenn die diese per Post erfolgt, insbesondere per «A-Post Plus». Dieses Problem stellt sich auf kantonaler Ebene sowohl in Verwaltungsverfahren als auch bei der Verwaltungsrechtspflege.</w:t>
      </w:r>
    </w:p>
    <w:p w14:paraId="3E923A25" w14:textId="0A4297C2" w:rsidR="00543D59" w:rsidRDefault="00543D59" w:rsidP="00543D59">
      <w:pPr>
        <w:pStyle w:val="07atexteprincipal"/>
        <w:rPr>
          <w:shd w:val="clear" w:color="auto" w:fill="FFFFFF"/>
        </w:rPr>
      </w:pPr>
      <w:r>
        <w:rPr>
          <w:shd w:val="clear" w:color="auto" w:fill="FFFFFF"/>
        </w:rPr>
        <w:t>Die Zustellung von amtlichen Sendungen erfolgt derzeit noch überwiegend auf dem Postweg. Sie löst häufig Fristen aus, insbesondere Einsprache- oder Beschwerdefristen. Diese Fristen beginnen grundsätzlich am Tag nach der Mitteilung zu laufen.</w:t>
      </w:r>
    </w:p>
    <w:p w14:paraId="0ACD6108" w14:textId="6296947A" w:rsidR="00543D59" w:rsidRDefault="00543D59" w:rsidP="00543D59">
      <w:pPr>
        <w:pStyle w:val="07atexteprincipal"/>
      </w:pPr>
      <w:r>
        <w:t>Unter Postsendung versteht man adressierte Sendungen in der endgültigen Form, in der sie von einer Anbieterin von Postdiensten übernommen werden, namentlich von Briefen, Paketen sowie Zeitungen und Zeitschriften</w:t>
      </w:r>
      <w:r w:rsidR="00375D4E">
        <w:t xml:space="preserve"> </w:t>
      </w:r>
      <w:r>
        <w:t xml:space="preserve">(Art. 2 Bst. b PG; </w:t>
      </w:r>
      <w:r w:rsidRPr="00375D4E">
        <w:rPr>
          <w:u w:val="single"/>
        </w:rPr>
        <w:t xml:space="preserve">SR </w:t>
      </w:r>
      <w:hyperlink r:id="rId12" w:history="1">
        <w:r w:rsidRPr="00375D4E">
          <w:rPr>
            <w:u w:val="single"/>
          </w:rPr>
          <w:t>783.0</w:t>
        </w:r>
      </w:hyperlink>
      <w:r>
        <w:t>). Die Anbieter von Postdiensten sind im Artikel 1 Bst. a der Postverordnung vom 29</w:t>
      </w:r>
      <w:r w:rsidR="00DB28C5">
        <w:t>. </w:t>
      </w:r>
      <w:r>
        <w:t xml:space="preserve">August 2012 (VPG; </w:t>
      </w:r>
      <w:hyperlink r:id="rId13" w:history="1">
        <w:r>
          <w:rPr>
            <w:rStyle w:val="Lienhypertexte"/>
          </w:rPr>
          <w:t>SR 783.01</w:t>
        </w:r>
      </w:hyperlink>
      <w:r>
        <w:t xml:space="preserve">) definiert, aber </w:t>
      </w:r>
      <w:r>
        <w:rPr>
          <w:rFonts w:cstheme="minorHAnsi"/>
          <w:shd w:val="clear" w:color="auto" w:fill="FFFFFF"/>
        </w:rPr>
        <w:t>die Schweizer</w:t>
      </w:r>
      <w:r w:rsidR="00375D4E">
        <w:rPr>
          <w:rFonts w:cstheme="minorHAnsi"/>
          <w:shd w:val="clear" w:color="auto" w:fill="FFFFFF"/>
        </w:rPr>
        <w:t>ische</w:t>
      </w:r>
      <w:r>
        <w:rPr>
          <w:rFonts w:cstheme="minorHAnsi"/>
          <w:shd w:val="clear" w:color="auto" w:fill="FFFFFF"/>
        </w:rPr>
        <w:t xml:space="preserve"> Post hat ein Monopol bei der Beförderung der Briefe bis 50 Gramm (Art. 18 Abs. 1 </w:t>
      </w:r>
      <w:hyperlink r:id="rId14" w:history="1">
        <w:r>
          <w:rPr>
            <w:rStyle w:val="Lienhypertexte"/>
            <w:rFonts w:cstheme="minorHAnsi"/>
            <w:shd w:val="clear" w:color="auto" w:fill="FFFFFF"/>
          </w:rPr>
          <w:t>PG</w:t>
        </w:r>
      </w:hyperlink>
      <w:r>
        <w:rPr>
          <w:rFonts w:cstheme="minorHAnsi"/>
          <w:shd w:val="clear" w:color="auto" w:fill="FFFFFF"/>
        </w:rPr>
        <w:t xml:space="preserve">). </w:t>
      </w:r>
      <w:r>
        <w:t xml:space="preserve">Der Postversand umfasst «normale» Postsendungen, für die keine Unterschrift </w:t>
      </w:r>
      <w:r w:rsidR="00F43CF6">
        <w:t xml:space="preserve">der Adressatin oder </w:t>
      </w:r>
      <w:r>
        <w:t xml:space="preserve">des </w:t>
      </w:r>
      <w:r w:rsidR="00853D07">
        <w:t>Adressaten</w:t>
      </w:r>
      <w:r>
        <w:t xml:space="preserve"> erforderlich ist, und «eingeschriebene» Postsendungen, für die eine Unterschrift erforderlich ist. Es gibt verschiedene normale Postsendungen: B-Post, A-Post (einfach) und «A-Post Plus».</w:t>
      </w:r>
    </w:p>
    <w:p w14:paraId="04101D3E" w14:textId="7A464E1F" w:rsidR="00543D59" w:rsidRDefault="00543D59" w:rsidP="00543D59">
      <w:pPr>
        <w:pStyle w:val="07atexteprincipal"/>
        <w:rPr>
          <w:rFonts w:eastAsia="Calibri"/>
          <w:lang w:eastAsia="en-US"/>
        </w:rPr>
      </w:pPr>
      <w:r>
        <w:t xml:space="preserve">Letztere wird seit mehreren Jahren von der Schweizerischen Post angeboten. Die Sendung verfügt über eine Nummer, mit der die Absenderin oder der Absender das Datum der Zustellung der Sendung in den Briefkasten oder das Postfach der </w:t>
      </w:r>
      <w:r w:rsidR="003550E3">
        <w:t>Adressatin</w:t>
      </w:r>
      <w:r>
        <w:t xml:space="preserve"> oder des </w:t>
      </w:r>
      <w:r w:rsidR="003550E3">
        <w:t>Adressaten</w:t>
      </w:r>
      <w:r>
        <w:t xml:space="preserve"> ermitteln kann (Online-Sendungsverfolgungssystem «Track &amp; Trace»). Die Absenderin oder der Absender kann dann überprüfen, wann die Sendung in den Einflussbereich der </w:t>
      </w:r>
      <w:r w:rsidR="003D3069">
        <w:t>Adressatin</w:t>
      </w:r>
      <w:r>
        <w:t xml:space="preserve"> oder des </w:t>
      </w:r>
      <w:r w:rsidR="003D3069">
        <w:t>Adressaten</w:t>
      </w:r>
      <w:r>
        <w:t xml:space="preserve"> gelangt ist. Nach der Rechtsprechung gilt jedoch gerade dieses Eintreten in den Einflussbereich als Mitteilung oder Zustellung und stellt den massgeblichen Zeitpunkt für die Berechnung der Fristen dar («Beginn Fristenlauf»). Dies wurde ausdrücklich für «A-Post Plus»-Sendungen aufgrund der Rückverfolgbarkeit bestätigt: Die Zustellung gilt als erfolgt, sobald sie in den Briefkasten oder das Postfach der </w:t>
      </w:r>
      <w:r w:rsidR="005C16F6">
        <w:t>Adressatin</w:t>
      </w:r>
      <w:r>
        <w:t xml:space="preserve"> oder des </w:t>
      </w:r>
      <w:r w:rsidR="005C16F6">
        <w:t>Adressaten</w:t>
      </w:r>
      <w:r>
        <w:t xml:space="preserve"> eingeworfen wurde. Dieser Zeitpunkt ist der Ausgangspunkt für die Berechnung der Beschwerdefrist (BGer, Entscheid</w:t>
      </w:r>
      <w:r w:rsidR="005C16F6">
        <w:t xml:space="preserve"> </w:t>
      </w:r>
      <w:hyperlink r:id="rId15" w:history="1">
        <w:r>
          <w:rPr>
            <w:rStyle w:val="Lienhypertexte"/>
          </w:rPr>
          <w:t>2C_117/2024</w:t>
        </w:r>
      </w:hyperlink>
      <w:r>
        <w:t xml:space="preserve">, </w:t>
      </w:r>
      <w:r w:rsidR="005C16F6">
        <w:t>E.</w:t>
      </w:r>
      <w:r>
        <w:t xml:space="preserve"> 6.1 oder </w:t>
      </w:r>
      <w:hyperlink r:id="rId16" w:history="1">
        <w:r>
          <w:rPr>
            <w:rStyle w:val="Lienhypertexte"/>
          </w:rPr>
          <w:t>2C_170/2022</w:t>
        </w:r>
      </w:hyperlink>
      <w:r>
        <w:t xml:space="preserve"> E. 5.2). Wenn also die «A-Post Plus»-Sendung am Samstag zugestellt wird, beginnen die durch diese Mitteilung ausgelösten </w:t>
      </w:r>
      <w:r>
        <w:lastRenderedPageBreak/>
        <w:t xml:space="preserve">Fristen am Sonntag zu laufen. </w:t>
      </w:r>
      <w:r w:rsidR="00DB28C5">
        <w:t>Wenn</w:t>
      </w:r>
      <w:r>
        <w:t xml:space="preserve"> die</w:t>
      </w:r>
      <w:r w:rsidR="00C41A3D">
        <w:t xml:space="preserve"> Adressatinnen und</w:t>
      </w:r>
      <w:r>
        <w:t xml:space="preserve"> </w:t>
      </w:r>
      <w:r w:rsidR="005C16F6">
        <w:t>Adressaten</w:t>
      </w:r>
      <w:r>
        <w:t xml:space="preserve">, insbesondere Anwaltskanzleien, </w:t>
      </w:r>
      <w:r>
        <w:rPr>
          <w:rFonts w:eastAsia="Calibri"/>
        </w:rPr>
        <w:t>samstags</w:t>
      </w:r>
      <w:r>
        <w:t xml:space="preserve"> ihr Postfach nicht leeren oder ihre Büros an diesem Tag geschlossen sind, </w:t>
      </w:r>
      <w:r w:rsidR="00DB28C5">
        <w:t xml:space="preserve">sind kürzere </w:t>
      </w:r>
      <w:r>
        <w:t xml:space="preserve">Fristen </w:t>
      </w:r>
      <w:r w:rsidR="00DB28C5">
        <w:t>die Folge</w:t>
      </w:r>
      <w:r>
        <w:t xml:space="preserve">. </w:t>
      </w:r>
      <w:r>
        <w:rPr>
          <w:rFonts w:eastAsia="Calibri"/>
        </w:rPr>
        <w:t xml:space="preserve">Darüber hinaus können die </w:t>
      </w:r>
      <w:r w:rsidR="00EF0EDB">
        <w:rPr>
          <w:rFonts w:eastAsia="Calibri"/>
        </w:rPr>
        <w:t xml:space="preserve">Adressatinnen und </w:t>
      </w:r>
      <w:r w:rsidR="006C58B5">
        <w:rPr>
          <w:rFonts w:eastAsia="Calibri"/>
        </w:rPr>
        <w:t>Adressaten</w:t>
      </w:r>
      <w:r>
        <w:rPr>
          <w:rFonts w:eastAsia="Calibri"/>
        </w:rPr>
        <w:t xml:space="preserve"> irregeführt werden, wenn die Mitteilung an einem Samstag oder Montag zugestellt wurde, da diese Information nicht auf der Sendung angegeben ist. Dies kann zu Fehlern und zum Verlust von Rechten führen.</w:t>
      </w:r>
    </w:p>
    <w:p w14:paraId="793E82E0" w14:textId="6360D331" w:rsidR="00543D59" w:rsidRDefault="00543D59" w:rsidP="00543D59">
      <w:pPr>
        <w:pStyle w:val="07atexteprincipal"/>
        <w:rPr>
          <w:rFonts w:eastAsia="Calibri"/>
          <w:lang w:eastAsia="en-US"/>
        </w:rPr>
      </w:pPr>
      <w:r>
        <w:rPr>
          <w:rFonts w:eastAsia="Calibri"/>
        </w:rPr>
        <w:t>Artikel 142 Abs.</w:t>
      </w:r>
      <w:r w:rsidR="00DB28C5">
        <w:rPr>
          <w:rFonts w:eastAsia="Calibri"/>
        </w:rPr>
        <w:t xml:space="preserve"> </w:t>
      </w:r>
      <w:r w:rsidRPr="00266249">
        <w:rPr>
          <w:rFonts w:eastAsia="Calibri"/>
        </w:rPr>
        <w:t>1</w:t>
      </w:r>
      <w:r>
        <w:rPr>
          <w:rFonts w:eastAsia="Calibri"/>
          <w:vertAlign w:val="superscript"/>
        </w:rPr>
        <w:t>bis</w:t>
      </w:r>
      <w:r>
        <w:rPr>
          <w:rFonts w:eastAsia="Calibri"/>
        </w:rPr>
        <w:t xml:space="preserve"> ZPO wurde erlassen, um diese Problematik im Bereich des Zivilprozesses zu umgehen: Es wird eine Fiktion aufgestellt, wonach eine Mitteilung, die an einem Samstag </w:t>
      </w:r>
      <w:r w:rsidR="00E811A9">
        <w:rPr>
          <w:rFonts w:eastAsia="Calibri"/>
        </w:rPr>
        <w:t xml:space="preserve">per Post </w:t>
      </w:r>
      <w:r>
        <w:rPr>
          <w:rFonts w:eastAsia="Calibri"/>
        </w:rPr>
        <w:t>ohne Unterschriftspflicht versandt wurde, als am Montag bzw. am ersten folgenden Werktag zugestellt gilt, was bedeutet, dass die Frist am Dienstag oder am folgenden Werktag zu laufen beginnt. Das Bundesgesetz über die Zustellung von Sendungen an Wochenenden und Feiertagen geht in die gleiche Richtung und dehnt diese Lösung auf andere Rechtsbereiche aus.</w:t>
      </w:r>
    </w:p>
    <w:p w14:paraId="6E2FC3C8" w14:textId="342F0465" w:rsidR="00543D59" w:rsidRDefault="00543D59" w:rsidP="00543D59">
      <w:pPr>
        <w:pStyle w:val="07atexteprincipal"/>
      </w:pPr>
      <w:r>
        <w:t xml:space="preserve">Mit diesem neuen Gesetz verfolgt der Bund das Ziel, eine schweizweit einheitliche Regelung für Zustellungen an Samstagen zu schaffen. Die Kantone wurden daher im Rahmen der Vernehmlassung zum Vorentwurf aufgefordert, die erforderlichen Anpassungen ihrer Gesetzgebung zu prüfen, um dieses Ergebnis zu erreichen (Botschaft vom 12.02.2025, </w:t>
      </w:r>
      <w:hyperlink r:id="rId17" w:history="1">
        <w:r>
          <w:rPr>
            <w:rStyle w:val="Lienhypertexte"/>
            <w:rFonts w:cstheme="minorHAnsi"/>
            <w:u w:val="none"/>
            <w:shd w:val="clear" w:color="auto" w:fill="FFFFFF"/>
          </w:rPr>
          <w:t>BBI 2025 565</w:t>
        </w:r>
      </w:hyperlink>
      <w:r>
        <w:t xml:space="preserve">, Ziff. 2.1, 2.2 und 4.3). Der Bund verfügt nämlich nicht über die Kompetenz, den Kantonen diese Lösung generell vorzuschreiben. </w:t>
      </w:r>
      <w:r w:rsidR="00B73AB7">
        <w:t>Er</w:t>
      </w:r>
      <w:r>
        <w:t xml:space="preserve"> kann die Kantone nur im Steuerbereich auf der Grundlage von Artikel 129 BV und über das Bundesgesetz über die Harmonisierung der direkten Steuern der Kantone und Gemeinden (StHG) verpflichten, wie es das Bundesgesetz vorsieht.</w:t>
      </w:r>
    </w:p>
    <w:p w14:paraId="3976CBF7" w14:textId="5BA3CBDE" w:rsidR="001C153A" w:rsidRDefault="00525525" w:rsidP="00543D59">
      <w:pPr>
        <w:pStyle w:val="07atexteprincipal"/>
      </w:pPr>
      <w:r>
        <w:t>Innerhalb der Schweizer Kantone haben die Kantone Appenzell Innerrhoden</w:t>
      </w:r>
      <w:r>
        <w:rPr>
          <w:rStyle w:val="Appelnotedebasdep"/>
        </w:rPr>
        <w:footnoteReference w:id="2"/>
      </w:r>
      <w:r>
        <w:t>, Genf</w:t>
      </w:r>
      <w:r>
        <w:rPr>
          <w:rStyle w:val="Appelnotedebasdep"/>
        </w:rPr>
        <w:footnoteReference w:id="3"/>
      </w:r>
      <w:r>
        <w:t>, Neuenburg</w:t>
      </w:r>
      <w:r>
        <w:rPr>
          <w:rStyle w:val="Appelnotedebasdep"/>
        </w:rPr>
        <w:footnoteReference w:id="4"/>
      </w:r>
      <w:r>
        <w:t xml:space="preserve"> und Waadt</w:t>
      </w:r>
      <w:r>
        <w:rPr>
          <w:rStyle w:val="Appelnotedebasdep"/>
        </w:rPr>
        <w:footnoteReference w:id="5"/>
      </w:r>
      <w:r>
        <w:t xml:space="preserve"> bereits Änderungen ihrer kantonalen Gesetzgebung vorgenommen, die sich an Artikel 142 Abs.</w:t>
      </w:r>
      <w:r w:rsidR="00CF289D">
        <w:t xml:space="preserve"> 1</w:t>
      </w:r>
      <w:r>
        <w:rPr>
          <w:vertAlign w:val="superscript"/>
        </w:rPr>
        <w:t>bis</w:t>
      </w:r>
      <w:r>
        <w:t xml:space="preserve"> ZPO orientieren.</w:t>
      </w:r>
    </w:p>
    <w:p w14:paraId="1D7B8365" w14:textId="54D852A6" w:rsidR="00E8591D" w:rsidRDefault="000C5192" w:rsidP="000C5192">
      <w:pPr>
        <w:pStyle w:val="07atexteprincipal"/>
      </w:pPr>
      <w:r>
        <w:t xml:space="preserve">Es ist daher angebracht, die Bestimmungen des VRG zur Berechnung der Fristen an die Bestimmungen des Bundes anzupassen. Da diese im Bereich des Verwaltungsverfahrens das Problem der A-Post Plus Sendungen und das der Einschreiben gemeinsam behandeln (vgl. </w:t>
      </w:r>
      <w:r w:rsidR="004402ED">
        <w:t>neuer</w:t>
      </w:r>
      <w:r>
        <w:t xml:space="preserve"> Art. 20 Abs.</w:t>
      </w:r>
      <w:r w:rsidR="00C81FF6">
        <w:t xml:space="preserve"> </w:t>
      </w:r>
      <w:r w:rsidRPr="00266249">
        <w:t>2</w:t>
      </w:r>
      <w:r>
        <w:rPr>
          <w:vertAlign w:val="superscript"/>
        </w:rPr>
        <w:t>bis</w:t>
      </w:r>
      <w:r>
        <w:t xml:space="preserve"> VwVG), übernimmt der </w:t>
      </w:r>
      <w:r w:rsidR="00F02072">
        <w:t>Vore</w:t>
      </w:r>
      <w:r>
        <w:t>ntwurf dieses Modell.</w:t>
      </w:r>
    </w:p>
    <w:p w14:paraId="266C8A2B" w14:textId="17C05D01" w:rsidR="000C5192" w:rsidRDefault="000C5192" w:rsidP="000C5192">
      <w:pPr>
        <w:pStyle w:val="07atexteprincipal"/>
      </w:pPr>
      <w:r>
        <w:t xml:space="preserve">Für die übrigen kantonalen Gesetze gelten die Bestimmungen zur Zustellung </w:t>
      </w:r>
      <w:r w:rsidR="00C81FF6">
        <w:t xml:space="preserve">im VRG grundsätzlich </w:t>
      </w:r>
      <w:r>
        <w:t>automatisch, ohne dass dies ausdrücklich erwähnt werden muss, entweder aufgrund eines ausdrücklichen Verweises auf dieses Gesetz oder, wenn ein solcher Verweis fehlt, aufgrund der Tatsache, dass das VRG automatisch und von sich aus für alle Verwaltungsverfahren und die Verwaltungsrechtspflege gilt.</w:t>
      </w:r>
    </w:p>
    <w:p w14:paraId="2CFD4A3F" w14:textId="35C12C2E" w:rsidR="000C5192" w:rsidRDefault="000C5192" w:rsidP="000C5192">
      <w:pPr>
        <w:pStyle w:val="07atexteprincipal"/>
      </w:pPr>
      <w:r>
        <w:t>Eine eingehende Analyse der Freiburger Gesetzgebung hat jedoch gezeigt, dass das Gesetz über das Grundbuch (</w:t>
      </w:r>
      <w:hyperlink r:id="rId18" w:history="1">
        <w:r>
          <w:rPr>
            <w:rStyle w:val="Lienhypertexte"/>
          </w:rPr>
          <w:t>SGF 214.5.1</w:t>
        </w:r>
      </w:hyperlink>
      <w:r>
        <w:t>; GBG) eine Ausnahme bildet, da es über einen eigenen Artikel zu der Berechnung der Fristen verfügt. Aus diesem Grund muss dieses Gesetz ebenfalls geändert werden.</w:t>
      </w:r>
    </w:p>
    <w:p w14:paraId="0C161653" w14:textId="77777777" w:rsidR="00543D59" w:rsidRDefault="000C5192" w:rsidP="00543D59">
      <w:pPr>
        <w:pStyle w:val="07atexteprincipal"/>
      </w:pPr>
      <w:r>
        <w:t xml:space="preserve">Das Gesetz über die Ausübung der politischen Rechte (PRG) muss hingegen nicht geändert werden, obwohl es ebenfalls über ein eigenes System zur Berechnung von Fristen verfügt. Dies wurde in einem Austausch mit der Direktion der Institutionen und der Land- und Forstwirtschaft, die für dieses Gesetz zuständig ist, bestätigt. Das spezielle System zur Berechnung der Fristen gemäss Artikel 144a PRG betrifft ausschliesslich bestimmte Vorgänge, die gemäss PRG durchgeführt werden (Einreichung von </w:t>
      </w:r>
      <w:r>
        <w:lastRenderedPageBreak/>
        <w:t>Listen, Initiativen, Referenden usw.), für die die Regeln für die Zustellung per Post keine direkte Bedeutung haben. Die Rechtsmittel bleiben hingegen den Bestimmungen des VRG unterworfen, einschliesslich derjenigen, die die Zustellungen betreffen (vgl. Art. 144a Abs. 4 sowie die verschiedenen Verweise in Art. 148 ff. PRG).</w:t>
      </w:r>
    </w:p>
    <w:p w14:paraId="466333E9" w14:textId="1D5BDBDE" w:rsidR="008B353B" w:rsidRPr="00B91BF3" w:rsidRDefault="008B353B" w:rsidP="008B353B">
      <w:pPr>
        <w:pStyle w:val="07atexteprincipal"/>
        <w:rPr>
          <w:rFonts w:eastAsia="Calibri"/>
          <w:lang w:eastAsia="en-US"/>
        </w:rPr>
      </w:pPr>
      <w:r>
        <w:t xml:space="preserve">Schliesslich erfordert das Bundesgesetz über die Zustellung von Sendungen an Wochenenden und Feiertagen zwar eine Änderung des Bundesgesetzes über die Harmonisierung der direkten Steuern der Kantone und Gemeinden (StHG), doch </w:t>
      </w:r>
      <w:r w:rsidR="00C81FF6">
        <w:t xml:space="preserve">muss </w:t>
      </w:r>
      <w:r>
        <w:t>das DStG nicht angepasst werden, insbesondere aufgrund von Artikel 182 DStG, der bereits auf die Verfahrensvorschriften des VRG verweist.</w:t>
      </w:r>
    </w:p>
    <w:p w14:paraId="66CB4F9A" w14:textId="77777777" w:rsidR="00051411" w:rsidRPr="00543D59" w:rsidRDefault="00CA7D67" w:rsidP="00543D59">
      <w:pPr>
        <w:pStyle w:val="Titre1"/>
      </w:pPr>
      <w:bookmarkStart w:id="3" w:name="_Toc224136672"/>
      <w:r>
        <w:t>Kommentare zu den Bestimmungen</w:t>
      </w:r>
      <w:bookmarkEnd w:id="3"/>
    </w:p>
    <w:p w14:paraId="20B9BE9C" w14:textId="77777777" w:rsidR="006F1789" w:rsidRDefault="006F1789" w:rsidP="006F1789">
      <w:pPr>
        <w:pStyle w:val="Titre2"/>
      </w:pPr>
      <w:bookmarkStart w:id="4" w:name="_Toc224136673"/>
      <w:r>
        <w:t>Art. 27 Abs. 1a VRG</w:t>
      </w:r>
      <w:bookmarkEnd w:id="4"/>
    </w:p>
    <w:p w14:paraId="10D21D39" w14:textId="02B45219" w:rsidR="00C02343" w:rsidRDefault="000F639C" w:rsidP="006F1789">
      <w:pPr>
        <w:pStyle w:val="07atexteprincipal"/>
      </w:pPr>
      <w:r>
        <w:t xml:space="preserve">Die Motionäre haben zu Recht ausdrücklich eine Änderung von Artikel 27 VRG bezüglich der Berechnung der Fristen gefordert. Nach dem derzeitigen Absatz 1 über den Beginn der Frist wird daher ein Absatz hinzugefügt. Dieser Absatz übernimmt den neuen Artikel 20 </w:t>
      </w:r>
      <w:r w:rsidR="00C81FF6">
        <w:t xml:space="preserve">Abs. </w:t>
      </w:r>
      <w:r w:rsidR="00A85E77">
        <w:t>2</w:t>
      </w:r>
      <w:r>
        <w:rPr>
          <w:vertAlign w:val="superscript"/>
        </w:rPr>
        <w:t>bis</w:t>
      </w:r>
      <w:r>
        <w:t xml:space="preserve"> B</w:t>
      </w:r>
      <w:r w:rsidR="00A85E77">
        <w:t>st.</w:t>
      </w:r>
      <w:r w:rsidR="00E851F0">
        <w:t xml:space="preserve"> </w:t>
      </w:r>
      <w:r>
        <w:t>b des Bundesgesetzes vom 20. Dezember 1968 über das Verwaltungsverfahren (</w:t>
      </w:r>
      <w:hyperlink r:id="rId19" w:history="1">
        <w:r>
          <w:rPr>
            <w:rStyle w:val="Lienhypertexte"/>
          </w:rPr>
          <w:t>VwVG</w:t>
        </w:r>
      </w:hyperlink>
      <w:r>
        <w:t>)</w:t>
      </w:r>
      <w:r w:rsidR="00C81FF6">
        <w:t xml:space="preserve"> mit einer geringfügigen Anpassung</w:t>
      </w:r>
      <w:r w:rsidR="00C81FF6" w:rsidRPr="00C81FF6">
        <w:t>, um den Bezug zu Absatz 1 herzustellen</w:t>
      </w:r>
      <w:r w:rsidR="00B11242">
        <w:t>.</w:t>
      </w:r>
    </w:p>
    <w:p w14:paraId="67B7D02C" w14:textId="55EF39F4" w:rsidR="008B353B" w:rsidRPr="006F1789" w:rsidRDefault="008B353B" w:rsidP="008B353B">
      <w:pPr>
        <w:pStyle w:val="07atexteprincipal"/>
      </w:pPr>
      <w:r>
        <w:t>Im Interesse der Kohärenz und der Information sowie um einen vollständigen Überblick über die Zustellungs</w:t>
      </w:r>
      <w:r w:rsidR="00E33C81">
        <w:t>vorschriften</w:t>
      </w:r>
      <w:r>
        <w:t xml:space="preserve"> für Sendungen per Post zu geben, ergänzt der Vorentwurf Artikel 27 </w:t>
      </w:r>
      <w:r w:rsidR="00C81FF6">
        <w:t xml:space="preserve">Abs. </w:t>
      </w:r>
      <w:r>
        <w:t xml:space="preserve">1a VRG, indem er die </w:t>
      </w:r>
      <w:r w:rsidR="00E33C81">
        <w:t>Abholfrist</w:t>
      </w:r>
      <w:r>
        <w:t xml:space="preserve"> von sieben Tagen für Sendungen festlegt, die gegen Unterschrift zugestellt werden. Es handelt sich um eine Rechtsfiktion, die zunächst durch die Rechtsprechung des Bundesgerichts definiert und anschliessend in verschiedenen Verfahrensgesetzen auf Bundesebene und in mehreren Kantonen kodifiziert wurde. Der Vorentwurf greift daher in diesem Punkt eine Formulierung auf, die im Wesentlichen derjenigen des neuen Artikels 20 Abs.</w:t>
      </w:r>
      <w:r w:rsidR="00E33C81">
        <w:t xml:space="preserve"> 2</w:t>
      </w:r>
      <w:r>
        <w:rPr>
          <w:vertAlign w:val="superscript"/>
        </w:rPr>
        <w:t>bis</w:t>
      </w:r>
      <w:r>
        <w:t xml:space="preserve"> </w:t>
      </w:r>
      <w:hyperlink r:id="rId20" w:history="1">
        <w:r w:rsidR="00935754">
          <w:rPr>
            <w:rStyle w:val="Lienhypertexte"/>
          </w:rPr>
          <w:t>VwVG</w:t>
        </w:r>
      </w:hyperlink>
      <w:r w:rsidR="00935754">
        <w:t xml:space="preserve"> </w:t>
      </w:r>
      <w:r>
        <w:t>entspricht.</w:t>
      </w:r>
    </w:p>
    <w:p w14:paraId="11BA183B" w14:textId="77777777" w:rsidR="006F1789" w:rsidRDefault="006F1789" w:rsidP="006F1789">
      <w:pPr>
        <w:pStyle w:val="Titre2"/>
      </w:pPr>
      <w:bookmarkStart w:id="5" w:name="_Toc224136674"/>
      <w:r>
        <w:t>Art. 68 Abs. 1a GBG</w:t>
      </w:r>
      <w:bookmarkEnd w:id="5"/>
    </w:p>
    <w:p w14:paraId="2B4046A8" w14:textId="19152316" w:rsidR="006F1789" w:rsidRPr="006F1789" w:rsidRDefault="00016C40" w:rsidP="006F1789">
      <w:pPr>
        <w:pStyle w:val="07atexteprincipal"/>
      </w:pPr>
      <w:r>
        <w:t xml:space="preserve">Das Gesetz über das Grundbuch (GBG) enthält eigene Vorschriften zur Berechnung von Fristen. Die Änderung von Artikel 68 durch die Schaffung eines Absatzes 1a </w:t>
      </w:r>
      <w:r w:rsidR="00303C27">
        <w:t>basiert auf</w:t>
      </w:r>
      <w:r w:rsidR="007363B9">
        <w:t xml:space="preserve"> den </w:t>
      </w:r>
      <w:r w:rsidR="00391865">
        <w:t>denselben</w:t>
      </w:r>
      <w:r w:rsidR="007363B9">
        <w:t xml:space="preserve"> Gründen </w:t>
      </w:r>
      <w:r>
        <w:t xml:space="preserve">wie die Änderung von Artikel 27 VRG. Es wird daher auf die </w:t>
      </w:r>
      <w:r>
        <w:rPr>
          <w:i/>
        </w:rPr>
        <w:t>obigen</w:t>
      </w:r>
      <w:r>
        <w:t xml:space="preserve"> Erläuterungen verwiesen.</w:t>
      </w:r>
    </w:p>
    <w:p w14:paraId="5BE36FD9" w14:textId="77777777" w:rsidR="00A50DFB" w:rsidRPr="00A50DFB" w:rsidRDefault="00EB12B8" w:rsidP="00543D59">
      <w:pPr>
        <w:pStyle w:val="Titre1"/>
      </w:pPr>
      <w:bookmarkStart w:id="6" w:name="_Toc224136675"/>
      <w:r>
        <w:t>Auswirkungen des Vorentwurfs</w:t>
      </w:r>
      <w:bookmarkEnd w:id="6"/>
    </w:p>
    <w:p w14:paraId="3F46C959" w14:textId="77777777" w:rsidR="00543D59" w:rsidRDefault="00EB12B8" w:rsidP="00543D59">
      <w:pPr>
        <w:pStyle w:val="07atexteprincipal"/>
      </w:pPr>
      <w:r>
        <w:t>Der Vorentwurf des Gesetzes hat keine finanziellen Auswirkungen im Falle von Zustellungen von Sendungen an Wochenenden oder Feiertagen. Es wird auch keine Auswirkungen auf das Personal geben.</w:t>
      </w:r>
    </w:p>
    <w:p w14:paraId="19A73C4B" w14:textId="1A4F7E79" w:rsidR="00845C3C" w:rsidRDefault="0075377E" w:rsidP="00845C3C">
      <w:pPr>
        <w:pStyle w:val="07atexteprincipal"/>
        <w:rPr>
          <w:bCs/>
        </w:rPr>
      </w:pPr>
      <w:r>
        <w:t xml:space="preserve">Der Vorentwurf des Gesetzes unterliegt nicht dem Finanzreferendum (Art. 46 Abs. 1 Bst. b </w:t>
      </w:r>
      <w:hyperlink r:id="rId21" w:history="1">
        <w:r>
          <w:rPr>
            <w:rStyle w:val="Lienhypertexte"/>
          </w:rPr>
          <w:t>KV</w:t>
        </w:r>
      </w:hyperlink>
      <w:r>
        <w:t>) und hat keine Auswirkungen auf die nachhaltige Entwicklung.</w:t>
      </w:r>
    </w:p>
    <w:p w14:paraId="3FC0BE5F" w14:textId="18B77A18" w:rsidR="005C4D98" w:rsidRPr="00D93233" w:rsidRDefault="007E5A4F" w:rsidP="005C4D98">
      <w:pPr>
        <w:pStyle w:val="07atexteprincipal"/>
      </w:pPr>
      <w:r>
        <w:t>Der Entwurf hat keine Auswirkungen auf die Aufgabenverteilung zwischen Staat und Gemeinden. Die Gemeinderätinnen und Gemeinderäte und Verwaltungs</w:t>
      </w:r>
      <w:r w:rsidR="007363B9">
        <w:t>stellen</w:t>
      </w:r>
      <w:r>
        <w:t xml:space="preserve"> der Gemeinden sowie andere Körperschaften des öffentlichen Rechts gelten jedoch als Verwaltungsbehörden im Sinne von Artikel 2 Absatz 1 Bst. b VRG. Die Gemeinden sind daher von dieser Änderung betroffen.</w:t>
      </w:r>
    </w:p>
    <w:p w14:paraId="60541408" w14:textId="77777777" w:rsidR="00C1496A" w:rsidRDefault="00543D59" w:rsidP="00543D59">
      <w:pPr>
        <w:pStyle w:val="Titre1"/>
      </w:pPr>
      <w:bookmarkStart w:id="7" w:name="_Toc224136676"/>
      <w:r>
        <w:t>Konformität mit dem übergeordneten Recht</w:t>
      </w:r>
      <w:bookmarkEnd w:id="7"/>
    </w:p>
    <w:p w14:paraId="149168BA" w14:textId="4F0D3E02" w:rsidR="003A6724" w:rsidRDefault="00EB12B8" w:rsidP="00845C3C">
      <w:pPr>
        <w:pStyle w:val="07atexteprincipal"/>
        <w:rPr>
          <w:bCs/>
        </w:rPr>
      </w:pPr>
      <w:r>
        <w:t xml:space="preserve">Der </w:t>
      </w:r>
      <w:r w:rsidR="00971CBC">
        <w:t>Gesetzesv</w:t>
      </w:r>
      <w:r>
        <w:t>orentwurf ist eine Übernahme des Bundesrechts, um die Vorschriften für die Zustellung von Sendungen zu harmonisieren. Es ist daher mit dem übergeordneten Recht vereinbar.</w:t>
      </w:r>
    </w:p>
    <w:sectPr w:rsidR="003A6724" w:rsidSect="0086240D">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701" w:right="851" w:bottom="851" w:left="851"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6473" w14:textId="77777777" w:rsidR="00574A18" w:rsidRPr="00A70C97" w:rsidRDefault="00574A18" w:rsidP="00A70C97">
      <w:pPr>
        <w:pStyle w:val="Pieddepage"/>
        <w:rPr>
          <w:b/>
        </w:rPr>
      </w:pPr>
      <w:r w:rsidRPr="00A70C97">
        <w:rPr>
          <w:b/>
        </w:rPr>
        <w:t>—</w:t>
      </w:r>
    </w:p>
    <w:p w14:paraId="34F585A4" w14:textId="77777777" w:rsidR="00574A18" w:rsidRDefault="00574A18"/>
    <w:p w14:paraId="4A14B3C7" w14:textId="77777777" w:rsidR="00574A18" w:rsidRDefault="00574A18"/>
  </w:endnote>
  <w:endnote w:type="continuationSeparator" w:id="0">
    <w:p w14:paraId="4E795169" w14:textId="77777777" w:rsidR="00574A18" w:rsidRPr="00A70C97" w:rsidRDefault="00574A18" w:rsidP="00A70C97">
      <w:pPr>
        <w:pStyle w:val="Pieddepage"/>
        <w:rPr>
          <w:b/>
        </w:rPr>
      </w:pPr>
      <w:r w:rsidRPr="00A70C97">
        <w:rPr>
          <w:b/>
        </w:rPr>
        <w:t>—</w:t>
      </w:r>
    </w:p>
    <w:p w14:paraId="1F350EE6" w14:textId="77777777" w:rsidR="00574A18" w:rsidRDefault="00574A18"/>
    <w:p w14:paraId="51895AA8" w14:textId="77777777" w:rsidR="00574A18" w:rsidRDefault="00574A18"/>
  </w:endnote>
  <w:endnote w:type="continuationNotice" w:id="1">
    <w:p w14:paraId="2EA4FAC3" w14:textId="77777777" w:rsidR="00574A18" w:rsidRPr="00A70C97" w:rsidRDefault="00574A18">
      <w:pPr>
        <w:spacing w:before="0" w:after="0" w:line="240" w:lineRule="auto"/>
        <w:rPr>
          <w:rFonts w:asciiTheme="majorHAnsi" w:hAnsiTheme="majorHAnsi" w:cstheme="majorHAnsi"/>
          <w:sz w:val="16"/>
          <w:szCs w:val="16"/>
        </w:rPr>
      </w:pPr>
    </w:p>
    <w:p w14:paraId="0A34E61B" w14:textId="77777777" w:rsidR="00574A18" w:rsidRDefault="00574A18"/>
    <w:p w14:paraId="2A6C566D" w14:textId="77777777" w:rsidR="00574A18" w:rsidRDefault="00574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106F" w14:textId="77777777" w:rsidR="00C90A0E" w:rsidRDefault="00771BD1" w:rsidP="00AD2B58">
    <w:pPr>
      <w:pStyle w:val="Pieddepage"/>
    </w:pPr>
    <w:r w:rsidRPr="00913B6D">
      <w:fldChar w:fldCharType="begin"/>
    </w:r>
    <w:r w:rsidRPr="00913B6D">
      <w:instrText xml:space="preserve"> PAGE  \* Arabic  \* MERGEFORMAT </w:instrText>
    </w:r>
    <w:r w:rsidRPr="00913B6D">
      <w:fldChar w:fldCharType="separate"/>
    </w:r>
    <w:r w:rsidR="00970383">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1D97" w14:textId="77777777" w:rsidR="00C90A0E" w:rsidRDefault="00771BD1" w:rsidP="009E7B88">
    <w:pPr>
      <w:pStyle w:val="Pieddepage"/>
      <w:jc w:val="right"/>
    </w:pPr>
    <w:r w:rsidRPr="003226C3">
      <w:fldChar w:fldCharType="begin"/>
    </w:r>
    <w:r w:rsidRPr="003226C3">
      <w:instrText xml:space="preserve"> PAGE  \* Arabic  \* MERGEFORMAT </w:instrText>
    </w:r>
    <w:r w:rsidRPr="003226C3">
      <w:fldChar w:fldCharType="separate"/>
    </w:r>
    <w:r w:rsidR="00970383">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AFC4" w14:textId="77777777" w:rsidR="00C90A0E" w:rsidRDefault="00874FE1" w:rsidP="009E7B88">
    <w:pPr>
      <w:pStyle w:val="Pieddepage"/>
      <w:jc w:val="right"/>
    </w:pPr>
    <w:r w:rsidRPr="003226C3">
      <w:fldChar w:fldCharType="begin"/>
    </w:r>
    <w:r w:rsidRPr="003226C3">
      <w:instrText xml:space="preserve"> PAGE  \* Arabic  \* MERGEFORMAT </w:instrText>
    </w:r>
    <w:r w:rsidRPr="003226C3">
      <w:fldChar w:fldCharType="separate"/>
    </w:r>
    <w:r w:rsidR="00970383">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1826" w14:textId="77777777" w:rsidR="00574A18" w:rsidRDefault="00574A18" w:rsidP="005507ED">
      <w:r>
        <w:separator/>
      </w:r>
    </w:p>
  </w:footnote>
  <w:footnote w:type="continuationSeparator" w:id="0">
    <w:p w14:paraId="669408E4" w14:textId="77777777" w:rsidR="00574A18" w:rsidRPr="00427DDB" w:rsidRDefault="00574A18" w:rsidP="00427DDB">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4678B9CE" w14:textId="77777777" w:rsidR="00574A18" w:rsidRPr="00A70C97" w:rsidRDefault="00574A18">
      <w:pPr>
        <w:spacing w:before="0" w:after="0" w:line="240" w:lineRule="auto"/>
        <w:rPr>
          <w:rFonts w:asciiTheme="majorHAnsi" w:hAnsiTheme="majorHAnsi" w:cstheme="majorHAnsi"/>
          <w:sz w:val="16"/>
          <w:szCs w:val="16"/>
        </w:rPr>
      </w:pPr>
    </w:p>
  </w:footnote>
  <w:footnote w:id="2">
    <w:p w14:paraId="59D96E93" w14:textId="02795235" w:rsidR="00525525" w:rsidRPr="00A10356" w:rsidRDefault="00525525" w:rsidP="00525525">
      <w:pPr>
        <w:pStyle w:val="Notedebasdepage"/>
      </w:pPr>
      <w:r>
        <w:rPr>
          <w:rStyle w:val="Appelnotedebasdep"/>
        </w:rPr>
        <w:footnoteRef/>
      </w:r>
      <w:r>
        <w:t xml:space="preserve"> AI: </w:t>
      </w:r>
      <w:hyperlink r:id="rId1" w:history="1">
        <w:r w:rsidR="00C81FF6">
          <w:rPr>
            <w:rStyle w:val="Lienhypertexte"/>
          </w:rPr>
          <w:t>GS 172.700</w:t>
        </w:r>
      </w:hyperlink>
      <w:r>
        <w:t xml:space="preserve"> Gesetz über den Fristenlauf (FriG).</w:t>
      </w:r>
    </w:p>
  </w:footnote>
  <w:footnote w:id="3">
    <w:p w14:paraId="0573E5A2" w14:textId="6695AE2B" w:rsidR="00525525" w:rsidRPr="00211DD8" w:rsidRDefault="00525525" w:rsidP="00525525">
      <w:pPr>
        <w:pStyle w:val="Notedebasdepage"/>
        <w:rPr>
          <w:lang w:val="fr-CH"/>
        </w:rPr>
      </w:pPr>
      <w:r>
        <w:rPr>
          <w:rStyle w:val="Appelnotedebasdep"/>
        </w:rPr>
        <w:footnoteRef/>
      </w:r>
      <w:r w:rsidRPr="00211DD8">
        <w:rPr>
          <w:lang w:val="fr-CH"/>
        </w:rPr>
        <w:t xml:space="preserve"> GE: </w:t>
      </w:r>
      <w:hyperlink r:id="rId2" w:history="1">
        <w:r w:rsidR="00C81FF6" w:rsidRPr="00266249">
          <w:rPr>
            <w:lang w:val="fr-CH"/>
          </w:rPr>
          <w:t xml:space="preserve"> </w:t>
        </w:r>
        <w:r w:rsidR="00AB4CF6">
          <w:rPr>
            <w:rStyle w:val="Lienhypertexte"/>
            <w:lang w:val="fr-CH"/>
          </w:rPr>
          <w:t>rsGE</w:t>
        </w:r>
        <w:r w:rsidRPr="00211DD8">
          <w:rPr>
            <w:rStyle w:val="Lienhypertexte"/>
            <w:lang w:val="fr-CH"/>
          </w:rPr>
          <w:t xml:space="preserve"> A 2 30</w:t>
        </w:r>
      </w:hyperlink>
      <w:r w:rsidRPr="00211DD8">
        <w:rPr>
          <w:lang w:val="fr-CH"/>
        </w:rPr>
        <w:t xml:space="preserve"> Loi sur la computation des délais échéant un samedi (LDélais) ; </w:t>
      </w:r>
      <w:hyperlink r:id="rId3" w:history="1">
        <w:r w:rsidR="00AB4CF6" w:rsidRPr="00AB4CF6">
          <w:rPr>
            <w:rStyle w:val="Lienhypertexte"/>
            <w:lang w:val="fr-CH"/>
          </w:rPr>
          <w:t>rs</w:t>
        </w:r>
        <w:r w:rsidR="00AB4CF6">
          <w:rPr>
            <w:rStyle w:val="Lienhypertexte"/>
            <w:lang w:val="fr-CH"/>
          </w:rPr>
          <w:t>GE</w:t>
        </w:r>
        <w:r w:rsidRPr="00211DD8">
          <w:rPr>
            <w:rStyle w:val="Lienhypertexte"/>
            <w:lang w:val="fr-CH"/>
          </w:rPr>
          <w:t xml:space="preserve"> D 03 5</w:t>
        </w:r>
      </w:hyperlink>
      <w:r w:rsidRPr="00211DD8">
        <w:rPr>
          <w:lang w:val="fr-CH"/>
        </w:rPr>
        <w:t xml:space="preserve"> Loi générale sur les contributions publiques (LCP) ; </w:t>
      </w:r>
      <w:hyperlink r:id="rId4" w:history="1">
        <w:r w:rsidR="00AB4CF6">
          <w:rPr>
            <w:rStyle w:val="Lienhypertexte"/>
            <w:lang w:val="fr-CH"/>
          </w:rPr>
          <w:t>rsGE</w:t>
        </w:r>
        <w:r w:rsidRPr="00211DD8">
          <w:rPr>
            <w:rStyle w:val="Lienhypertexte"/>
            <w:lang w:val="fr-CH"/>
          </w:rPr>
          <w:t xml:space="preserve"> D 3 17</w:t>
        </w:r>
      </w:hyperlink>
      <w:r w:rsidRPr="00211DD8">
        <w:rPr>
          <w:lang w:val="fr-CH"/>
        </w:rPr>
        <w:t xml:space="preserve"> Loi de procédure fiscale (LPFisc) et </w:t>
      </w:r>
      <w:hyperlink r:id="rId5" w:history="1">
        <w:r w:rsidR="00AB4CF6">
          <w:rPr>
            <w:rStyle w:val="Lienhypertexte"/>
            <w:lang w:val="fr-CH"/>
          </w:rPr>
          <w:t>rsGE</w:t>
        </w:r>
        <w:r w:rsidRPr="00211DD8">
          <w:rPr>
            <w:rStyle w:val="Lienhypertexte"/>
            <w:lang w:val="fr-CH"/>
          </w:rPr>
          <w:t xml:space="preserve"> E 5 10</w:t>
        </w:r>
      </w:hyperlink>
      <w:r w:rsidRPr="00211DD8">
        <w:rPr>
          <w:lang w:val="fr-CH"/>
        </w:rPr>
        <w:t xml:space="preserve"> Loi sur la procédure administrative (LPA).</w:t>
      </w:r>
    </w:p>
  </w:footnote>
  <w:footnote w:id="4">
    <w:p w14:paraId="4A3D1E5D" w14:textId="27C52530" w:rsidR="00525525" w:rsidRPr="00211DD8" w:rsidRDefault="00525525" w:rsidP="00525525">
      <w:pPr>
        <w:pStyle w:val="Notedebasdepage"/>
        <w:rPr>
          <w:lang w:val="fr-CH"/>
        </w:rPr>
      </w:pPr>
      <w:r>
        <w:rPr>
          <w:rStyle w:val="Appelnotedebasdep"/>
        </w:rPr>
        <w:footnoteRef/>
      </w:r>
      <w:r w:rsidRPr="00211DD8">
        <w:rPr>
          <w:lang w:val="fr-CH"/>
        </w:rPr>
        <w:t xml:space="preserve"> NE: </w:t>
      </w:r>
      <w:hyperlink r:id="rId6" w:history="1">
        <w:r w:rsidR="00C81FF6">
          <w:rPr>
            <w:rStyle w:val="Lienhypertexte"/>
            <w:lang w:val="fr-CH"/>
          </w:rPr>
          <w:t>RS</w:t>
        </w:r>
        <w:r w:rsidR="0088200F">
          <w:rPr>
            <w:rStyle w:val="Lienhypertexte"/>
            <w:lang w:val="fr-CH"/>
          </w:rPr>
          <w:t>N</w:t>
        </w:r>
        <w:r w:rsidR="00C81FF6" w:rsidRPr="00211DD8">
          <w:rPr>
            <w:rStyle w:val="Lienhypertexte"/>
            <w:lang w:val="fr-CH"/>
          </w:rPr>
          <w:t xml:space="preserve"> 152.130</w:t>
        </w:r>
      </w:hyperlink>
      <w:r w:rsidRPr="00211DD8">
        <w:rPr>
          <w:lang w:val="fr-CH"/>
        </w:rPr>
        <w:t xml:space="preserve"> Loi sur la procédure administrative (LPA).</w:t>
      </w:r>
    </w:p>
  </w:footnote>
  <w:footnote w:id="5">
    <w:p w14:paraId="25C2BD90" w14:textId="67DB6D79" w:rsidR="00525525" w:rsidRPr="00211DD8" w:rsidRDefault="00525525" w:rsidP="00525525">
      <w:pPr>
        <w:pStyle w:val="Notedebasdepage"/>
        <w:rPr>
          <w:lang w:val="fr-CH"/>
        </w:rPr>
      </w:pPr>
      <w:r>
        <w:rPr>
          <w:rStyle w:val="Appelnotedebasdep"/>
        </w:rPr>
        <w:footnoteRef/>
      </w:r>
      <w:r w:rsidRPr="00211DD8">
        <w:rPr>
          <w:lang w:val="fr-CH"/>
        </w:rPr>
        <w:t xml:space="preserve"> VD:</w:t>
      </w:r>
      <w:r w:rsidR="00C81FF6">
        <w:rPr>
          <w:lang w:val="fr-CH"/>
        </w:rPr>
        <w:t xml:space="preserve"> </w:t>
      </w:r>
      <w:hyperlink r:id="rId7" w:history="1">
        <w:r w:rsidR="005D3D3C" w:rsidRPr="005D3D3C">
          <w:rPr>
            <w:rStyle w:val="Lienhypertexte"/>
            <w:lang w:val="fr-CH"/>
          </w:rPr>
          <w:t>RS</w:t>
        </w:r>
        <w:r w:rsidR="00C81FF6" w:rsidRPr="00211DD8">
          <w:rPr>
            <w:rStyle w:val="Lienhypertexte"/>
            <w:lang w:val="fr-CH"/>
          </w:rPr>
          <w:t xml:space="preserve"> 173.05</w:t>
        </w:r>
      </w:hyperlink>
      <w:r w:rsidRPr="00211DD8">
        <w:rPr>
          <w:lang w:val="fr-CH"/>
        </w:rPr>
        <w:t xml:space="preserve"> Loi sur la computation des délais comprenant un samedi (LSam) </w:t>
      </w:r>
      <w:r w:rsidR="00CF289D">
        <w:rPr>
          <w:lang w:val="fr-CH"/>
        </w:rPr>
        <w:t>und</w:t>
      </w:r>
      <w:r w:rsidRPr="00211DD8">
        <w:rPr>
          <w:lang w:val="fr-CH"/>
        </w:rPr>
        <w:t xml:space="preserve"> </w:t>
      </w:r>
      <w:hyperlink r:id="rId8" w:history="1">
        <w:r w:rsidR="004435B3" w:rsidRPr="004435B3">
          <w:rPr>
            <w:rStyle w:val="Lienhypertexte"/>
            <w:lang w:val="fr-CH"/>
          </w:rPr>
          <w:t>RS 173.36</w:t>
        </w:r>
      </w:hyperlink>
      <w:r w:rsidR="004435B3">
        <w:rPr>
          <w:lang w:val="fr-CH"/>
        </w:rPr>
        <w:t xml:space="preserve"> Loi sur la procédure administrative </w:t>
      </w:r>
      <w:r w:rsidRPr="00211DD8">
        <w:rPr>
          <w:lang w:val="fr-CH"/>
        </w:rPr>
        <w:t>(LPA-VD).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A371" w14:textId="77777777" w:rsidR="00C90A0E" w:rsidRPr="00C125C0" w:rsidRDefault="00C90A0E" w:rsidP="00110EA9">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CF18" w14:textId="77777777" w:rsidR="00C90A0E" w:rsidRPr="00C125C0" w:rsidRDefault="00C90A0E" w:rsidP="00110EA9">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D0818" w:rsidRPr="00FD0818" w14:paraId="4E02FBFF" w14:textId="77777777" w:rsidTr="00FC7F16">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595D4C" w14:textId="77777777" w:rsidR="00FD0818" w:rsidRPr="00FD0818" w:rsidRDefault="00FD0818" w:rsidP="00FD0818">
          <w:pPr>
            <w:keepNext/>
            <w:keepLines/>
            <w:spacing w:line="460" w:lineRule="atLeast"/>
            <w:contextualSpacing/>
            <w:rPr>
              <w:rFonts w:asciiTheme="majorHAnsi" w:eastAsiaTheme="majorEastAsia" w:hAnsiTheme="majorHAnsi" w:cstheme="majorBidi"/>
              <w:b w:val="0"/>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55B755F2" wp14:editId="75690B0A">
                <wp:simplePos x="0" y="0"/>
                <wp:positionH relativeFrom="page">
                  <wp:posOffset>0</wp:posOffset>
                </wp:positionH>
                <wp:positionV relativeFrom="page">
                  <wp:posOffset>8890</wp:posOffset>
                </wp:positionV>
                <wp:extent cx="935990" cy="795866"/>
                <wp:effectExtent l="25400" t="0" r="3810" b="0"/>
                <wp:wrapNone/>
                <wp:docPr id="11" name="Image 1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5D0D6B" w14:textId="77777777" w:rsidR="00FD0818" w:rsidRPr="00FD0818" w:rsidRDefault="00FD0818"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rPr>
          </w:pPr>
          <w:r>
            <w:rPr>
              <w:rFonts w:asciiTheme="majorHAnsi" w:eastAsiaTheme="majorEastAsia" w:hAnsiTheme="majorHAnsi" w:cstheme="majorBidi"/>
              <w:color w:val="auto"/>
              <w:kern w:val="32"/>
              <w:sz w:val="16"/>
            </w:rPr>
            <w:t>Conseil d’Etat</w:t>
          </w:r>
          <w:r>
            <w:rPr>
              <w:rFonts w:asciiTheme="majorHAnsi" w:eastAsiaTheme="majorEastAsia" w:hAnsiTheme="majorHAnsi" w:cstheme="majorBidi"/>
              <w:b w:val="0"/>
              <w:color w:val="auto"/>
              <w:kern w:val="32"/>
              <w:sz w:val="16"/>
            </w:rPr>
            <w:t xml:space="preserve"> CE</w:t>
          </w:r>
        </w:p>
        <w:p w14:paraId="4BD88F6C" w14:textId="77777777" w:rsidR="00FD0818" w:rsidRPr="00FD0818" w:rsidRDefault="00FD0818" w:rsidP="00FD0818">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rPr>
          </w:pPr>
          <w:r>
            <w:rPr>
              <w:rFonts w:asciiTheme="majorHAnsi" w:eastAsiaTheme="majorEastAsia" w:hAnsiTheme="majorHAnsi" w:cstheme="majorBidi"/>
              <w:color w:val="auto"/>
              <w:kern w:val="32"/>
              <w:sz w:val="16"/>
            </w:rPr>
            <w:t>Staatsrat</w:t>
          </w:r>
          <w:r>
            <w:rPr>
              <w:rFonts w:asciiTheme="majorHAnsi" w:eastAsiaTheme="majorEastAsia" w:hAnsiTheme="majorHAnsi" w:cstheme="majorBidi"/>
              <w:b w:val="0"/>
              <w:color w:val="auto"/>
              <w:kern w:val="32"/>
              <w:sz w:val="16"/>
            </w:rPr>
            <w:t xml:space="preserve"> SR</w:t>
          </w:r>
        </w:p>
      </w:tc>
    </w:tr>
  </w:tbl>
  <w:p w14:paraId="638A56B4" w14:textId="77777777" w:rsidR="00C90A0E" w:rsidRDefault="00C90A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1072A26"/>
    <w:multiLevelType w:val="multilevel"/>
    <w:tmpl w:val="9114329C"/>
    <w:numStyleLink w:val="EtatFRAnnexe"/>
  </w:abstractNum>
  <w:abstractNum w:abstractNumId="2" w15:restartNumberingAfterBreak="0">
    <w:nsid w:val="08C93A9E"/>
    <w:multiLevelType w:val="multilevel"/>
    <w:tmpl w:val="4B1A8D58"/>
    <w:numStyleLink w:val="EtatFRTitre"/>
  </w:abstractNum>
  <w:abstractNum w:abstractNumId="3" w15:restartNumberingAfterBreak="0">
    <w:nsid w:val="0D971D9D"/>
    <w:multiLevelType w:val="multilevel"/>
    <w:tmpl w:val="6E089A12"/>
    <w:name w:val="SITel Liste numérotée"/>
    <w:numStyleLink w:val="EtatFRNumrotation"/>
  </w:abstractNum>
  <w:abstractNum w:abstractNumId="4" w15:restartNumberingAfterBreak="0">
    <w:nsid w:val="0EA62DB8"/>
    <w:multiLevelType w:val="multilevel"/>
    <w:tmpl w:val="C812CDBA"/>
    <w:numStyleLink w:val="EtatFRPuces"/>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8"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9" w15:restartNumberingAfterBreak="0">
    <w:nsid w:val="1BCA4211"/>
    <w:multiLevelType w:val="hybridMultilevel"/>
    <w:tmpl w:val="9D042E2E"/>
    <w:lvl w:ilvl="0" w:tplc="0DB068B8">
      <w:start w:val="1"/>
      <w:numFmt w:val="lowerLetter"/>
      <w:pStyle w:val="Listealphabtique"/>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1" w15:restartNumberingAfterBreak="0">
    <w:nsid w:val="1E554843"/>
    <w:multiLevelType w:val="multilevel"/>
    <w:tmpl w:val="6E089A12"/>
    <w:name w:val="SITel Liste numérotée2"/>
    <w:numStyleLink w:val="EtatFRNumrotation"/>
  </w:abstractNum>
  <w:abstractNum w:abstractNumId="12" w15:restartNumberingAfterBreak="0">
    <w:nsid w:val="244946CA"/>
    <w:multiLevelType w:val="multilevel"/>
    <w:tmpl w:val="6E089A12"/>
    <w:name w:val="SITel Liste numérotée22"/>
    <w:numStyleLink w:val="EtatFRNumrotation"/>
  </w:abstractNum>
  <w:abstractNum w:abstractNumId="13" w15:restartNumberingAfterBreak="0">
    <w:nsid w:val="26BC24A9"/>
    <w:multiLevelType w:val="multilevel"/>
    <w:tmpl w:val="6E089A12"/>
    <w:name w:val="SITel Liste numérotée3"/>
    <w:numStyleLink w:val="EtatFRNumrotation"/>
  </w:abstractNum>
  <w:abstractNum w:abstractNumId="14"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5"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6A7442"/>
    <w:multiLevelType w:val="multilevel"/>
    <w:tmpl w:val="C812CDBA"/>
    <w:numStyleLink w:val="EtatFRPuces"/>
  </w:abstractNum>
  <w:abstractNum w:abstractNumId="17" w15:restartNumberingAfterBreak="0">
    <w:nsid w:val="3FF139E0"/>
    <w:multiLevelType w:val="multilevel"/>
    <w:tmpl w:val="6E089A12"/>
    <w:numStyleLink w:val="EtatFRNumrotation"/>
  </w:abstractNum>
  <w:abstractNum w:abstractNumId="18" w15:restartNumberingAfterBreak="0">
    <w:nsid w:val="4AD33EFC"/>
    <w:multiLevelType w:val="multilevel"/>
    <w:tmpl w:val="02280202"/>
    <w:numStyleLink w:val="EtatFRNumrotationhirarchique"/>
  </w:abstractNum>
  <w:abstractNum w:abstractNumId="19"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4A0AF0"/>
    <w:multiLevelType w:val="hybridMultilevel"/>
    <w:tmpl w:val="4AE8150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D8E3644"/>
    <w:multiLevelType w:val="multilevel"/>
    <w:tmpl w:val="C812CDBA"/>
    <w:numStyleLink w:val="EtatFRPuces"/>
  </w:abstractNum>
  <w:abstractNum w:abstractNumId="22" w15:restartNumberingAfterBreak="0">
    <w:nsid w:val="74BE68D6"/>
    <w:multiLevelType w:val="multilevel"/>
    <w:tmpl w:val="6E089A12"/>
    <w:numStyleLink w:val="EtatFRNumrotation"/>
  </w:abstractNum>
  <w:abstractNum w:abstractNumId="23" w15:restartNumberingAfterBreak="0">
    <w:nsid w:val="7A072877"/>
    <w:multiLevelType w:val="multilevel"/>
    <w:tmpl w:val="6E089A12"/>
    <w:numStyleLink w:val="EtatFRNumrotation"/>
  </w:abstractNum>
  <w:abstractNum w:abstractNumId="24" w15:restartNumberingAfterBreak="0">
    <w:nsid w:val="7B2916EA"/>
    <w:multiLevelType w:val="multilevel"/>
    <w:tmpl w:val="C812CDBA"/>
    <w:numStyleLink w:val="EtatFRPuces"/>
  </w:abstractNum>
  <w:num w:numId="1" w16cid:durableId="911549334">
    <w:abstractNumId w:val="7"/>
  </w:num>
  <w:num w:numId="2" w16cid:durableId="1461532308">
    <w:abstractNumId w:val="5"/>
  </w:num>
  <w:num w:numId="3" w16cid:durableId="1087113003">
    <w:abstractNumId w:val="10"/>
  </w:num>
  <w:num w:numId="4" w16cid:durableId="953092821">
    <w:abstractNumId w:val="14"/>
  </w:num>
  <w:num w:numId="5" w16cid:durableId="866791554">
    <w:abstractNumId w:val="6"/>
  </w:num>
  <w:num w:numId="6" w16cid:durableId="477648285">
    <w:abstractNumId w:val="8"/>
  </w:num>
  <w:num w:numId="7" w16cid:durableId="1748991327">
    <w:abstractNumId w:val="17"/>
  </w:num>
  <w:num w:numId="8" w16cid:durableId="102120199">
    <w:abstractNumId w:val="4"/>
  </w:num>
  <w:num w:numId="9" w16cid:durableId="1691031566">
    <w:abstractNumId w:val="2"/>
  </w:num>
  <w:num w:numId="10" w16cid:durableId="274870602">
    <w:abstractNumId w:val="1"/>
  </w:num>
  <w:num w:numId="11" w16cid:durableId="1978951079">
    <w:abstractNumId w:val="18"/>
  </w:num>
  <w:num w:numId="12" w16cid:durableId="1407024335">
    <w:abstractNumId w:val="23"/>
  </w:num>
  <w:num w:numId="13" w16cid:durableId="1069185000">
    <w:abstractNumId w:val="22"/>
  </w:num>
  <w:num w:numId="14" w16cid:durableId="593515476">
    <w:abstractNumId w:val="21"/>
  </w:num>
  <w:num w:numId="15" w16cid:durableId="1055543966">
    <w:abstractNumId w:val="19"/>
  </w:num>
  <w:num w:numId="16" w16cid:durableId="785587733">
    <w:abstractNumId w:val="15"/>
  </w:num>
  <w:num w:numId="17" w16cid:durableId="300162250">
    <w:abstractNumId w:val="16"/>
  </w:num>
  <w:num w:numId="18" w16cid:durableId="467746288">
    <w:abstractNumId w:val="0"/>
  </w:num>
  <w:num w:numId="19" w16cid:durableId="1063874700">
    <w:abstractNumId w:val="24"/>
  </w:num>
  <w:num w:numId="20" w16cid:durableId="441148323">
    <w:abstractNumId w:val="20"/>
  </w:num>
  <w:num w:numId="21" w16cid:durableId="241305063">
    <w:abstractNumId w:val="9"/>
  </w:num>
  <w:num w:numId="22" w16cid:durableId="100409499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Script1_Path" w:val="Dokument"/>
    <w:docVar w:name="MetaTool_Script1_Report" w:val="using System;_x000d__x000a_using CMI.MetaTool.Generated;_x000d__x000a_using CMI.DomainModel;_x000d__x000a__x000d__x000a_namespace CMI.MetaTool.Generated.TemplateScript_x000d__x000a_{_x000d__x000a__x0009_public class TemplateScript_x000d__x000a__x0009_{_x000d__x000a__x0009__x0009_public string GetAuthors(Geschaeft geschaeft)_x000d__x000a__x0009__x0009_{_x000d__x000a__x0009__x0009__x0009_string res = string.Empty;_x000d__x000a__x0009__x0009__x0009_if (geschaeft != null)_x000d__x000a__x0009__x0009__x0009_{_x000d__x000a__x0009__x0009__x0009__x0009_if (geschaeft.Beteiligungen != null &amp;&amp; geschaeft.Beteiligungen.Length != 0)_x000d__x000a__x0009__x0009__x0009__x0009_{_x000d__x000a__x0009__x0009__x0009__x0009__x0009_foreach (Beteiligung beteiligung in geschaeft.Beteiligungen)_x000d__x000a__x0009__x0009__x0009__x0009__x0009_{_x000d__x000a__x0009__x0009__x0009__x0009__x0009__x0009_if (beteiligung.Rolle != null)_x000d__x000a__x0009__x0009__x0009__x0009__x0009__x0009_{_x000d__x000a__x0009__x0009__x0009__x0009__x0009__x0009__x0009_if (&quot;auteur,auteure,auteur-e&quot;.Contains(beteiligung.Rolle.Bezeichnung.ToString().ToLower()))_x000d__x000a__x0009__x0009__x0009__x0009__x0009__x0009__x0009_{_x000d__x000a__x0009__x0009__x0009__x0009__x0009__x0009__x0009__x0009_if (res != string.Empty)_x000d__x000a__x0009__x0009__x0009__x0009__x0009__x0009__x0009__x0009_{_x000d__x000a__x0009__x0009__x0009__x0009__x0009__x0009__x0009__x0009__x0009_res += &quot; / &quot;;_x000d__x000a__x0009__x0009__x0009__x0009__x0009__x0009__x0009__x0009_}_x000d__x000a__x0009__x0009__x0009__x0009__x0009__x0009__x0009__x0009_res += string.Format(&quot;{0} {1}&quot;,beteiligung.Kontakt.Name,beteiligung.Kontakt.Vorname);_x000d__x000a__x0009__x0009__x0009__x0009__x0009__x0009__x0009_}_x000d__x000a__x000d__x000a__x0009__x0009__x0009__x0009__x0009__x0009_}_x000d__x000a__x0009__x0009__x0009__x0009__x0009_}_x000d__x000a__x0009__x0009__x0009__x0009_} else_x000d__x000a__x0009__x0009__x0009__x0009_{_x000d__x000a__x0009__x0009__x0009__x0009__x0009_return &quot;-&quot;;_x000d__x000a__x0009__x0009__x0009__x0009_}_x000d__x000a__x0009__x0009__x0009_} else_x000d__x000a__x0009__x0009__x0009_{_x000d__x000a__x0009__x0009__x0009__x0009_return &quot;-&quot;;_x000d__x000a__x0009__x0009__x0009_}_x000d__x000a__x0009__x0009__x0009_return res;_x000d__x000a__x0009__x0009_}_x000d__x000a__x0009__x0009__x000d__x000a__x0009__x0009_public string Eval(Dokument obj)_x000d__x000a__x0009__x0009_{_x000d__x000a__x0009__x0009__x0009_string res = string.Empty;_x000d__x000a__x0009__x0009__x0009_Geschaeft geschaeft = obj.Geschaeft as Geschaeft;_x000d__x000a__x0009__x0009__x0009_if (geschaeft != null)_x000d__x000a__x0009__x0009__x0009_{_x000d__x000a__x0009__x0009__x0009__x0009_Geschaeft verweis = null;_x000d__x000a__x0009__x0009__x0009__x0009_if (geschaeft.VerweisVon != null &amp;&amp; geschaeft.VerweisVon.Length != 0)_x000d__x000a__x0009__x0009__x0009__x0009_{_x000d__x000a__x0009__x0009__x0009__x0009__x0009_verweis = geschaeft.VerweisVon[0] as Geschaeft;_x000d__x000a__x0009__x0009__x0009__x0009_} else if (geschaeft.VerweisZu != null &amp;&amp; geschaeft.VerweisZu.Length != 0)_x000d__x000a__x0009__x0009__x0009__x0009_{_x000d__x000a__x0009__x0009__x0009__x0009__x0009_verweis = geschaeft.VerweisZu[0] as Geschaeft;_x000d__x000a__x0009__x0009__x0009__x0009_}_x000d__x000a__x0009__x0009__x0009__x0009_if (verweis != null)_x000d__x000a__x0009__x0009__x0009__x0009_{_x000d__x000a__x0009__x0009__x0009__x0009__x0009_res = string.Format(&quot;{0} {1} {2}&quot;,verweis.CustomGeschaeftsart,verweis.Signatur,GetAuthors(verweis));_x000d__x000a__x0009__x0009__x0009__x0009__x0009__x000d__x000a__x0009__x0009__x0009__x0009_} else_x000d__x000a__x0009__x0009__x0009__x0009_{_x000d__x000a__x0009__x0009__x0009__x0009__x0009_return &quot;FEHLER: Geschäft in welchem das Dokument sich befindet enthält keine Verweise&quot;;_x000d__x000a__x0009__x0009__x0009__x0009_}_x000d__x000a__x0009__x0009__x0009__x0009__x000d__x000a__x0009__x0009__x0009_} else_x000d__x000a__x0009__x0009__x0009_{_x000d__x000a__x0009__x0009__x0009__x0009_// Kein Geschäft, was soll passieren?_x000d__x000a__x0009__x0009__x0009__x0009_return &quot;#FEHLER: Dokumentskript funktioniert nur mit Geschäften&quot;;_x000d__x000a__x0009__x0009__x0009_}_x000d__x000a__x0009__x0009__x0009_return res;_x000d__x000a__x0009__x0009_}_x000d__x000a__x0009_}_x000d__x000a_}_x000d__x000a_"/>
    <w:docVar w:name="MetaTool_TypeDefinition" w:val="Dokument"/>
  </w:docVars>
  <w:rsids>
    <w:rsidRoot w:val="00DF45CB"/>
    <w:rsid w:val="000000BC"/>
    <w:rsid w:val="00001CCE"/>
    <w:rsid w:val="0000462C"/>
    <w:rsid w:val="00004A5C"/>
    <w:rsid w:val="00006105"/>
    <w:rsid w:val="0000757B"/>
    <w:rsid w:val="00010995"/>
    <w:rsid w:val="00011BBB"/>
    <w:rsid w:val="00016C40"/>
    <w:rsid w:val="00016DB7"/>
    <w:rsid w:val="00017FBF"/>
    <w:rsid w:val="00023BFD"/>
    <w:rsid w:val="00030A2B"/>
    <w:rsid w:val="00036420"/>
    <w:rsid w:val="00041B7A"/>
    <w:rsid w:val="0004664B"/>
    <w:rsid w:val="0004700E"/>
    <w:rsid w:val="00050646"/>
    <w:rsid w:val="00051411"/>
    <w:rsid w:val="0005174E"/>
    <w:rsid w:val="000547A1"/>
    <w:rsid w:val="00055BA8"/>
    <w:rsid w:val="00061312"/>
    <w:rsid w:val="00063E79"/>
    <w:rsid w:val="000646F4"/>
    <w:rsid w:val="000647A2"/>
    <w:rsid w:val="000662A9"/>
    <w:rsid w:val="00067C48"/>
    <w:rsid w:val="00070830"/>
    <w:rsid w:val="000712A5"/>
    <w:rsid w:val="0007194D"/>
    <w:rsid w:val="000740AC"/>
    <w:rsid w:val="0007458C"/>
    <w:rsid w:val="00075AFC"/>
    <w:rsid w:val="00076F29"/>
    <w:rsid w:val="0008755E"/>
    <w:rsid w:val="00091518"/>
    <w:rsid w:val="000949E5"/>
    <w:rsid w:val="00095452"/>
    <w:rsid w:val="000A002D"/>
    <w:rsid w:val="000B148F"/>
    <w:rsid w:val="000B252E"/>
    <w:rsid w:val="000B2C5D"/>
    <w:rsid w:val="000B48E4"/>
    <w:rsid w:val="000B4FF3"/>
    <w:rsid w:val="000B693C"/>
    <w:rsid w:val="000B7021"/>
    <w:rsid w:val="000C0235"/>
    <w:rsid w:val="000C191B"/>
    <w:rsid w:val="000C1CAD"/>
    <w:rsid w:val="000C410C"/>
    <w:rsid w:val="000C5192"/>
    <w:rsid w:val="000C5933"/>
    <w:rsid w:val="000C7D6F"/>
    <w:rsid w:val="000D27F7"/>
    <w:rsid w:val="000D2F2B"/>
    <w:rsid w:val="000D6C33"/>
    <w:rsid w:val="000D7BBA"/>
    <w:rsid w:val="000E149F"/>
    <w:rsid w:val="000E2E29"/>
    <w:rsid w:val="000E2EDD"/>
    <w:rsid w:val="000E2F96"/>
    <w:rsid w:val="000E3B9C"/>
    <w:rsid w:val="000E678E"/>
    <w:rsid w:val="000E6D29"/>
    <w:rsid w:val="000F0283"/>
    <w:rsid w:val="000F4514"/>
    <w:rsid w:val="000F639C"/>
    <w:rsid w:val="00100374"/>
    <w:rsid w:val="00102850"/>
    <w:rsid w:val="00102A8C"/>
    <w:rsid w:val="001032A6"/>
    <w:rsid w:val="0010498B"/>
    <w:rsid w:val="00110EA9"/>
    <w:rsid w:val="0011317E"/>
    <w:rsid w:val="001148A5"/>
    <w:rsid w:val="00115643"/>
    <w:rsid w:val="001178A7"/>
    <w:rsid w:val="00122D63"/>
    <w:rsid w:val="00123F07"/>
    <w:rsid w:val="00127D83"/>
    <w:rsid w:val="00131122"/>
    <w:rsid w:val="0013124B"/>
    <w:rsid w:val="00131D13"/>
    <w:rsid w:val="00132C62"/>
    <w:rsid w:val="0013472D"/>
    <w:rsid w:val="001362E9"/>
    <w:rsid w:val="00136568"/>
    <w:rsid w:val="00136AB3"/>
    <w:rsid w:val="001371C8"/>
    <w:rsid w:val="001375FC"/>
    <w:rsid w:val="001455AC"/>
    <w:rsid w:val="00145CA5"/>
    <w:rsid w:val="0014746C"/>
    <w:rsid w:val="001475EA"/>
    <w:rsid w:val="001507E7"/>
    <w:rsid w:val="00153133"/>
    <w:rsid w:val="0015386C"/>
    <w:rsid w:val="00154AB7"/>
    <w:rsid w:val="00154F0A"/>
    <w:rsid w:val="001619BC"/>
    <w:rsid w:val="0016797C"/>
    <w:rsid w:val="00171285"/>
    <w:rsid w:val="00173AE4"/>
    <w:rsid w:val="00177744"/>
    <w:rsid w:val="00181FE4"/>
    <w:rsid w:val="001852C8"/>
    <w:rsid w:val="00185ACC"/>
    <w:rsid w:val="00185CB9"/>
    <w:rsid w:val="00187961"/>
    <w:rsid w:val="001905EC"/>
    <w:rsid w:val="00196AE2"/>
    <w:rsid w:val="001A0990"/>
    <w:rsid w:val="001A0CD7"/>
    <w:rsid w:val="001A4CDB"/>
    <w:rsid w:val="001A57A7"/>
    <w:rsid w:val="001A62B6"/>
    <w:rsid w:val="001A6362"/>
    <w:rsid w:val="001A66D1"/>
    <w:rsid w:val="001B3079"/>
    <w:rsid w:val="001B379E"/>
    <w:rsid w:val="001C153A"/>
    <w:rsid w:val="001C4D67"/>
    <w:rsid w:val="001C4FDA"/>
    <w:rsid w:val="001C6711"/>
    <w:rsid w:val="001D0D8F"/>
    <w:rsid w:val="001D0DFD"/>
    <w:rsid w:val="001D0FB6"/>
    <w:rsid w:val="001D3F81"/>
    <w:rsid w:val="001E1066"/>
    <w:rsid w:val="001E1E5C"/>
    <w:rsid w:val="001E60A0"/>
    <w:rsid w:val="001F3362"/>
    <w:rsid w:val="001F52AB"/>
    <w:rsid w:val="00202293"/>
    <w:rsid w:val="00203D4D"/>
    <w:rsid w:val="002061C7"/>
    <w:rsid w:val="00211DD8"/>
    <w:rsid w:val="00215A7E"/>
    <w:rsid w:val="00217D2E"/>
    <w:rsid w:val="002201F4"/>
    <w:rsid w:val="002215CA"/>
    <w:rsid w:val="0022323E"/>
    <w:rsid w:val="00225936"/>
    <w:rsid w:val="00226103"/>
    <w:rsid w:val="002303AE"/>
    <w:rsid w:val="00234A75"/>
    <w:rsid w:val="002377E4"/>
    <w:rsid w:val="002378FE"/>
    <w:rsid w:val="002423A2"/>
    <w:rsid w:val="00242852"/>
    <w:rsid w:val="00243717"/>
    <w:rsid w:val="002452AA"/>
    <w:rsid w:val="00245847"/>
    <w:rsid w:val="00245929"/>
    <w:rsid w:val="002465D4"/>
    <w:rsid w:val="00254641"/>
    <w:rsid w:val="00254902"/>
    <w:rsid w:val="00255076"/>
    <w:rsid w:val="00255264"/>
    <w:rsid w:val="00260916"/>
    <w:rsid w:val="0026185F"/>
    <w:rsid w:val="00262398"/>
    <w:rsid w:val="00266249"/>
    <w:rsid w:val="00270D89"/>
    <w:rsid w:val="00273D21"/>
    <w:rsid w:val="00275394"/>
    <w:rsid w:val="00276BA6"/>
    <w:rsid w:val="00281CFE"/>
    <w:rsid w:val="002827D7"/>
    <w:rsid w:val="00283C8B"/>
    <w:rsid w:val="002848EF"/>
    <w:rsid w:val="00284B12"/>
    <w:rsid w:val="002862D9"/>
    <w:rsid w:val="00287D2F"/>
    <w:rsid w:val="002939F9"/>
    <w:rsid w:val="00295315"/>
    <w:rsid w:val="002A0616"/>
    <w:rsid w:val="002A164C"/>
    <w:rsid w:val="002A551A"/>
    <w:rsid w:val="002A67B0"/>
    <w:rsid w:val="002A6868"/>
    <w:rsid w:val="002B0136"/>
    <w:rsid w:val="002B0B26"/>
    <w:rsid w:val="002B2D80"/>
    <w:rsid w:val="002B4437"/>
    <w:rsid w:val="002B464F"/>
    <w:rsid w:val="002B4B4E"/>
    <w:rsid w:val="002B6114"/>
    <w:rsid w:val="002C0A4D"/>
    <w:rsid w:val="002C37BB"/>
    <w:rsid w:val="002C548A"/>
    <w:rsid w:val="002C5DCA"/>
    <w:rsid w:val="002C7D61"/>
    <w:rsid w:val="002D302D"/>
    <w:rsid w:val="002D3376"/>
    <w:rsid w:val="002D4703"/>
    <w:rsid w:val="002D4E6E"/>
    <w:rsid w:val="002E20D2"/>
    <w:rsid w:val="002E3AE3"/>
    <w:rsid w:val="002E3E0F"/>
    <w:rsid w:val="002F0BC1"/>
    <w:rsid w:val="002F1E3C"/>
    <w:rsid w:val="002F4379"/>
    <w:rsid w:val="002F44D4"/>
    <w:rsid w:val="002F483B"/>
    <w:rsid w:val="00300454"/>
    <w:rsid w:val="00303C27"/>
    <w:rsid w:val="00310205"/>
    <w:rsid w:val="0031099E"/>
    <w:rsid w:val="003127CC"/>
    <w:rsid w:val="003130DE"/>
    <w:rsid w:val="0031342F"/>
    <w:rsid w:val="00320A31"/>
    <w:rsid w:val="0032114D"/>
    <w:rsid w:val="00322100"/>
    <w:rsid w:val="003226C3"/>
    <w:rsid w:val="0032284F"/>
    <w:rsid w:val="00323F74"/>
    <w:rsid w:val="0032577C"/>
    <w:rsid w:val="00327735"/>
    <w:rsid w:val="00332821"/>
    <w:rsid w:val="003354B4"/>
    <w:rsid w:val="00336564"/>
    <w:rsid w:val="00337D0D"/>
    <w:rsid w:val="003425EB"/>
    <w:rsid w:val="0034353A"/>
    <w:rsid w:val="003437C7"/>
    <w:rsid w:val="003455E1"/>
    <w:rsid w:val="00346964"/>
    <w:rsid w:val="00346E97"/>
    <w:rsid w:val="003550E3"/>
    <w:rsid w:val="00356025"/>
    <w:rsid w:val="003577DC"/>
    <w:rsid w:val="003601B7"/>
    <w:rsid w:val="00362403"/>
    <w:rsid w:val="0036383D"/>
    <w:rsid w:val="003643F4"/>
    <w:rsid w:val="00366B12"/>
    <w:rsid w:val="0036756D"/>
    <w:rsid w:val="00367895"/>
    <w:rsid w:val="00373975"/>
    <w:rsid w:val="00375D4E"/>
    <w:rsid w:val="0037650B"/>
    <w:rsid w:val="00377671"/>
    <w:rsid w:val="00380C14"/>
    <w:rsid w:val="003810D8"/>
    <w:rsid w:val="00381FC2"/>
    <w:rsid w:val="003821A7"/>
    <w:rsid w:val="00382B7F"/>
    <w:rsid w:val="00390B0A"/>
    <w:rsid w:val="0039163E"/>
    <w:rsid w:val="00391865"/>
    <w:rsid w:val="003949AA"/>
    <w:rsid w:val="00395719"/>
    <w:rsid w:val="003958CA"/>
    <w:rsid w:val="0039611E"/>
    <w:rsid w:val="003A02C1"/>
    <w:rsid w:val="003A188F"/>
    <w:rsid w:val="003A1D43"/>
    <w:rsid w:val="003A58A4"/>
    <w:rsid w:val="003A6724"/>
    <w:rsid w:val="003A73D4"/>
    <w:rsid w:val="003A769D"/>
    <w:rsid w:val="003B1ECC"/>
    <w:rsid w:val="003B1F9D"/>
    <w:rsid w:val="003B29F0"/>
    <w:rsid w:val="003B4DFE"/>
    <w:rsid w:val="003B6961"/>
    <w:rsid w:val="003B7A19"/>
    <w:rsid w:val="003C0705"/>
    <w:rsid w:val="003C3B47"/>
    <w:rsid w:val="003C4B8D"/>
    <w:rsid w:val="003C4DDC"/>
    <w:rsid w:val="003C7965"/>
    <w:rsid w:val="003D1711"/>
    <w:rsid w:val="003D2978"/>
    <w:rsid w:val="003D3069"/>
    <w:rsid w:val="003E398A"/>
    <w:rsid w:val="003E6E9D"/>
    <w:rsid w:val="003F03CA"/>
    <w:rsid w:val="003F0E07"/>
    <w:rsid w:val="003F145B"/>
    <w:rsid w:val="003F630B"/>
    <w:rsid w:val="00404604"/>
    <w:rsid w:val="00405659"/>
    <w:rsid w:val="0040697B"/>
    <w:rsid w:val="00412C0A"/>
    <w:rsid w:val="004139D0"/>
    <w:rsid w:val="00415036"/>
    <w:rsid w:val="00415BC0"/>
    <w:rsid w:val="00415C78"/>
    <w:rsid w:val="00415D3F"/>
    <w:rsid w:val="00416617"/>
    <w:rsid w:val="00416AED"/>
    <w:rsid w:val="00416B61"/>
    <w:rsid w:val="00421C1B"/>
    <w:rsid w:val="00423513"/>
    <w:rsid w:val="00423903"/>
    <w:rsid w:val="00425AE1"/>
    <w:rsid w:val="00426D72"/>
    <w:rsid w:val="00427DDB"/>
    <w:rsid w:val="004316C1"/>
    <w:rsid w:val="00431D02"/>
    <w:rsid w:val="00434968"/>
    <w:rsid w:val="0043591E"/>
    <w:rsid w:val="004402ED"/>
    <w:rsid w:val="0044086E"/>
    <w:rsid w:val="004418D6"/>
    <w:rsid w:val="004435B3"/>
    <w:rsid w:val="00446048"/>
    <w:rsid w:val="00446472"/>
    <w:rsid w:val="00446B02"/>
    <w:rsid w:val="00456BE3"/>
    <w:rsid w:val="00456C3D"/>
    <w:rsid w:val="00456D12"/>
    <w:rsid w:val="00461369"/>
    <w:rsid w:val="0046175B"/>
    <w:rsid w:val="00461A01"/>
    <w:rsid w:val="00461C04"/>
    <w:rsid w:val="0046332F"/>
    <w:rsid w:val="00466222"/>
    <w:rsid w:val="0047047E"/>
    <w:rsid w:val="004704CB"/>
    <w:rsid w:val="004710A9"/>
    <w:rsid w:val="00472545"/>
    <w:rsid w:val="00474474"/>
    <w:rsid w:val="00477CDB"/>
    <w:rsid w:val="0048020B"/>
    <w:rsid w:val="00481A3A"/>
    <w:rsid w:val="00481AB6"/>
    <w:rsid w:val="00481D53"/>
    <w:rsid w:val="0048356C"/>
    <w:rsid w:val="00485736"/>
    <w:rsid w:val="00486B3C"/>
    <w:rsid w:val="004A479C"/>
    <w:rsid w:val="004A5C37"/>
    <w:rsid w:val="004A5DA9"/>
    <w:rsid w:val="004A5DB1"/>
    <w:rsid w:val="004B169D"/>
    <w:rsid w:val="004B7827"/>
    <w:rsid w:val="004C0381"/>
    <w:rsid w:val="004C0F84"/>
    <w:rsid w:val="004C2057"/>
    <w:rsid w:val="004C45F2"/>
    <w:rsid w:val="004D002B"/>
    <w:rsid w:val="004D154C"/>
    <w:rsid w:val="004D1B45"/>
    <w:rsid w:val="004D27BB"/>
    <w:rsid w:val="004D4F39"/>
    <w:rsid w:val="004D68E8"/>
    <w:rsid w:val="004E0406"/>
    <w:rsid w:val="004E36D1"/>
    <w:rsid w:val="004E4352"/>
    <w:rsid w:val="004E4DE7"/>
    <w:rsid w:val="004E69BB"/>
    <w:rsid w:val="004E7DAB"/>
    <w:rsid w:val="004F2661"/>
    <w:rsid w:val="004F43C9"/>
    <w:rsid w:val="004F57AA"/>
    <w:rsid w:val="004F6755"/>
    <w:rsid w:val="004F6942"/>
    <w:rsid w:val="005017B5"/>
    <w:rsid w:val="00502711"/>
    <w:rsid w:val="005073C3"/>
    <w:rsid w:val="00507D04"/>
    <w:rsid w:val="0051047E"/>
    <w:rsid w:val="005136CD"/>
    <w:rsid w:val="005140C5"/>
    <w:rsid w:val="00514CC1"/>
    <w:rsid w:val="0051685E"/>
    <w:rsid w:val="00523A0E"/>
    <w:rsid w:val="005251FA"/>
    <w:rsid w:val="00525525"/>
    <w:rsid w:val="00527049"/>
    <w:rsid w:val="00527052"/>
    <w:rsid w:val="00527A00"/>
    <w:rsid w:val="00533F56"/>
    <w:rsid w:val="0053514A"/>
    <w:rsid w:val="00537F9E"/>
    <w:rsid w:val="005409C2"/>
    <w:rsid w:val="0054124F"/>
    <w:rsid w:val="005425D8"/>
    <w:rsid w:val="0054372F"/>
    <w:rsid w:val="005438BE"/>
    <w:rsid w:val="00543D59"/>
    <w:rsid w:val="00544080"/>
    <w:rsid w:val="00544480"/>
    <w:rsid w:val="005507ED"/>
    <w:rsid w:val="00552108"/>
    <w:rsid w:val="00557131"/>
    <w:rsid w:val="00560B82"/>
    <w:rsid w:val="005621F4"/>
    <w:rsid w:val="00562A7F"/>
    <w:rsid w:val="005651D3"/>
    <w:rsid w:val="005653AD"/>
    <w:rsid w:val="00565B42"/>
    <w:rsid w:val="00571CAE"/>
    <w:rsid w:val="00573670"/>
    <w:rsid w:val="00574A18"/>
    <w:rsid w:val="00584D69"/>
    <w:rsid w:val="00586070"/>
    <w:rsid w:val="005866B5"/>
    <w:rsid w:val="00587D24"/>
    <w:rsid w:val="00592724"/>
    <w:rsid w:val="005A26D3"/>
    <w:rsid w:val="005A3D6E"/>
    <w:rsid w:val="005A4222"/>
    <w:rsid w:val="005B1BC6"/>
    <w:rsid w:val="005B21A8"/>
    <w:rsid w:val="005B2DE5"/>
    <w:rsid w:val="005B3EFE"/>
    <w:rsid w:val="005B794F"/>
    <w:rsid w:val="005B7A11"/>
    <w:rsid w:val="005C1546"/>
    <w:rsid w:val="005C16F6"/>
    <w:rsid w:val="005C23C8"/>
    <w:rsid w:val="005C4CB8"/>
    <w:rsid w:val="005C4D98"/>
    <w:rsid w:val="005C4DB4"/>
    <w:rsid w:val="005C63DB"/>
    <w:rsid w:val="005C683B"/>
    <w:rsid w:val="005C6D91"/>
    <w:rsid w:val="005C7B26"/>
    <w:rsid w:val="005D362D"/>
    <w:rsid w:val="005D3D3C"/>
    <w:rsid w:val="005D7B67"/>
    <w:rsid w:val="005E08D5"/>
    <w:rsid w:val="005E2125"/>
    <w:rsid w:val="005E333A"/>
    <w:rsid w:val="005E3D9D"/>
    <w:rsid w:val="005E4379"/>
    <w:rsid w:val="005E7116"/>
    <w:rsid w:val="005F1BB9"/>
    <w:rsid w:val="005F3F80"/>
    <w:rsid w:val="005F570B"/>
    <w:rsid w:val="005F629C"/>
    <w:rsid w:val="005F7B6C"/>
    <w:rsid w:val="00601631"/>
    <w:rsid w:val="00602A74"/>
    <w:rsid w:val="00602AC5"/>
    <w:rsid w:val="00603F40"/>
    <w:rsid w:val="00604C94"/>
    <w:rsid w:val="00605337"/>
    <w:rsid w:val="00606331"/>
    <w:rsid w:val="0060761A"/>
    <w:rsid w:val="00607D42"/>
    <w:rsid w:val="00612914"/>
    <w:rsid w:val="006142AF"/>
    <w:rsid w:val="006169BC"/>
    <w:rsid w:val="006210F0"/>
    <w:rsid w:val="0062343A"/>
    <w:rsid w:val="00624368"/>
    <w:rsid w:val="00625701"/>
    <w:rsid w:val="00625859"/>
    <w:rsid w:val="00625D93"/>
    <w:rsid w:val="00626E7F"/>
    <w:rsid w:val="00631211"/>
    <w:rsid w:val="0063217D"/>
    <w:rsid w:val="0063371E"/>
    <w:rsid w:val="00633EC3"/>
    <w:rsid w:val="0063443F"/>
    <w:rsid w:val="006364C7"/>
    <w:rsid w:val="00637B0D"/>
    <w:rsid w:val="006403C9"/>
    <w:rsid w:val="00641615"/>
    <w:rsid w:val="00646397"/>
    <w:rsid w:val="00647C55"/>
    <w:rsid w:val="00647C89"/>
    <w:rsid w:val="006547CE"/>
    <w:rsid w:val="00663ED6"/>
    <w:rsid w:val="006678EF"/>
    <w:rsid w:val="00670652"/>
    <w:rsid w:val="0067313E"/>
    <w:rsid w:val="00680852"/>
    <w:rsid w:val="0068305A"/>
    <w:rsid w:val="0068394C"/>
    <w:rsid w:val="006841D9"/>
    <w:rsid w:val="00686EBA"/>
    <w:rsid w:val="00691A87"/>
    <w:rsid w:val="006940F9"/>
    <w:rsid w:val="00695700"/>
    <w:rsid w:val="0069573D"/>
    <w:rsid w:val="00696DAB"/>
    <w:rsid w:val="006A416F"/>
    <w:rsid w:val="006B1B80"/>
    <w:rsid w:val="006B1EE6"/>
    <w:rsid w:val="006B2732"/>
    <w:rsid w:val="006C4DCF"/>
    <w:rsid w:val="006C58B5"/>
    <w:rsid w:val="006C5DF3"/>
    <w:rsid w:val="006C66F4"/>
    <w:rsid w:val="006C676F"/>
    <w:rsid w:val="006C6B78"/>
    <w:rsid w:val="006D16CE"/>
    <w:rsid w:val="006D298F"/>
    <w:rsid w:val="006D5E10"/>
    <w:rsid w:val="006D75B4"/>
    <w:rsid w:val="006E0338"/>
    <w:rsid w:val="006E17AF"/>
    <w:rsid w:val="006E3936"/>
    <w:rsid w:val="006E5E60"/>
    <w:rsid w:val="006E76AB"/>
    <w:rsid w:val="006F0853"/>
    <w:rsid w:val="006F0BC9"/>
    <w:rsid w:val="006F1789"/>
    <w:rsid w:val="006F4BFA"/>
    <w:rsid w:val="00700F29"/>
    <w:rsid w:val="00701BF6"/>
    <w:rsid w:val="00701CB5"/>
    <w:rsid w:val="007042A3"/>
    <w:rsid w:val="007069BF"/>
    <w:rsid w:val="00706C65"/>
    <w:rsid w:val="00714324"/>
    <w:rsid w:val="0071453B"/>
    <w:rsid w:val="00717F8F"/>
    <w:rsid w:val="007205C2"/>
    <w:rsid w:val="007229A6"/>
    <w:rsid w:val="007278E9"/>
    <w:rsid w:val="00730D93"/>
    <w:rsid w:val="00731583"/>
    <w:rsid w:val="00731A0E"/>
    <w:rsid w:val="00731AF3"/>
    <w:rsid w:val="00732F64"/>
    <w:rsid w:val="00735593"/>
    <w:rsid w:val="007363B9"/>
    <w:rsid w:val="00736533"/>
    <w:rsid w:val="0073704E"/>
    <w:rsid w:val="007370FD"/>
    <w:rsid w:val="0074025F"/>
    <w:rsid w:val="00740429"/>
    <w:rsid w:val="0074044B"/>
    <w:rsid w:val="007414BE"/>
    <w:rsid w:val="00741854"/>
    <w:rsid w:val="00743619"/>
    <w:rsid w:val="00744F54"/>
    <w:rsid w:val="0074625B"/>
    <w:rsid w:val="00751678"/>
    <w:rsid w:val="00752E4F"/>
    <w:rsid w:val="0075377E"/>
    <w:rsid w:val="00760E23"/>
    <w:rsid w:val="00761A49"/>
    <w:rsid w:val="0076422A"/>
    <w:rsid w:val="00764764"/>
    <w:rsid w:val="0076558D"/>
    <w:rsid w:val="00765B34"/>
    <w:rsid w:val="007666D3"/>
    <w:rsid w:val="00766A2D"/>
    <w:rsid w:val="00766BBB"/>
    <w:rsid w:val="007675FB"/>
    <w:rsid w:val="007718ED"/>
    <w:rsid w:val="00771BD1"/>
    <w:rsid w:val="00772E32"/>
    <w:rsid w:val="00773F64"/>
    <w:rsid w:val="00774554"/>
    <w:rsid w:val="007819C6"/>
    <w:rsid w:val="00781D39"/>
    <w:rsid w:val="0078322B"/>
    <w:rsid w:val="007834B7"/>
    <w:rsid w:val="00784BD1"/>
    <w:rsid w:val="00784F90"/>
    <w:rsid w:val="0078584E"/>
    <w:rsid w:val="00786846"/>
    <w:rsid w:val="00786F5A"/>
    <w:rsid w:val="00791C37"/>
    <w:rsid w:val="007920C3"/>
    <w:rsid w:val="00792EFB"/>
    <w:rsid w:val="00793735"/>
    <w:rsid w:val="00795DD2"/>
    <w:rsid w:val="00797A1D"/>
    <w:rsid w:val="007A088E"/>
    <w:rsid w:val="007A0B64"/>
    <w:rsid w:val="007A4852"/>
    <w:rsid w:val="007A4A51"/>
    <w:rsid w:val="007A56D7"/>
    <w:rsid w:val="007A60E3"/>
    <w:rsid w:val="007B00BC"/>
    <w:rsid w:val="007B235F"/>
    <w:rsid w:val="007B3208"/>
    <w:rsid w:val="007B3A25"/>
    <w:rsid w:val="007B3DA2"/>
    <w:rsid w:val="007B4D5D"/>
    <w:rsid w:val="007B5E8C"/>
    <w:rsid w:val="007B79B6"/>
    <w:rsid w:val="007C026C"/>
    <w:rsid w:val="007C1450"/>
    <w:rsid w:val="007C278F"/>
    <w:rsid w:val="007C40CF"/>
    <w:rsid w:val="007C64C9"/>
    <w:rsid w:val="007C730A"/>
    <w:rsid w:val="007C751D"/>
    <w:rsid w:val="007D0725"/>
    <w:rsid w:val="007D101D"/>
    <w:rsid w:val="007D27F7"/>
    <w:rsid w:val="007D3C85"/>
    <w:rsid w:val="007D67F6"/>
    <w:rsid w:val="007E2531"/>
    <w:rsid w:val="007E3D3F"/>
    <w:rsid w:val="007E424F"/>
    <w:rsid w:val="007E486F"/>
    <w:rsid w:val="007E5A4F"/>
    <w:rsid w:val="007F0D73"/>
    <w:rsid w:val="007F2A65"/>
    <w:rsid w:val="007F33F3"/>
    <w:rsid w:val="007F6F2D"/>
    <w:rsid w:val="007F78CB"/>
    <w:rsid w:val="007F7DEB"/>
    <w:rsid w:val="00800A23"/>
    <w:rsid w:val="008034BD"/>
    <w:rsid w:val="0080402F"/>
    <w:rsid w:val="00811B3B"/>
    <w:rsid w:val="008124AC"/>
    <w:rsid w:val="008179FB"/>
    <w:rsid w:val="00817BF8"/>
    <w:rsid w:val="00821092"/>
    <w:rsid w:val="00821DA6"/>
    <w:rsid w:val="0082482F"/>
    <w:rsid w:val="00827ED9"/>
    <w:rsid w:val="00831D55"/>
    <w:rsid w:val="00833016"/>
    <w:rsid w:val="00835A87"/>
    <w:rsid w:val="00836754"/>
    <w:rsid w:val="00836BC1"/>
    <w:rsid w:val="00840126"/>
    <w:rsid w:val="00842212"/>
    <w:rsid w:val="00842741"/>
    <w:rsid w:val="00844887"/>
    <w:rsid w:val="008448FA"/>
    <w:rsid w:val="0084560E"/>
    <w:rsid w:val="00845C3C"/>
    <w:rsid w:val="00847F97"/>
    <w:rsid w:val="00851BF6"/>
    <w:rsid w:val="00853D07"/>
    <w:rsid w:val="008551FB"/>
    <w:rsid w:val="0086240D"/>
    <w:rsid w:val="00862CDF"/>
    <w:rsid w:val="0086447B"/>
    <w:rsid w:val="00865F34"/>
    <w:rsid w:val="0086679B"/>
    <w:rsid w:val="0087146F"/>
    <w:rsid w:val="00873DC2"/>
    <w:rsid w:val="00874FE1"/>
    <w:rsid w:val="00875018"/>
    <w:rsid w:val="008756FD"/>
    <w:rsid w:val="00876542"/>
    <w:rsid w:val="00877A8F"/>
    <w:rsid w:val="0088200F"/>
    <w:rsid w:val="00883559"/>
    <w:rsid w:val="00883DD0"/>
    <w:rsid w:val="00884E92"/>
    <w:rsid w:val="0088637B"/>
    <w:rsid w:val="0088753A"/>
    <w:rsid w:val="00895338"/>
    <w:rsid w:val="008A0CD1"/>
    <w:rsid w:val="008A1311"/>
    <w:rsid w:val="008A1E91"/>
    <w:rsid w:val="008A20EE"/>
    <w:rsid w:val="008A27D1"/>
    <w:rsid w:val="008A552E"/>
    <w:rsid w:val="008A616B"/>
    <w:rsid w:val="008B05A8"/>
    <w:rsid w:val="008B18AF"/>
    <w:rsid w:val="008B353B"/>
    <w:rsid w:val="008B465E"/>
    <w:rsid w:val="008B57B0"/>
    <w:rsid w:val="008B6B85"/>
    <w:rsid w:val="008B6F87"/>
    <w:rsid w:val="008B7CDC"/>
    <w:rsid w:val="008C26B7"/>
    <w:rsid w:val="008C2C26"/>
    <w:rsid w:val="008C3D64"/>
    <w:rsid w:val="008C4C9E"/>
    <w:rsid w:val="008D2C50"/>
    <w:rsid w:val="008D36F0"/>
    <w:rsid w:val="008D3803"/>
    <w:rsid w:val="008D3AD5"/>
    <w:rsid w:val="008D43E5"/>
    <w:rsid w:val="008E13F5"/>
    <w:rsid w:val="008E4AD9"/>
    <w:rsid w:val="008E54C6"/>
    <w:rsid w:val="008E59AB"/>
    <w:rsid w:val="008F0A3A"/>
    <w:rsid w:val="008F4EF8"/>
    <w:rsid w:val="00901592"/>
    <w:rsid w:val="009043DB"/>
    <w:rsid w:val="00905AD6"/>
    <w:rsid w:val="00906534"/>
    <w:rsid w:val="00906946"/>
    <w:rsid w:val="00911C8A"/>
    <w:rsid w:val="00913B6D"/>
    <w:rsid w:val="0091417F"/>
    <w:rsid w:val="00915409"/>
    <w:rsid w:val="00915CA1"/>
    <w:rsid w:val="00916CB1"/>
    <w:rsid w:val="00917F66"/>
    <w:rsid w:val="00920342"/>
    <w:rsid w:val="00934024"/>
    <w:rsid w:val="00935754"/>
    <w:rsid w:val="00936159"/>
    <w:rsid w:val="00940666"/>
    <w:rsid w:val="00943E7C"/>
    <w:rsid w:val="00947657"/>
    <w:rsid w:val="00947FEE"/>
    <w:rsid w:val="00951E08"/>
    <w:rsid w:val="009528B3"/>
    <w:rsid w:val="00953A42"/>
    <w:rsid w:val="00956ADA"/>
    <w:rsid w:val="00956C64"/>
    <w:rsid w:val="00957635"/>
    <w:rsid w:val="00960AA8"/>
    <w:rsid w:val="00960BEE"/>
    <w:rsid w:val="0096417A"/>
    <w:rsid w:val="0096612D"/>
    <w:rsid w:val="00970383"/>
    <w:rsid w:val="009717F1"/>
    <w:rsid w:val="00971CBC"/>
    <w:rsid w:val="00971D78"/>
    <w:rsid w:val="00972CA4"/>
    <w:rsid w:val="009732BB"/>
    <w:rsid w:val="009737FA"/>
    <w:rsid w:val="009739B0"/>
    <w:rsid w:val="009748FA"/>
    <w:rsid w:val="00974F6D"/>
    <w:rsid w:val="00975686"/>
    <w:rsid w:val="0097596A"/>
    <w:rsid w:val="00977A3D"/>
    <w:rsid w:val="00983B21"/>
    <w:rsid w:val="00984D95"/>
    <w:rsid w:val="00985E51"/>
    <w:rsid w:val="00986647"/>
    <w:rsid w:val="00992EB2"/>
    <w:rsid w:val="00994525"/>
    <w:rsid w:val="00995886"/>
    <w:rsid w:val="009A045F"/>
    <w:rsid w:val="009A313E"/>
    <w:rsid w:val="009A3829"/>
    <w:rsid w:val="009A5211"/>
    <w:rsid w:val="009A548E"/>
    <w:rsid w:val="009A58E5"/>
    <w:rsid w:val="009A6DCE"/>
    <w:rsid w:val="009A7531"/>
    <w:rsid w:val="009B5028"/>
    <w:rsid w:val="009B6201"/>
    <w:rsid w:val="009B6D2A"/>
    <w:rsid w:val="009C09CA"/>
    <w:rsid w:val="009C106B"/>
    <w:rsid w:val="009C577F"/>
    <w:rsid w:val="009D0EAA"/>
    <w:rsid w:val="009D355A"/>
    <w:rsid w:val="009D41FE"/>
    <w:rsid w:val="009D5C2D"/>
    <w:rsid w:val="009D73F2"/>
    <w:rsid w:val="009E4BDA"/>
    <w:rsid w:val="009E7B88"/>
    <w:rsid w:val="009F3ED9"/>
    <w:rsid w:val="009F531D"/>
    <w:rsid w:val="009F5625"/>
    <w:rsid w:val="009F6A7B"/>
    <w:rsid w:val="00A002AD"/>
    <w:rsid w:val="00A004FB"/>
    <w:rsid w:val="00A033B7"/>
    <w:rsid w:val="00A05BF4"/>
    <w:rsid w:val="00A107CC"/>
    <w:rsid w:val="00A14B06"/>
    <w:rsid w:val="00A15049"/>
    <w:rsid w:val="00A1567B"/>
    <w:rsid w:val="00A209A0"/>
    <w:rsid w:val="00A23A52"/>
    <w:rsid w:val="00A24681"/>
    <w:rsid w:val="00A26A4D"/>
    <w:rsid w:val="00A26C90"/>
    <w:rsid w:val="00A33402"/>
    <w:rsid w:val="00A4285F"/>
    <w:rsid w:val="00A42F23"/>
    <w:rsid w:val="00A47A1E"/>
    <w:rsid w:val="00A50499"/>
    <w:rsid w:val="00A50DFB"/>
    <w:rsid w:val="00A545A5"/>
    <w:rsid w:val="00A61DE6"/>
    <w:rsid w:val="00A6289A"/>
    <w:rsid w:val="00A640D5"/>
    <w:rsid w:val="00A64C97"/>
    <w:rsid w:val="00A65A00"/>
    <w:rsid w:val="00A66D77"/>
    <w:rsid w:val="00A67958"/>
    <w:rsid w:val="00A67A8B"/>
    <w:rsid w:val="00A7039B"/>
    <w:rsid w:val="00A70C97"/>
    <w:rsid w:val="00A726DD"/>
    <w:rsid w:val="00A8146A"/>
    <w:rsid w:val="00A84758"/>
    <w:rsid w:val="00A85E77"/>
    <w:rsid w:val="00A90583"/>
    <w:rsid w:val="00A90F43"/>
    <w:rsid w:val="00A91CF3"/>
    <w:rsid w:val="00A9205A"/>
    <w:rsid w:val="00A93C95"/>
    <w:rsid w:val="00A952DD"/>
    <w:rsid w:val="00AA2EBD"/>
    <w:rsid w:val="00AA3068"/>
    <w:rsid w:val="00AA3378"/>
    <w:rsid w:val="00AA67C5"/>
    <w:rsid w:val="00AA6CEA"/>
    <w:rsid w:val="00AB44A7"/>
    <w:rsid w:val="00AB4CF6"/>
    <w:rsid w:val="00AB4D48"/>
    <w:rsid w:val="00AB5289"/>
    <w:rsid w:val="00AB5D33"/>
    <w:rsid w:val="00AB610D"/>
    <w:rsid w:val="00AB74F2"/>
    <w:rsid w:val="00AC2D73"/>
    <w:rsid w:val="00AC50E4"/>
    <w:rsid w:val="00AC7456"/>
    <w:rsid w:val="00AD09F8"/>
    <w:rsid w:val="00AD0EFA"/>
    <w:rsid w:val="00AD2B58"/>
    <w:rsid w:val="00AD5E94"/>
    <w:rsid w:val="00AD6763"/>
    <w:rsid w:val="00AE0E25"/>
    <w:rsid w:val="00AE3498"/>
    <w:rsid w:val="00AE4BC0"/>
    <w:rsid w:val="00AE4D2C"/>
    <w:rsid w:val="00AE59EE"/>
    <w:rsid w:val="00AE5C10"/>
    <w:rsid w:val="00AE7088"/>
    <w:rsid w:val="00B007F2"/>
    <w:rsid w:val="00B01E1B"/>
    <w:rsid w:val="00B0262A"/>
    <w:rsid w:val="00B02A78"/>
    <w:rsid w:val="00B02BD2"/>
    <w:rsid w:val="00B03D98"/>
    <w:rsid w:val="00B04161"/>
    <w:rsid w:val="00B07352"/>
    <w:rsid w:val="00B101B9"/>
    <w:rsid w:val="00B11130"/>
    <w:rsid w:val="00B11242"/>
    <w:rsid w:val="00B11950"/>
    <w:rsid w:val="00B11CA2"/>
    <w:rsid w:val="00B1256A"/>
    <w:rsid w:val="00B12B4A"/>
    <w:rsid w:val="00B15B1D"/>
    <w:rsid w:val="00B169A4"/>
    <w:rsid w:val="00B20E50"/>
    <w:rsid w:val="00B21AEC"/>
    <w:rsid w:val="00B225AD"/>
    <w:rsid w:val="00B35831"/>
    <w:rsid w:val="00B36E90"/>
    <w:rsid w:val="00B37D1A"/>
    <w:rsid w:val="00B401B6"/>
    <w:rsid w:val="00B442BE"/>
    <w:rsid w:val="00B44BB0"/>
    <w:rsid w:val="00B453E9"/>
    <w:rsid w:val="00B457A3"/>
    <w:rsid w:val="00B50FEB"/>
    <w:rsid w:val="00B51C22"/>
    <w:rsid w:val="00B51DFD"/>
    <w:rsid w:val="00B51FB5"/>
    <w:rsid w:val="00B60099"/>
    <w:rsid w:val="00B60E79"/>
    <w:rsid w:val="00B62257"/>
    <w:rsid w:val="00B63604"/>
    <w:rsid w:val="00B65A02"/>
    <w:rsid w:val="00B70E3C"/>
    <w:rsid w:val="00B7208D"/>
    <w:rsid w:val="00B73AB7"/>
    <w:rsid w:val="00B74C7F"/>
    <w:rsid w:val="00B7748F"/>
    <w:rsid w:val="00B77FB5"/>
    <w:rsid w:val="00B80199"/>
    <w:rsid w:val="00B80B9C"/>
    <w:rsid w:val="00B81884"/>
    <w:rsid w:val="00B82890"/>
    <w:rsid w:val="00B831FE"/>
    <w:rsid w:val="00B90FFB"/>
    <w:rsid w:val="00B91BF3"/>
    <w:rsid w:val="00B930D9"/>
    <w:rsid w:val="00B975C2"/>
    <w:rsid w:val="00BA2C68"/>
    <w:rsid w:val="00BA3864"/>
    <w:rsid w:val="00BA4A30"/>
    <w:rsid w:val="00BA79CA"/>
    <w:rsid w:val="00BB090C"/>
    <w:rsid w:val="00BB4A3B"/>
    <w:rsid w:val="00BB6310"/>
    <w:rsid w:val="00BB6F28"/>
    <w:rsid w:val="00BC1F11"/>
    <w:rsid w:val="00BC643C"/>
    <w:rsid w:val="00BC6611"/>
    <w:rsid w:val="00BC7793"/>
    <w:rsid w:val="00BD0681"/>
    <w:rsid w:val="00BD5FEA"/>
    <w:rsid w:val="00BD6321"/>
    <w:rsid w:val="00BD637B"/>
    <w:rsid w:val="00BD650C"/>
    <w:rsid w:val="00BD672C"/>
    <w:rsid w:val="00BE0000"/>
    <w:rsid w:val="00BE0124"/>
    <w:rsid w:val="00BE0758"/>
    <w:rsid w:val="00BE48E7"/>
    <w:rsid w:val="00BF0699"/>
    <w:rsid w:val="00BF2316"/>
    <w:rsid w:val="00BF2ADA"/>
    <w:rsid w:val="00BF3AC8"/>
    <w:rsid w:val="00BF3CCA"/>
    <w:rsid w:val="00BF559A"/>
    <w:rsid w:val="00BF5683"/>
    <w:rsid w:val="00BF6F93"/>
    <w:rsid w:val="00C02343"/>
    <w:rsid w:val="00C03BFE"/>
    <w:rsid w:val="00C0459B"/>
    <w:rsid w:val="00C04AAC"/>
    <w:rsid w:val="00C05763"/>
    <w:rsid w:val="00C05C66"/>
    <w:rsid w:val="00C06284"/>
    <w:rsid w:val="00C1240D"/>
    <w:rsid w:val="00C125C0"/>
    <w:rsid w:val="00C13671"/>
    <w:rsid w:val="00C1496A"/>
    <w:rsid w:val="00C15BCB"/>
    <w:rsid w:val="00C211AF"/>
    <w:rsid w:val="00C217FC"/>
    <w:rsid w:val="00C23D6C"/>
    <w:rsid w:val="00C26F17"/>
    <w:rsid w:val="00C27093"/>
    <w:rsid w:val="00C2715E"/>
    <w:rsid w:val="00C27CFB"/>
    <w:rsid w:val="00C30734"/>
    <w:rsid w:val="00C31598"/>
    <w:rsid w:val="00C337CA"/>
    <w:rsid w:val="00C3398D"/>
    <w:rsid w:val="00C3511A"/>
    <w:rsid w:val="00C35C24"/>
    <w:rsid w:val="00C41A3D"/>
    <w:rsid w:val="00C5088F"/>
    <w:rsid w:val="00C54310"/>
    <w:rsid w:val="00C55D83"/>
    <w:rsid w:val="00C55DE0"/>
    <w:rsid w:val="00C57D08"/>
    <w:rsid w:val="00C634F1"/>
    <w:rsid w:val="00C730C9"/>
    <w:rsid w:val="00C73927"/>
    <w:rsid w:val="00C767AD"/>
    <w:rsid w:val="00C81FF6"/>
    <w:rsid w:val="00C83426"/>
    <w:rsid w:val="00C85F9D"/>
    <w:rsid w:val="00C867AA"/>
    <w:rsid w:val="00C87925"/>
    <w:rsid w:val="00C903BE"/>
    <w:rsid w:val="00C90A0E"/>
    <w:rsid w:val="00C9162F"/>
    <w:rsid w:val="00C958A3"/>
    <w:rsid w:val="00C978C1"/>
    <w:rsid w:val="00CA3AED"/>
    <w:rsid w:val="00CA41E2"/>
    <w:rsid w:val="00CA7D67"/>
    <w:rsid w:val="00CB0141"/>
    <w:rsid w:val="00CB1605"/>
    <w:rsid w:val="00CB18F4"/>
    <w:rsid w:val="00CB337C"/>
    <w:rsid w:val="00CB5766"/>
    <w:rsid w:val="00CB6500"/>
    <w:rsid w:val="00CC0C9A"/>
    <w:rsid w:val="00CC173E"/>
    <w:rsid w:val="00CC1A27"/>
    <w:rsid w:val="00CC1B85"/>
    <w:rsid w:val="00CC5C9C"/>
    <w:rsid w:val="00CC6189"/>
    <w:rsid w:val="00CC749C"/>
    <w:rsid w:val="00CC7B89"/>
    <w:rsid w:val="00CD5566"/>
    <w:rsid w:val="00CD78CE"/>
    <w:rsid w:val="00CD7BAE"/>
    <w:rsid w:val="00CD7DD3"/>
    <w:rsid w:val="00CE22B1"/>
    <w:rsid w:val="00CE2393"/>
    <w:rsid w:val="00CE53FE"/>
    <w:rsid w:val="00CE5708"/>
    <w:rsid w:val="00CE579C"/>
    <w:rsid w:val="00CE5D56"/>
    <w:rsid w:val="00CE6955"/>
    <w:rsid w:val="00CE6A3C"/>
    <w:rsid w:val="00CF0E9F"/>
    <w:rsid w:val="00CF289D"/>
    <w:rsid w:val="00CF4E2F"/>
    <w:rsid w:val="00CF734A"/>
    <w:rsid w:val="00D00B09"/>
    <w:rsid w:val="00D00E77"/>
    <w:rsid w:val="00D01C21"/>
    <w:rsid w:val="00D027D7"/>
    <w:rsid w:val="00D03A81"/>
    <w:rsid w:val="00D04C91"/>
    <w:rsid w:val="00D04CC2"/>
    <w:rsid w:val="00D04DAF"/>
    <w:rsid w:val="00D073DD"/>
    <w:rsid w:val="00D102B4"/>
    <w:rsid w:val="00D117BD"/>
    <w:rsid w:val="00D1193B"/>
    <w:rsid w:val="00D223F5"/>
    <w:rsid w:val="00D22CB3"/>
    <w:rsid w:val="00D30934"/>
    <w:rsid w:val="00D354EA"/>
    <w:rsid w:val="00D400A7"/>
    <w:rsid w:val="00D40B13"/>
    <w:rsid w:val="00D42ACF"/>
    <w:rsid w:val="00D430F9"/>
    <w:rsid w:val="00D479C8"/>
    <w:rsid w:val="00D5501B"/>
    <w:rsid w:val="00D55245"/>
    <w:rsid w:val="00D55A8D"/>
    <w:rsid w:val="00D640E3"/>
    <w:rsid w:val="00D65AD6"/>
    <w:rsid w:val="00D66D9E"/>
    <w:rsid w:val="00D67A07"/>
    <w:rsid w:val="00D72DD7"/>
    <w:rsid w:val="00D73DD6"/>
    <w:rsid w:val="00D74774"/>
    <w:rsid w:val="00D74A39"/>
    <w:rsid w:val="00D75B98"/>
    <w:rsid w:val="00D75DA7"/>
    <w:rsid w:val="00D75DDF"/>
    <w:rsid w:val="00D76D88"/>
    <w:rsid w:val="00D77586"/>
    <w:rsid w:val="00D83836"/>
    <w:rsid w:val="00D83D47"/>
    <w:rsid w:val="00D84DD9"/>
    <w:rsid w:val="00D851EB"/>
    <w:rsid w:val="00D85569"/>
    <w:rsid w:val="00D8639B"/>
    <w:rsid w:val="00D9146E"/>
    <w:rsid w:val="00D92866"/>
    <w:rsid w:val="00D92D01"/>
    <w:rsid w:val="00D93084"/>
    <w:rsid w:val="00D93233"/>
    <w:rsid w:val="00D93644"/>
    <w:rsid w:val="00DA026F"/>
    <w:rsid w:val="00DA04E4"/>
    <w:rsid w:val="00DA2AF0"/>
    <w:rsid w:val="00DA2C10"/>
    <w:rsid w:val="00DA3EE0"/>
    <w:rsid w:val="00DA4426"/>
    <w:rsid w:val="00DA5634"/>
    <w:rsid w:val="00DA585E"/>
    <w:rsid w:val="00DA59D1"/>
    <w:rsid w:val="00DB06BC"/>
    <w:rsid w:val="00DB28C5"/>
    <w:rsid w:val="00DB31AF"/>
    <w:rsid w:val="00DB37E8"/>
    <w:rsid w:val="00DB59E9"/>
    <w:rsid w:val="00DB6C01"/>
    <w:rsid w:val="00DC1448"/>
    <w:rsid w:val="00DC1B88"/>
    <w:rsid w:val="00DC26CD"/>
    <w:rsid w:val="00DC4643"/>
    <w:rsid w:val="00DC561B"/>
    <w:rsid w:val="00DC62FA"/>
    <w:rsid w:val="00DC7839"/>
    <w:rsid w:val="00DD0EBD"/>
    <w:rsid w:val="00DD17EF"/>
    <w:rsid w:val="00DD1969"/>
    <w:rsid w:val="00DD1BEE"/>
    <w:rsid w:val="00DD26F5"/>
    <w:rsid w:val="00DD2ADC"/>
    <w:rsid w:val="00DD4C7D"/>
    <w:rsid w:val="00DE119B"/>
    <w:rsid w:val="00DE1844"/>
    <w:rsid w:val="00DE1C6F"/>
    <w:rsid w:val="00DE232B"/>
    <w:rsid w:val="00DE6377"/>
    <w:rsid w:val="00DF0104"/>
    <w:rsid w:val="00DF0B5E"/>
    <w:rsid w:val="00DF12CB"/>
    <w:rsid w:val="00DF2CC6"/>
    <w:rsid w:val="00DF45CB"/>
    <w:rsid w:val="00E001AB"/>
    <w:rsid w:val="00E014B7"/>
    <w:rsid w:val="00E01E9A"/>
    <w:rsid w:val="00E025A4"/>
    <w:rsid w:val="00E02F51"/>
    <w:rsid w:val="00E0359A"/>
    <w:rsid w:val="00E05849"/>
    <w:rsid w:val="00E078C6"/>
    <w:rsid w:val="00E13931"/>
    <w:rsid w:val="00E14CE5"/>
    <w:rsid w:val="00E14F24"/>
    <w:rsid w:val="00E179D8"/>
    <w:rsid w:val="00E25C9E"/>
    <w:rsid w:val="00E27946"/>
    <w:rsid w:val="00E27B59"/>
    <w:rsid w:val="00E304B1"/>
    <w:rsid w:val="00E31032"/>
    <w:rsid w:val="00E33C81"/>
    <w:rsid w:val="00E33DBF"/>
    <w:rsid w:val="00E34F2C"/>
    <w:rsid w:val="00E35B63"/>
    <w:rsid w:val="00E36881"/>
    <w:rsid w:val="00E36E9D"/>
    <w:rsid w:val="00E41D19"/>
    <w:rsid w:val="00E426D5"/>
    <w:rsid w:val="00E43FF1"/>
    <w:rsid w:val="00E4619F"/>
    <w:rsid w:val="00E5299A"/>
    <w:rsid w:val="00E52C20"/>
    <w:rsid w:val="00E57D1B"/>
    <w:rsid w:val="00E602ED"/>
    <w:rsid w:val="00E7020D"/>
    <w:rsid w:val="00E722D5"/>
    <w:rsid w:val="00E74A1E"/>
    <w:rsid w:val="00E761D2"/>
    <w:rsid w:val="00E811A9"/>
    <w:rsid w:val="00E81CE0"/>
    <w:rsid w:val="00E83D1E"/>
    <w:rsid w:val="00E848CF"/>
    <w:rsid w:val="00E851F0"/>
    <w:rsid w:val="00E8591D"/>
    <w:rsid w:val="00E85E13"/>
    <w:rsid w:val="00E91FD8"/>
    <w:rsid w:val="00E92FB8"/>
    <w:rsid w:val="00E967F7"/>
    <w:rsid w:val="00EA2229"/>
    <w:rsid w:val="00EA2538"/>
    <w:rsid w:val="00EA2A76"/>
    <w:rsid w:val="00EA6014"/>
    <w:rsid w:val="00EB1202"/>
    <w:rsid w:val="00EB12B8"/>
    <w:rsid w:val="00EB19E6"/>
    <w:rsid w:val="00EB2458"/>
    <w:rsid w:val="00EB2F33"/>
    <w:rsid w:val="00EB3232"/>
    <w:rsid w:val="00EB6885"/>
    <w:rsid w:val="00EB744F"/>
    <w:rsid w:val="00EC70AF"/>
    <w:rsid w:val="00EC79C1"/>
    <w:rsid w:val="00ED198A"/>
    <w:rsid w:val="00ED248B"/>
    <w:rsid w:val="00ED2526"/>
    <w:rsid w:val="00ED2E1F"/>
    <w:rsid w:val="00ED4756"/>
    <w:rsid w:val="00ED507E"/>
    <w:rsid w:val="00ED7B94"/>
    <w:rsid w:val="00EE2FFF"/>
    <w:rsid w:val="00EE4514"/>
    <w:rsid w:val="00EE539D"/>
    <w:rsid w:val="00EF0EDB"/>
    <w:rsid w:val="00EF22EF"/>
    <w:rsid w:val="00EF43A9"/>
    <w:rsid w:val="00EF49C3"/>
    <w:rsid w:val="00EF5EC7"/>
    <w:rsid w:val="00F01763"/>
    <w:rsid w:val="00F02072"/>
    <w:rsid w:val="00F02348"/>
    <w:rsid w:val="00F04221"/>
    <w:rsid w:val="00F045C3"/>
    <w:rsid w:val="00F05CC7"/>
    <w:rsid w:val="00F12BB1"/>
    <w:rsid w:val="00F14658"/>
    <w:rsid w:val="00F15776"/>
    <w:rsid w:val="00F20348"/>
    <w:rsid w:val="00F21131"/>
    <w:rsid w:val="00F22540"/>
    <w:rsid w:val="00F232CB"/>
    <w:rsid w:val="00F2576C"/>
    <w:rsid w:val="00F310CE"/>
    <w:rsid w:val="00F3438F"/>
    <w:rsid w:val="00F34492"/>
    <w:rsid w:val="00F3668A"/>
    <w:rsid w:val="00F37F4F"/>
    <w:rsid w:val="00F411AF"/>
    <w:rsid w:val="00F42D5F"/>
    <w:rsid w:val="00F43CF6"/>
    <w:rsid w:val="00F5349A"/>
    <w:rsid w:val="00F60FC2"/>
    <w:rsid w:val="00F63EB1"/>
    <w:rsid w:val="00F66054"/>
    <w:rsid w:val="00F6753E"/>
    <w:rsid w:val="00F67D5D"/>
    <w:rsid w:val="00F766F5"/>
    <w:rsid w:val="00F769C8"/>
    <w:rsid w:val="00F76EAB"/>
    <w:rsid w:val="00F8096C"/>
    <w:rsid w:val="00F80DBF"/>
    <w:rsid w:val="00F8369F"/>
    <w:rsid w:val="00F85654"/>
    <w:rsid w:val="00F87E4F"/>
    <w:rsid w:val="00F93AC1"/>
    <w:rsid w:val="00F93B08"/>
    <w:rsid w:val="00F94D71"/>
    <w:rsid w:val="00F96483"/>
    <w:rsid w:val="00F974EE"/>
    <w:rsid w:val="00FA21B7"/>
    <w:rsid w:val="00FA7479"/>
    <w:rsid w:val="00FB10CF"/>
    <w:rsid w:val="00FB10D8"/>
    <w:rsid w:val="00FC0597"/>
    <w:rsid w:val="00FC1580"/>
    <w:rsid w:val="00FC20BE"/>
    <w:rsid w:val="00FC2CB0"/>
    <w:rsid w:val="00FC3071"/>
    <w:rsid w:val="00FC4B50"/>
    <w:rsid w:val="00FC7DF1"/>
    <w:rsid w:val="00FC7F16"/>
    <w:rsid w:val="00FD0818"/>
    <w:rsid w:val="00FE1D18"/>
    <w:rsid w:val="00FE7C33"/>
    <w:rsid w:val="00FF060B"/>
    <w:rsid w:val="00FF39F6"/>
    <w:rsid w:val="00FF4666"/>
    <w:rsid w:val="00FF51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EF70"/>
  <w15:docId w15:val="{3C223238-987E-45EE-8E3B-50A8EFCA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E5"/>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uiPriority w:val="3"/>
    <w:qFormat/>
    <w:rsid w:val="00051411"/>
    <w:pPr>
      <w:keepNext/>
      <w:keepLines/>
      <w:numPr>
        <w:ilvl w:val="1"/>
        <w:numId w:val="9"/>
      </w:numPr>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uiPriority w:val="3"/>
    <w:qFormat/>
    <w:rsid w:val="00051411"/>
    <w:pPr>
      <w:keepNext/>
      <w:keepLines/>
      <w:numPr>
        <w:ilvl w:val="2"/>
        <w:numId w:val="9"/>
      </w:numPr>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0949E5"/>
    <w:pPr>
      <w:keepNext/>
      <w:keepLines/>
      <w:numPr>
        <w:ilvl w:val="5"/>
        <w:numId w:val="9"/>
      </w:numPr>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0949E5"/>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0949E5"/>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0949E5"/>
    <w:pPr>
      <w:keepNext/>
      <w:keepLines/>
      <w:numPr>
        <w:ilvl w:val="8"/>
        <w:numId w:val="9"/>
      </w:numPr>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denote">
    <w:name w:val="Note Heading"/>
    <w:basedOn w:val="Normal"/>
    <w:next w:val="Normal"/>
    <w:link w:val="TitredenoteCar"/>
    <w:uiPriority w:val="99"/>
    <w:semiHidden/>
    <w:rsid w:val="00D640E3"/>
    <w:rPr>
      <w:b/>
      <w:sz w:val="20"/>
    </w:rPr>
  </w:style>
  <w:style w:type="character" w:customStyle="1" w:styleId="TitredenoteCar">
    <w:name w:val="Titre de note Car"/>
    <w:basedOn w:val="Policepardfaut"/>
    <w:link w:val="Titredenote"/>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B930D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0949E5"/>
    <w:rPr>
      <w:b w:val="0"/>
      <w:bCs/>
      <w:caps w:val="0"/>
      <w:smallCaps/>
      <w:color w:val="000000" w:themeColor="text1"/>
      <w:spacing w:val="0"/>
      <w:u w:val="none"/>
    </w:rPr>
  </w:style>
  <w:style w:type="character" w:styleId="Rfrencelgre">
    <w:name w:val="Subtle Reference"/>
    <w:basedOn w:val="Policepardfaut"/>
    <w:uiPriority w:val="99"/>
    <w:semiHidden/>
    <w:rsid w:val="000949E5"/>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0949E5"/>
    <w:rPr>
      <w:bCs/>
      <w:i/>
      <w:iCs/>
      <w:color w:val="000000" w:themeColor="text1"/>
    </w:rPr>
  </w:style>
  <w:style w:type="character" w:customStyle="1" w:styleId="CitationintenseCar">
    <w:name w:val="Citation intense Car"/>
    <w:basedOn w:val="Policepardfaut"/>
    <w:link w:val="Citationintense"/>
    <w:uiPriority w:val="99"/>
    <w:semiHidden/>
    <w:rsid w:val="000949E5"/>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533F56"/>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rsid w:val="00602AC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rsid w:val="00602AC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533F56"/>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3B6961"/>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3"/>
    <w:rsid w:val="003B6961"/>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3B6961"/>
    <w:rPr>
      <w:rFonts w:asciiTheme="majorHAnsi" w:eastAsiaTheme="majorEastAsia" w:hAnsiTheme="majorHAnsi" w:cstheme="majorBidi"/>
      <w:bCs/>
    </w:rPr>
  </w:style>
  <w:style w:type="character" w:customStyle="1" w:styleId="Titre4Car">
    <w:name w:val="Titre 4 Car"/>
    <w:basedOn w:val="Policepardfaut"/>
    <w:link w:val="Titre4"/>
    <w:uiPriority w:val="5"/>
    <w:rsid w:val="003B6961"/>
    <w:rPr>
      <w:rFonts w:asciiTheme="majorHAnsi" w:eastAsiaTheme="majorEastAsia" w:hAnsiTheme="majorHAnsi" w:cstheme="majorBidi"/>
      <w:bCs/>
      <w:iCs/>
    </w:rPr>
  </w:style>
  <w:style w:type="character" w:customStyle="1" w:styleId="Titre5Car">
    <w:name w:val="Titre 5 Car"/>
    <w:basedOn w:val="Policepardfaut"/>
    <w:link w:val="Titre5"/>
    <w:uiPriority w:val="5"/>
    <w:rsid w:val="003B6961"/>
    <w:rPr>
      <w:rFonts w:asciiTheme="majorHAnsi" w:eastAsiaTheme="majorEastAsia" w:hAnsiTheme="majorHAnsi" w:cstheme="majorBidi"/>
    </w:rPr>
  </w:style>
  <w:style w:type="character" w:customStyle="1" w:styleId="Titre6Car">
    <w:name w:val="Titre 6 Car"/>
    <w:basedOn w:val="Policepardfaut"/>
    <w:link w:val="Titre6"/>
    <w:uiPriority w:val="9"/>
    <w:semiHidden/>
    <w:rsid w:val="000949E5"/>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0949E5"/>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0949E5"/>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0949E5"/>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3"/>
      </w:numPr>
    </w:pPr>
  </w:style>
  <w:style w:type="paragraph" w:styleId="Listenumros2">
    <w:name w:val="List Number 2"/>
    <w:basedOn w:val="Liste2"/>
    <w:uiPriority w:val="20"/>
    <w:rsid w:val="0046175B"/>
    <w:pPr>
      <w:numPr>
        <w:ilvl w:val="1"/>
        <w:numId w:val="13"/>
      </w:numPr>
    </w:pPr>
  </w:style>
  <w:style w:type="paragraph" w:styleId="Listenumros3">
    <w:name w:val="List Number 3"/>
    <w:basedOn w:val="Liste3"/>
    <w:uiPriority w:val="20"/>
    <w:rsid w:val="0046175B"/>
    <w:pPr>
      <w:numPr>
        <w:ilvl w:val="2"/>
        <w:numId w:val="13"/>
      </w:numPr>
    </w:pPr>
  </w:style>
  <w:style w:type="paragraph" w:styleId="Listenumros4">
    <w:name w:val="List Number 4"/>
    <w:basedOn w:val="Liste4"/>
    <w:uiPriority w:val="20"/>
    <w:rsid w:val="0046175B"/>
    <w:pPr>
      <w:numPr>
        <w:ilvl w:val="3"/>
        <w:numId w:val="13"/>
      </w:numPr>
    </w:pPr>
  </w:style>
  <w:style w:type="paragraph" w:styleId="Listenumros5">
    <w:name w:val="List Number 5"/>
    <w:basedOn w:val="Liste5"/>
    <w:uiPriority w:val="20"/>
    <w:rsid w:val="0046175B"/>
    <w:pPr>
      <w:numPr>
        <w:ilvl w:val="4"/>
        <w:numId w:val="13"/>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9"/>
      </w:numPr>
    </w:pPr>
  </w:style>
  <w:style w:type="paragraph" w:styleId="Listepuces3">
    <w:name w:val="List Bullet 3"/>
    <w:basedOn w:val="Liste3"/>
    <w:uiPriority w:val="19"/>
    <w:rsid w:val="0040697B"/>
    <w:pPr>
      <w:numPr>
        <w:ilvl w:val="2"/>
        <w:numId w:val="19"/>
      </w:numPr>
    </w:pPr>
  </w:style>
  <w:style w:type="paragraph" w:styleId="Listepuces4">
    <w:name w:val="List Bullet 4"/>
    <w:basedOn w:val="Liste4"/>
    <w:uiPriority w:val="19"/>
    <w:rsid w:val="0040697B"/>
    <w:pPr>
      <w:numPr>
        <w:ilvl w:val="3"/>
        <w:numId w:val="19"/>
      </w:numPr>
    </w:pPr>
  </w:style>
  <w:style w:type="paragraph" w:styleId="Listepuces5">
    <w:name w:val="List Bullet 5"/>
    <w:basedOn w:val="Liste5"/>
    <w:uiPriority w:val="19"/>
    <w:rsid w:val="0040697B"/>
    <w:pPr>
      <w:numPr>
        <w:ilvl w:val="4"/>
        <w:numId w:val="19"/>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0949E5"/>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99"/>
    <w:semiHidden/>
    <w:rsid w:val="008A552E"/>
    <w:pPr>
      <w:numPr>
        <w:numId w:val="3"/>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E91FD8"/>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autoRedefine/>
    <w:uiPriority w:val="39"/>
    <w:semiHidden/>
    <w:rsid w:val="00E91FD8"/>
    <w:pPr>
      <w:spacing w:after="40"/>
      <w:ind w:left="851" w:hanging="851"/>
    </w:pPr>
    <w:rPr>
      <w:rFonts w:asciiTheme="majorHAnsi" w:hAnsiTheme="majorHAnsi"/>
      <w:sz w:val="19"/>
    </w:rPr>
  </w:style>
  <w:style w:type="paragraph" w:styleId="TM4">
    <w:name w:val="toc 4"/>
    <w:basedOn w:val="Normal"/>
    <w:next w:val="Normal"/>
    <w:autoRedefine/>
    <w:uiPriority w:val="99"/>
    <w:semiHidden/>
    <w:rsid w:val="000949E5"/>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99"/>
    <w:semiHidden/>
    <w:rsid w:val="000949E5"/>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99"/>
    <w:semiHidden/>
    <w:rsid w:val="000949E5"/>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99"/>
    <w:semiHidden/>
    <w:rsid w:val="000949E5"/>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99"/>
    <w:semiHidden/>
    <w:rsid w:val="000949E5"/>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99"/>
    <w:semiHidden/>
    <w:rsid w:val="000949E5"/>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color w:val="009581" w:themeColor="accent3"/>
      <w:kern w:val="32"/>
      <w:sz w:val="36"/>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color w:val="009581" w:themeColor="accent3"/>
      <w:sz w:val="21"/>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color w:val="009581" w:themeColor="accent3"/>
      <w:sz w:val="21"/>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9581" w:themeColor="accent3"/>
      <w:sz w:val="21"/>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9581" w:themeColor="accent3"/>
      <w:sz w:val="2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9581" w:themeColor="accent3"/>
      <w:sz w:val="2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9581" w:themeColor="accent3"/>
      <w:sz w:val="2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9581" w:themeColor="accent3"/>
      <w:sz w:val="2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0949E5"/>
    <w:rPr>
      <w:i/>
      <w:color w:val="000000" w:themeColor="text1"/>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0949E5"/>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0949E5"/>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0949E5"/>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0949E5"/>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19"/>
    <w:semiHidden/>
    <w:rsid w:val="0040697B"/>
    <w:pPr>
      <w:numPr>
        <w:ilvl w:val="5"/>
        <w:numId w:val="19"/>
      </w:numPr>
    </w:pPr>
  </w:style>
  <w:style w:type="paragraph" w:customStyle="1" w:styleId="Listepuces7">
    <w:name w:val="Liste à puces 7"/>
    <w:basedOn w:val="Liste7"/>
    <w:uiPriority w:val="19"/>
    <w:semiHidden/>
    <w:rsid w:val="0040697B"/>
    <w:pPr>
      <w:numPr>
        <w:ilvl w:val="6"/>
        <w:numId w:val="19"/>
      </w:numPr>
    </w:pPr>
  </w:style>
  <w:style w:type="paragraph" w:customStyle="1" w:styleId="Listepuces8">
    <w:name w:val="Liste à puces 8"/>
    <w:basedOn w:val="Liste8"/>
    <w:uiPriority w:val="19"/>
    <w:semiHidden/>
    <w:rsid w:val="0040697B"/>
    <w:pPr>
      <w:numPr>
        <w:ilvl w:val="7"/>
        <w:numId w:val="19"/>
      </w:numPr>
    </w:pPr>
  </w:style>
  <w:style w:type="paragraph" w:customStyle="1" w:styleId="Listepuces9">
    <w:name w:val="Liste à puces 9"/>
    <w:basedOn w:val="Liste9"/>
    <w:uiPriority w:val="19"/>
    <w:semiHidden/>
    <w:rsid w:val="0040697B"/>
    <w:pPr>
      <w:numPr>
        <w:ilvl w:val="8"/>
        <w:numId w:val="19"/>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9"/>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21"/>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uiPriority w:val="4"/>
    <w:qFormat/>
    <w:rsid w:val="00A9205A"/>
    <w:pPr>
      <w:keepNext/>
      <w:keepLines/>
      <w:spacing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paragraph" w:customStyle="1" w:styleId="07atexteprincipal">
    <w:name w:val="07a_texte_principal"/>
    <w:qFormat/>
    <w:rsid w:val="00543D59"/>
    <w:pPr>
      <w:spacing w:before="0" w:after="180" w:line="280" w:lineRule="exact"/>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936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lex.admin.ch/eli/cc/2012/586/de" TargetMode="External"/><Relationship Id="rId18" Type="http://schemas.openxmlformats.org/officeDocument/2006/relationships/hyperlink" Target="https://bdlf.fr.ch/app/de/texts_of_law/214.5.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bdlf.fr.ch/app/de/texts_of_law/10.1" TargetMode="External"/><Relationship Id="rId7" Type="http://schemas.openxmlformats.org/officeDocument/2006/relationships/settings" Target="settings.xml"/><Relationship Id="rId12" Type="http://schemas.openxmlformats.org/officeDocument/2006/relationships/hyperlink" Target="https://www.fedlex.admin.ch/eli/cc/2012/585/de" TargetMode="External"/><Relationship Id="rId17" Type="http://schemas.openxmlformats.org/officeDocument/2006/relationships/hyperlink" Target="https://www.fedlex.admin.ch/eli/fga/2025/565/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arch.bger.ch/ext/eurospider/live/fr/php/aza/http/index.php?lang=fr&amp;type=show_document&amp;highlight_docid=aza://21-12-2022-2C_170-2022&amp;print=yes" TargetMode="External"/><Relationship Id="rId20" Type="http://schemas.openxmlformats.org/officeDocument/2006/relationships/hyperlink" Target="https://www.fedlex.admin.ch/eli/fga/2025/2891/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fga/2025/2891/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relevancy.bger.ch/php/aza/http/index.php?highlight_docid=aza%3A%2F%2F13-06-2024-2C_117-2024&amp;lang=de&amp;type=show_document&amp;zoom=YES&am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lex.admin.ch/eli/fga/2025/2891/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12/585/de"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prestations.vd.ch/pub/blv-publication/actes/consolide/173.36?key=1769445087239&amp;id=e23682d9-8d47-49d8-a8fb-54bfae0c3a2a" TargetMode="External"/><Relationship Id="rId3" Type="http://schemas.openxmlformats.org/officeDocument/2006/relationships/hyperlink" Target="https://silgeneve.ch/legis/program/books/rsg/htm/rsg_d3_05.htm?myd=1769520888139&amp;app=sil" TargetMode="External"/><Relationship Id="rId7" Type="http://schemas.openxmlformats.org/officeDocument/2006/relationships/hyperlink" Target="https://prestations.vd.ch/pub/blv-publication/actes/consolide/173.05?key=1769445141592&amp;id=1467b577-0071-48e7-aba8-1ee771a14188" TargetMode="External"/><Relationship Id="rId2" Type="http://schemas.openxmlformats.org/officeDocument/2006/relationships/hyperlink" Target="https://silgeneve.ch/legis/program/books/rsg/htm/rsg_a2_30.htm?myd=1769520160495&amp;app=sil" TargetMode="External"/><Relationship Id="rId1" Type="http://schemas.openxmlformats.org/officeDocument/2006/relationships/hyperlink" Target="https://ai.clex.ch/app/de/texts_of_law/172.700" TargetMode="External"/><Relationship Id="rId6" Type="http://schemas.openxmlformats.org/officeDocument/2006/relationships/hyperlink" Target="https://rsn.ne.ch/DATA/program/books/rsne/htm/152.130.htm?myD=1769521170994" TargetMode="External"/><Relationship Id="rId5" Type="http://schemas.openxmlformats.org/officeDocument/2006/relationships/hyperlink" Target="https://silgeneve.ch/legis/program/books/rsg/htm/rsg_e5_10.htm?myd=1769520888140&amp;app=sil" TargetMode="External"/><Relationship Id="rId4" Type="http://schemas.openxmlformats.org/officeDocument/2006/relationships/hyperlink" Target="https://silgeneve.ch/legis/program/books/rsg/htm/rsg_d3_17.htm?myd=1769520888139&amp;app=s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MI\FR\Vorlagen\fr_RGC_.dotx"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770E6420F78FFB48AE0EA7E03E71724E" ma:contentTypeVersion="2" ma:contentTypeDescription="Crée un document." ma:contentTypeScope="" ma:versionID="9c101b193da6ff7524eceb0f88213492">
  <xsd:schema xmlns:xsd="http://www.w3.org/2001/XMLSchema" xmlns:p="http://schemas.microsoft.com/office/2006/metadata/properties" xmlns:ns2="0b66ecae-dd63-42c5-b151-64c934803fae" xmlns:xs="http://www.w3.org/2001/XMLSchema" targetNamespace="http://schemas.microsoft.com/office/2006/metadata/properties" ma:root="true" ma:fieldsID="4f95caf217f3dbd1eb4130b51f71a8cc" ns2:_="">
    <xsd:import xmlns:xs="http://www.w3.org/2001/XMLSchema" xmlns:xsd="http://www.w3.org/2001/XMLSchema" namespace="0b66ecae-dd63-42c5-b151-64c934803fae"/>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0b66ecae-dd63-42c5-b151-64c934803fae"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4.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99714881-45DE-4C0F-A2E5-53D454A13B0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0b66ecae-dd63-42c5-b151-64c93480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customXml/itemProps3.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4.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fr_RGC_.dotx</Template>
  <TotalTime>0</TotalTime>
  <Pages>4</Pages>
  <Words>1809</Words>
  <Characters>10426</Characters>
  <Application>Microsoft Office Word</Application>
  <DocSecurity>4</DocSecurity>
  <Lines>248</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Fribourg</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Semra Kalan</dc:creator>
  <dc:description/>
  <cp:lastModifiedBy>Waeber Pierre-André</cp:lastModifiedBy>
  <cp:revision>2</cp:revision>
  <cp:lastPrinted>2026-02-18T16:30:00Z</cp:lastPrinted>
  <dcterms:created xsi:type="dcterms:W3CDTF">2026-03-31T07:54:00Z</dcterms:created>
  <dcterms:modified xsi:type="dcterms:W3CDTF">2026-03-31T07:54:00Z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0x010100770E6420F78FFB48AE0EA7E03E71724E</vt:lpwstr>
  </property>
</Properties>
</file>