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E33" w14:textId="58E44683" w:rsidR="006B5C24" w:rsidRPr="00EB6310" w:rsidRDefault="00374F4A" w:rsidP="00FD0818">
      <w:pPr>
        <w:jc w:val="right"/>
        <w:rPr>
          <w:lang w:val="de-CH"/>
        </w:rPr>
      </w:pPr>
      <w:r>
        <w:rPr>
          <w:highlight w:val="yellow"/>
          <w:lang w:val="de-CH"/>
        </w:rPr>
        <w:t xml:space="preserve">FIND/Entwurf vom </w:t>
      </w:r>
      <w:r w:rsidR="001E0CCF">
        <w:rPr>
          <w:highlight w:val="yellow"/>
          <w:lang w:val="de-CH"/>
        </w:rPr>
        <w:t>00</w:t>
      </w:r>
      <w:r>
        <w:rPr>
          <w:highlight w:val="yellow"/>
          <w:lang w:val="de-CH"/>
        </w:rPr>
        <w:t>.0</w:t>
      </w:r>
      <w:r w:rsidR="001E0CCF">
        <w:rPr>
          <w:highlight w:val="yellow"/>
          <w:lang w:val="de-CH"/>
        </w:rPr>
        <w:t>0</w:t>
      </w:r>
      <w:r>
        <w:rPr>
          <w:highlight w:val="yellow"/>
          <w:lang w:val="de-CH"/>
        </w:rPr>
        <w:t>.</w:t>
      </w:r>
      <w:r w:rsidR="001E0CCF">
        <w:rPr>
          <w:highlight w:val="yellow"/>
          <w:lang w:val="de-CH"/>
        </w:rPr>
        <w:t>0000</w:t>
      </w:r>
    </w:p>
    <w:p w14:paraId="7368D0F4" w14:textId="01A279CE" w:rsidR="006B5C24" w:rsidRPr="00EB6310" w:rsidRDefault="00977DC6" w:rsidP="00FC7F16">
      <w:pPr>
        <w:pStyle w:val="05titreprincipalouobjetgras"/>
        <w:tabs>
          <w:tab w:val="right" w:pos="9920"/>
        </w:tabs>
        <w:rPr>
          <w:lang w:val="de-CH"/>
        </w:rPr>
      </w:pPr>
      <w:r w:rsidRPr="00EB6310">
        <w:rPr>
          <w:lang w:val="de-CH"/>
        </w:rPr>
        <w:t xml:space="preserve">Erläuternder </w:t>
      </w:r>
      <w:r w:rsidR="00050DB1" w:rsidRPr="00EB6310">
        <w:rPr>
          <w:lang w:val="de-CH"/>
        </w:rPr>
        <w:t>Bericht</w:t>
      </w:r>
      <w:r w:rsidR="006B5C24" w:rsidRPr="00EB6310">
        <w:rPr>
          <w:lang w:val="de-CH"/>
        </w:rPr>
        <w:t xml:space="preserve"> </w:t>
      </w:r>
      <w:r w:rsidR="006B5C24">
        <w:fldChar w:fldCharType="begin"/>
      </w:r>
      <w:r w:rsidR="006B5C24" w:rsidRPr="00EB6310">
        <w:rPr>
          <w:lang w:val="de-CH"/>
        </w:rPr>
        <w:instrText xml:space="preserve"> COMMENTS "2024-DFIN-37" PATH=Dokument/Geschaeft/*[name()='Geschaeft']/Signatur  \* MERGEFORMAT</w:instrText>
      </w:r>
      <w:r w:rsidR="006B5C24">
        <w:fldChar w:fldCharType="separate"/>
      </w:r>
      <w:r w:rsidR="006B5C24" w:rsidRPr="00EB6310">
        <w:rPr>
          <w:lang w:val="de-CH"/>
        </w:rPr>
        <w:t>2024-DFIN-37</w:t>
      </w:r>
      <w:r w:rsidR="006B5C24">
        <w:fldChar w:fldCharType="end"/>
      </w:r>
      <w:r w:rsidR="006B5C24" w:rsidRPr="00EB6310">
        <w:rPr>
          <w:lang w:val="de-CH"/>
        </w:rPr>
        <w:tab/>
      </w:r>
      <w:r w:rsidR="006B5C24" w:rsidRPr="00EB6310">
        <w:rPr>
          <w:b w:val="0"/>
          <w:bCs/>
          <w:sz w:val="24"/>
          <w:lang w:val="de-CH"/>
        </w:rPr>
        <w:t>00 mois 0000</w:t>
      </w:r>
    </w:p>
    <w:p w14:paraId="17250619" w14:textId="77777777" w:rsidR="006B5C24" w:rsidRPr="009C28A1" w:rsidRDefault="006B5C24" w:rsidP="000000BC">
      <w:pPr>
        <w:pStyle w:val="05titreprincipalouobjetgras"/>
        <w:rPr>
          <w:lang w:val="de-CH"/>
        </w:rPr>
      </w:pPr>
      <w:r w:rsidRPr="009C28A1">
        <w:rPr>
          <w:lang w:val="de-CH"/>
        </w:rPr>
        <w:t>—</w:t>
      </w:r>
    </w:p>
    <w:p w14:paraId="02679E77" w14:textId="6C9BE208" w:rsidR="006B5C24" w:rsidRPr="006D5A40" w:rsidRDefault="006B5C24" w:rsidP="00461369">
      <w:pPr>
        <w:pStyle w:val="04titreprincipalouobjetnormal"/>
        <w:rPr>
          <w:lang w:val="de-CH"/>
        </w:rPr>
      </w:pPr>
      <w:r w:rsidRPr="004A4C3E">
        <w:rPr>
          <w:rFonts w:cs="Arial"/>
        </w:rPr>
        <w:fldChar w:fldCharType="begin"/>
      </w:r>
      <w:r w:rsidRPr="006D5A40">
        <w:rPr>
          <w:lang w:val="de-CH"/>
        </w:rPr>
        <w:instrText xml:space="preserve"> COMMENTS "Mesures d'assainissement des finances de l'Etat 2026-2028 - PAFE" PATH=Dokument/Geschaeft/*[name()='Geschaeft']/Titel  \* MERGEFORMAT</w:instrText>
      </w:r>
      <w:r w:rsidRPr="004A4C3E">
        <w:rPr>
          <w:rFonts w:cs="Arial"/>
        </w:rPr>
        <w:fldChar w:fldCharType="separate"/>
      </w:r>
      <w:r w:rsidR="0029480E" w:rsidRPr="006D5A40">
        <w:rPr>
          <w:rFonts w:cs="Arial"/>
          <w:lang w:val="de-CH"/>
        </w:rPr>
        <w:t>Programm</w:t>
      </w:r>
      <w:r w:rsidR="006D5A40" w:rsidRPr="006D5A40">
        <w:rPr>
          <w:rFonts w:cs="Arial"/>
          <w:lang w:val="de-CH"/>
        </w:rPr>
        <w:t xml:space="preserve"> zur Sanierung der Kantonsfinanzen </w:t>
      </w:r>
      <w:r w:rsidRPr="006D5A40">
        <w:rPr>
          <w:rFonts w:cs="Arial"/>
          <w:lang w:val="de-CH"/>
        </w:rPr>
        <w:t>- P</w:t>
      </w:r>
      <w:r w:rsidR="006D5A40">
        <w:rPr>
          <w:rFonts w:cs="Arial"/>
          <w:lang w:val="de-CH"/>
        </w:rPr>
        <w:t>SKF</w:t>
      </w:r>
      <w:r w:rsidRPr="004A4C3E">
        <w:rPr>
          <w:rFonts w:cs="Arial"/>
        </w:rPr>
        <w:fldChar w:fldCharType="end"/>
      </w:r>
    </w:p>
    <w:p w14:paraId="5C36E33E" w14:textId="087C546A" w:rsidR="006B5C24" w:rsidRPr="00EB6310" w:rsidRDefault="006D5A40" w:rsidP="00B01E1B">
      <w:pPr>
        <w:pStyle w:val="06lead"/>
        <w:rPr>
          <w:i w:val="0"/>
          <w:sz w:val="24"/>
          <w:lang w:val="de-CH"/>
        </w:rPr>
      </w:pPr>
      <w:r w:rsidRPr="004579A8">
        <w:rPr>
          <w:lang w:val="de-CH"/>
        </w:rPr>
        <w:t>Wir unterbreiten Ihnen hiermit den</w:t>
      </w:r>
      <w:r w:rsidR="00977DC6">
        <w:rPr>
          <w:lang w:val="de-CH"/>
        </w:rPr>
        <w:t xml:space="preserve"> erläuternden</w:t>
      </w:r>
      <w:r w:rsidRPr="004579A8">
        <w:rPr>
          <w:lang w:val="de-CH"/>
        </w:rPr>
        <w:t xml:space="preserve"> Bericht zum </w:t>
      </w:r>
      <w:r w:rsidR="00977DC6">
        <w:rPr>
          <w:lang w:val="de-CH"/>
        </w:rPr>
        <w:t>Vorentwurf des Gesetzes zur Sanierung der Kantonsfinanzen (SK</w:t>
      </w:r>
      <w:r w:rsidR="0046088B">
        <w:rPr>
          <w:lang w:val="de-CH"/>
        </w:rPr>
        <w:t>F</w:t>
      </w:r>
      <w:r w:rsidR="00977DC6">
        <w:rPr>
          <w:lang w:val="de-CH"/>
        </w:rPr>
        <w:t>G)</w:t>
      </w:r>
      <w:r w:rsidRPr="004579A8">
        <w:rPr>
          <w:lang w:val="de-CH"/>
        </w:rPr>
        <w:t xml:space="preserve">. Dieser </w:t>
      </w:r>
      <w:r w:rsidR="00977DC6">
        <w:rPr>
          <w:lang w:val="de-CH"/>
        </w:rPr>
        <w:t xml:space="preserve">erläuternde </w:t>
      </w:r>
      <w:r w:rsidRPr="004579A8">
        <w:rPr>
          <w:lang w:val="de-CH"/>
        </w:rPr>
        <w:t>Bericht ist wie folgt gegliedert</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40B89B37" w14:textId="46B25A1D" w:rsidR="006B5C24" w:rsidRPr="00EB6310" w:rsidRDefault="00050DB1" w:rsidP="00D04CC2">
          <w:pPr>
            <w:pStyle w:val="En-ttedetabledesmatires"/>
            <w:spacing w:before="360"/>
            <w:rPr>
              <w:lang w:val="de-CH"/>
            </w:rPr>
          </w:pPr>
          <w:r w:rsidRPr="00EB6310">
            <w:rPr>
              <w:lang w:val="de-CH"/>
            </w:rPr>
            <w:t>Inhalt</w:t>
          </w:r>
        </w:p>
        <w:p w14:paraId="052767B9" w14:textId="77777777" w:rsidR="006B5C24" w:rsidRPr="00EB6310" w:rsidRDefault="006B5C24" w:rsidP="00FD0818">
          <w:pPr>
            <w:pStyle w:val="Tiret"/>
            <w:rPr>
              <w:lang w:val="de-CH"/>
            </w:rPr>
          </w:pPr>
          <w:r w:rsidRPr="00EB6310">
            <w:rPr>
              <w:lang w:val="de-CH"/>
            </w:rPr>
            <w:t>—</w:t>
          </w:r>
        </w:p>
        <w:p w14:paraId="522F7AD8" w14:textId="57280602" w:rsidR="00877DA7" w:rsidRDefault="006B5C24">
          <w:pPr>
            <w:pStyle w:val="TM1"/>
            <w:rPr>
              <w:rFonts w:asciiTheme="minorHAnsi" w:eastAsiaTheme="minorEastAsia" w:hAnsiTheme="minorHAnsi"/>
              <w:b w:val="0"/>
              <w:kern w:val="2"/>
              <w:sz w:val="24"/>
              <w:szCs w:val="24"/>
              <w:lang w:val="de-CH" w:eastAsia="de-CH"/>
              <w14:ligatures w14:val="standardContextual"/>
            </w:rPr>
          </w:pPr>
          <w:r w:rsidRPr="00FE3A13">
            <w:rPr>
              <w:color w:val="009581" w:themeColor="accent3"/>
            </w:rPr>
            <w:fldChar w:fldCharType="begin"/>
          </w:r>
          <w:r w:rsidRPr="00FE3A13">
            <w:instrText xml:space="preserve"> TOC \o "1-3" \h \z \u </w:instrText>
          </w:r>
          <w:r w:rsidRPr="00FE3A13">
            <w:rPr>
              <w:color w:val="009581" w:themeColor="accent3"/>
            </w:rPr>
            <w:fldChar w:fldCharType="separate"/>
          </w:r>
          <w:hyperlink w:anchor="_Toc196226191" w:history="1">
            <w:r w:rsidR="00877DA7" w:rsidRPr="0087236C">
              <w:rPr>
                <w:rStyle w:val="Lienhypertexte"/>
                <w:lang w:val="de-CH"/>
              </w:rPr>
              <w:t>1</w:t>
            </w:r>
            <w:r w:rsidR="00877DA7">
              <w:rPr>
                <w:rFonts w:asciiTheme="minorHAnsi" w:eastAsiaTheme="minorEastAsia" w:hAnsiTheme="minorHAnsi"/>
                <w:b w:val="0"/>
                <w:kern w:val="2"/>
                <w:sz w:val="24"/>
                <w:szCs w:val="24"/>
                <w:lang w:val="de-CH" w:eastAsia="de-CH"/>
                <w14:ligatures w14:val="standardContextual"/>
              </w:rPr>
              <w:tab/>
            </w:r>
            <w:r w:rsidR="00877DA7" w:rsidRPr="0087236C">
              <w:rPr>
                <w:rStyle w:val="Lienhypertexte"/>
                <w:lang w:val="de-CH"/>
              </w:rPr>
              <w:t>Einleitung</w:t>
            </w:r>
            <w:r w:rsidR="00877DA7">
              <w:rPr>
                <w:webHidden/>
              </w:rPr>
              <w:tab/>
            </w:r>
            <w:r w:rsidR="00877DA7">
              <w:rPr>
                <w:webHidden/>
              </w:rPr>
              <w:fldChar w:fldCharType="begin"/>
            </w:r>
            <w:r w:rsidR="00877DA7">
              <w:rPr>
                <w:webHidden/>
              </w:rPr>
              <w:instrText xml:space="preserve"> PAGEREF _Toc196226191 \h </w:instrText>
            </w:r>
            <w:r w:rsidR="00877DA7">
              <w:rPr>
                <w:webHidden/>
              </w:rPr>
            </w:r>
            <w:r w:rsidR="00877DA7">
              <w:rPr>
                <w:webHidden/>
              </w:rPr>
              <w:fldChar w:fldCharType="separate"/>
            </w:r>
            <w:r w:rsidR="0096549C">
              <w:rPr>
                <w:webHidden/>
              </w:rPr>
              <w:t>5</w:t>
            </w:r>
            <w:r w:rsidR="00877DA7">
              <w:rPr>
                <w:webHidden/>
              </w:rPr>
              <w:fldChar w:fldCharType="end"/>
            </w:r>
          </w:hyperlink>
        </w:p>
        <w:p w14:paraId="028888D0" w14:textId="5BDD3D01"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192" w:history="1">
            <w:r w:rsidRPr="0087236C">
              <w:rPr>
                <w:rStyle w:val="Lienhypertexte"/>
                <w:lang w:val="de-CH"/>
              </w:rPr>
              <w:t>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Warum braucht es ein PSKF?</w:t>
            </w:r>
            <w:r>
              <w:rPr>
                <w:webHidden/>
              </w:rPr>
              <w:tab/>
            </w:r>
            <w:r>
              <w:rPr>
                <w:webHidden/>
              </w:rPr>
              <w:fldChar w:fldCharType="begin"/>
            </w:r>
            <w:r>
              <w:rPr>
                <w:webHidden/>
              </w:rPr>
              <w:instrText xml:space="preserve"> PAGEREF _Toc196226192 \h </w:instrText>
            </w:r>
            <w:r>
              <w:rPr>
                <w:webHidden/>
              </w:rPr>
            </w:r>
            <w:r>
              <w:rPr>
                <w:webHidden/>
              </w:rPr>
              <w:fldChar w:fldCharType="separate"/>
            </w:r>
            <w:r w:rsidR="0096549C">
              <w:rPr>
                <w:webHidden/>
              </w:rPr>
              <w:t>5</w:t>
            </w:r>
            <w:r>
              <w:rPr>
                <w:webHidden/>
              </w:rPr>
              <w:fldChar w:fldCharType="end"/>
            </w:r>
          </w:hyperlink>
        </w:p>
        <w:p w14:paraId="4AF54CF5" w14:textId="58828AEE"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193" w:history="1">
            <w:r w:rsidRPr="0087236C">
              <w:rPr>
                <w:rStyle w:val="Lienhypertexte"/>
              </w:rPr>
              <w:t>2.1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Vorgeschriebenes Haushaltsgleichgewicht</w:t>
            </w:r>
            <w:r>
              <w:rPr>
                <w:webHidden/>
              </w:rPr>
              <w:tab/>
            </w:r>
            <w:r>
              <w:rPr>
                <w:webHidden/>
              </w:rPr>
              <w:fldChar w:fldCharType="begin"/>
            </w:r>
            <w:r>
              <w:rPr>
                <w:webHidden/>
              </w:rPr>
              <w:instrText xml:space="preserve"> PAGEREF _Toc196226193 \h </w:instrText>
            </w:r>
            <w:r>
              <w:rPr>
                <w:webHidden/>
              </w:rPr>
            </w:r>
            <w:r>
              <w:rPr>
                <w:webHidden/>
              </w:rPr>
              <w:fldChar w:fldCharType="separate"/>
            </w:r>
            <w:r w:rsidR="0096549C">
              <w:rPr>
                <w:webHidden/>
              </w:rPr>
              <w:t>6</w:t>
            </w:r>
            <w:r>
              <w:rPr>
                <w:webHidden/>
              </w:rPr>
              <w:fldChar w:fldCharType="end"/>
            </w:r>
          </w:hyperlink>
        </w:p>
        <w:p w14:paraId="3F963217" w14:textId="04C77D1B"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194" w:history="1">
            <w:r w:rsidRPr="0087236C">
              <w:rPr>
                <w:rStyle w:val="Lienhypertexte"/>
              </w:rPr>
              <w:t>2.2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Ergebnis des aktualisierten Finanzplans</w:t>
            </w:r>
            <w:r>
              <w:rPr>
                <w:webHidden/>
              </w:rPr>
              <w:tab/>
            </w:r>
            <w:r>
              <w:rPr>
                <w:webHidden/>
              </w:rPr>
              <w:fldChar w:fldCharType="begin"/>
            </w:r>
            <w:r>
              <w:rPr>
                <w:webHidden/>
              </w:rPr>
              <w:instrText xml:space="preserve"> PAGEREF _Toc196226194 \h </w:instrText>
            </w:r>
            <w:r>
              <w:rPr>
                <w:webHidden/>
              </w:rPr>
            </w:r>
            <w:r>
              <w:rPr>
                <w:webHidden/>
              </w:rPr>
              <w:fldChar w:fldCharType="separate"/>
            </w:r>
            <w:r w:rsidR="0096549C">
              <w:rPr>
                <w:webHidden/>
              </w:rPr>
              <w:t>6</w:t>
            </w:r>
            <w:r>
              <w:rPr>
                <w:webHidden/>
              </w:rPr>
              <w:fldChar w:fldCharType="end"/>
            </w:r>
          </w:hyperlink>
        </w:p>
        <w:p w14:paraId="000C7A18" w14:textId="34F606C6"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195" w:history="1">
            <w:r w:rsidRPr="0087236C">
              <w:rPr>
                <w:rStyle w:val="Lienhypertexte"/>
                <w:lang w:val="de-CH"/>
              </w:rPr>
              <w:t>2.3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Ungewissheit über die Entwicklung der externen Einnahmen</w:t>
            </w:r>
            <w:r>
              <w:rPr>
                <w:webHidden/>
              </w:rPr>
              <w:tab/>
            </w:r>
            <w:r>
              <w:rPr>
                <w:webHidden/>
              </w:rPr>
              <w:fldChar w:fldCharType="begin"/>
            </w:r>
            <w:r>
              <w:rPr>
                <w:webHidden/>
              </w:rPr>
              <w:instrText xml:space="preserve"> PAGEREF _Toc196226195 \h </w:instrText>
            </w:r>
            <w:r>
              <w:rPr>
                <w:webHidden/>
              </w:rPr>
            </w:r>
            <w:r>
              <w:rPr>
                <w:webHidden/>
              </w:rPr>
              <w:fldChar w:fldCharType="separate"/>
            </w:r>
            <w:r w:rsidR="0096549C">
              <w:rPr>
                <w:webHidden/>
              </w:rPr>
              <w:t>8</w:t>
            </w:r>
            <w:r>
              <w:rPr>
                <w:webHidden/>
              </w:rPr>
              <w:fldChar w:fldCharType="end"/>
            </w:r>
          </w:hyperlink>
        </w:p>
        <w:p w14:paraId="79B4A71C" w14:textId="7966B015"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196" w:history="1">
            <w:r w:rsidRPr="0087236C">
              <w:rPr>
                <w:rStyle w:val="Lienhypertexte"/>
              </w:rPr>
              <w:t>2.4</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Auswirkungen des Entlastungspakets 2027 des Bundes</w:t>
            </w:r>
            <w:r>
              <w:rPr>
                <w:webHidden/>
              </w:rPr>
              <w:tab/>
            </w:r>
            <w:r>
              <w:rPr>
                <w:webHidden/>
              </w:rPr>
              <w:fldChar w:fldCharType="begin"/>
            </w:r>
            <w:r>
              <w:rPr>
                <w:webHidden/>
              </w:rPr>
              <w:instrText xml:space="preserve"> PAGEREF _Toc196226196 \h </w:instrText>
            </w:r>
            <w:r>
              <w:rPr>
                <w:webHidden/>
              </w:rPr>
            </w:r>
            <w:r>
              <w:rPr>
                <w:webHidden/>
              </w:rPr>
              <w:fldChar w:fldCharType="separate"/>
            </w:r>
            <w:r w:rsidR="0096549C">
              <w:rPr>
                <w:webHidden/>
              </w:rPr>
              <w:t>9</w:t>
            </w:r>
            <w:r>
              <w:rPr>
                <w:webHidden/>
              </w:rPr>
              <w:fldChar w:fldCharType="end"/>
            </w:r>
          </w:hyperlink>
        </w:p>
        <w:p w14:paraId="227BC673" w14:textId="46046A8A"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197" w:history="1">
            <w:r w:rsidRPr="0087236C">
              <w:rPr>
                <w:rStyle w:val="Lienhypertexte"/>
              </w:rPr>
              <w:t>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Strategie und Ziele des Staatsrats</w:t>
            </w:r>
            <w:r>
              <w:rPr>
                <w:webHidden/>
              </w:rPr>
              <w:tab/>
            </w:r>
            <w:r>
              <w:rPr>
                <w:webHidden/>
              </w:rPr>
              <w:fldChar w:fldCharType="begin"/>
            </w:r>
            <w:r>
              <w:rPr>
                <w:webHidden/>
              </w:rPr>
              <w:instrText xml:space="preserve"> PAGEREF _Toc196226197 \h </w:instrText>
            </w:r>
            <w:r>
              <w:rPr>
                <w:webHidden/>
              </w:rPr>
            </w:r>
            <w:r>
              <w:rPr>
                <w:webHidden/>
              </w:rPr>
              <w:fldChar w:fldCharType="separate"/>
            </w:r>
            <w:r w:rsidR="0096549C">
              <w:rPr>
                <w:webHidden/>
              </w:rPr>
              <w:t>10</w:t>
            </w:r>
            <w:r>
              <w:rPr>
                <w:webHidden/>
              </w:rPr>
              <w:fldChar w:fldCharType="end"/>
            </w:r>
          </w:hyperlink>
        </w:p>
        <w:p w14:paraId="0178F2D6" w14:textId="44EC470E"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198" w:history="1">
            <w:r w:rsidRPr="0087236C">
              <w:rPr>
                <w:rStyle w:val="Lienhypertexte"/>
              </w:rPr>
              <w:t>3.1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Partizipatives Verfahren</w:t>
            </w:r>
            <w:r>
              <w:rPr>
                <w:webHidden/>
              </w:rPr>
              <w:tab/>
            </w:r>
            <w:r>
              <w:rPr>
                <w:webHidden/>
              </w:rPr>
              <w:fldChar w:fldCharType="begin"/>
            </w:r>
            <w:r>
              <w:rPr>
                <w:webHidden/>
              </w:rPr>
              <w:instrText xml:space="preserve"> PAGEREF _Toc196226198 \h </w:instrText>
            </w:r>
            <w:r>
              <w:rPr>
                <w:webHidden/>
              </w:rPr>
            </w:r>
            <w:r>
              <w:rPr>
                <w:webHidden/>
              </w:rPr>
              <w:fldChar w:fldCharType="separate"/>
            </w:r>
            <w:r w:rsidR="0096549C">
              <w:rPr>
                <w:webHidden/>
              </w:rPr>
              <w:t>10</w:t>
            </w:r>
            <w:r>
              <w:rPr>
                <w:webHidden/>
              </w:rPr>
              <w:fldChar w:fldCharType="end"/>
            </w:r>
          </w:hyperlink>
        </w:p>
        <w:p w14:paraId="1808B30B" w14:textId="3078A7C0"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199" w:history="1">
            <w:r w:rsidRPr="0087236C">
              <w:rPr>
                <w:rStyle w:val="Lienhypertexte"/>
                <w:noProof/>
              </w:rPr>
              <w:t>3.1.1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Massnahmenvorschläge</w:t>
            </w:r>
            <w:r>
              <w:rPr>
                <w:noProof/>
                <w:webHidden/>
              </w:rPr>
              <w:tab/>
            </w:r>
            <w:r>
              <w:rPr>
                <w:noProof/>
                <w:webHidden/>
              </w:rPr>
              <w:fldChar w:fldCharType="begin"/>
            </w:r>
            <w:r>
              <w:rPr>
                <w:noProof/>
                <w:webHidden/>
              </w:rPr>
              <w:instrText xml:space="preserve"> PAGEREF _Toc196226199 \h </w:instrText>
            </w:r>
            <w:r>
              <w:rPr>
                <w:noProof/>
                <w:webHidden/>
              </w:rPr>
            </w:r>
            <w:r>
              <w:rPr>
                <w:noProof/>
                <w:webHidden/>
              </w:rPr>
              <w:fldChar w:fldCharType="separate"/>
            </w:r>
            <w:r w:rsidR="0096549C">
              <w:rPr>
                <w:noProof/>
                <w:webHidden/>
              </w:rPr>
              <w:t>10</w:t>
            </w:r>
            <w:r>
              <w:rPr>
                <w:noProof/>
                <w:webHidden/>
              </w:rPr>
              <w:fldChar w:fldCharType="end"/>
            </w:r>
          </w:hyperlink>
        </w:p>
        <w:p w14:paraId="20C9626C" w14:textId="611EDD52"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00" w:history="1">
            <w:r w:rsidRPr="0087236C">
              <w:rPr>
                <w:rStyle w:val="Lienhypertexte"/>
                <w:noProof/>
              </w:rPr>
              <w:t>3.1.2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Die Arbeitsgruppen</w:t>
            </w:r>
            <w:r>
              <w:rPr>
                <w:noProof/>
                <w:webHidden/>
              </w:rPr>
              <w:tab/>
            </w:r>
            <w:r>
              <w:rPr>
                <w:noProof/>
                <w:webHidden/>
              </w:rPr>
              <w:fldChar w:fldCharType="begin"/>
            </w:r>
            <w:r>
              <w:rPr>
                <w:noProof/>
                <w:webHidden/>
              </w:rPr>
              <w:instrText xml:space="preserve"> PAGEREF _Toc196226200 \h </w:instrText>
            </w:r>
            <w:r>
              <w:rPr>
                <w:noProof/>
                <w:webHidden/>
              </w:rPr>
            </w:r>
            <w:r>
              <w:rPr>
                <w:noProof/>
                <w:webHidden/>
              </w:rPr>
              <w:fldChar w:fldCharType="separate"/>
            </w:r>
            <w:r w:rsidR="0096549C">
              <w:rPr>
                <w:noProof/>
                <w:webHidden/>
              </w:rPr>
              <w:t>10</w:t>
            </w:r>
            <w:r>
              <w:rPr>
                <w:noProof/>
                <w:webHidden/>
              </w:rPr>
              <w:fldChar w:fldCharType="end"/>
            </w:r>
          </w:hyperlink>
        </w:p>
        <w:p w14:paraId="68D19BC4" w14:textId="1D8C5AC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01" w:history="1">
            <w:r w:rsidRPr="0087236C">
              <w:rPr>
                <w:rStyle w:val="Lienhypertexte"/>
                <w:noProof/>
              </w:rPr>
              <w:t>3.1.3</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Wahl der Massnahmen</w:t>
            </w:r>
            <w:r>
              <w:rPr>
                <w:noProof/>
                <w:webHidden/>
              </w:rPr>
              <w:tab/>
            </w:r>
            <w:r>
              <w:rPr>
                <w:noProof/>
                <w:webHidden/>
              </w:rPr>
              <w:fldChar w:fldCharType="begin"/>
            </w:r>
            <w:r>
              <w:rPr>
                <w:noProof/>
                <w:webHidden/>
              </w:rPr>
              <w:instrText xml:space="preserve"> PAGEREF _Toc196226201 \h </w:instrText>
            </w:r>
            <w:r>
              <w:rPr>
                <w:noProof/>
                <w:webHidden/>
              </w:rPr>
            </w:r>
            <w:r>
              <w:rPr>
                <w:noProof/>
                <w:webHidden/>
              </w:rPr>
              <w:fldChar w:fldCharType="separate"/>
            </w:r>
            <w:r w:rsidR="0096549C">
              <w:rPr>
                <w:noProof/>
                <w:webHidden/>
              </w:rPr>
              <w:t>10</w:t>
            </w:r>
            <w:r>
              <w:rPr>
                <w:noProof/>
                <w:webHidden/>
              </w:rPr>
              <w:fldChar w:fldCharType="end"/>
            </w:r>
          </w:hyperlink>
        </w:p>
        <w:p w14:paraId="4C519E2F" w14:textId="2F082129"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02" w:history="1">
            <w:r w:rsidRPr="0087236C">
              <w:rPr>
                <w:rStyle w:val="Lienhypertexte"/>
                <w:lang w:val="de-CH"/>
              </w:rPr>
              <w:t>3.2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Zielsetzungen</w:t>
            </w:r>
            <w:r>
              <w:rPr>
                <w:webHidden/>
              </w:rPr>
              <w:tab/>
            </w:r>
            <w:r>
              <w:rPr>
                <w:webHidden/>
              </w:rPr>
              <w:fldChar w:fldCharType="begin"/>
            </w:r>
            <w:r>
              <w:rPr>
                <w:webHidden/>
              </w:rPr>
              <w:instrText xml:space="preserve"> PAGEREF _Toc196226202 \h </w:instrText>
            </w:r>
            <w:r>
              <w:rPr>
                <w:webHidden/>
              </w:rPr>
            </w:r>
            <w:r>
              <w:rPr>
                <w:webHidden/>
              </w:rPr>
              <w:fldChar w:fldCharType="separate"/>
            </w:r>
            <w:r w:rsidR="0096549C">
              <w:rPr>
                <w:webHidden/>
              </w:rPr>
              <w:t>11</w:t>
            </w:r>
            <w:r>
              <w:rPr>
                <w:webHidden/>
              </w:rPr>
              <w:fldChar w:fldCharType="end"/>
            </w:r>
          </w:hyperlink>
        </w:p>
        <w:p w14:paraId="722E497D" w14:textId="4EB8F605"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03" w:history="1">
            <w:r w:rsidRPr="0087236C">
              <w:rPr>
                <w:rStyle w:val="Lienhypertexte"/>
              </w:rPr>
              <w:t>3.3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Fallengelassene oder zurückgestellte Massnahmen</w:t>
            </w:r>
            <w:r>
              <w:rPr>
                <w:webHidden/>
              </w:rPr>
              <w:tab/>
            </w:r>
            <w:r>
              <w:rPr>
                <w:webHidden/>
              </w:rPr>
              <w:fldChar w:fldCharType="begin"/>
            </w:r>
            <w:r>
              <w:rPr>
                <w:webHidden/>
              </w:rPr>
              <w:instrText xml:space="preserve"> PAGEREF _Toc196226203 \h </w:instrText>
            </w:r>
            <w:r>
              <w:rPr>
                <w:webHidden/>
              </w:rPr>
            </w:r>
            <w:r>
              <w:rPr>
                <w:webHidden/>
              </w:rPr>
              <w:fldChar w:fldCharType="separate"/>
            </w:r>
            <w:r w:rsidR="0096549C">
              <w:rPr>
                <w:webHidden/>
              </w:rPr>
              <w:t>11</w:t>
            </w:r>
            <w:r>
              <w:rPr>
                <w:webHidden/>
              </w:rPr>
              <w:fldChar w:fldCharType="end"/>
            </w:r>
          </w:hyperlink>
        </w:p>
        <w:p w14:paraId="74C62722" w14:textId="5D8F1814"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04" w:history="1">
            <w:r w:rsidRPr="0087236C">
              <w:rPr>
                <w:rStyle w:val="Lienhypertexte"/>
                <w:noProof/>
              </w:rPr>
              <w:t>3.3.1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Fallengelassene Massnahmen</w:t>
            </w:r>
            <w:r>
              <w:rPr>
                <w:noProof/>
                <w:webHidden/>
              </w:rPr>
              <w:tab/>
            </w:r>
            <w:r>
              <w:rPr>
                <w:noProof/>
                <w:webHidden/>
              </w:rPr>
              <w:fldChar w:fldCharType="begin"/>
            </w:r>
            <w:r>
              <w:rPr>
                <w:noProof/>
                <w:webHidden/>
              </w:rPr>
              <w:instrText xml:space="preserve"> PAGEREF _Toc196226204 \h </w:instrText>
            </w:r>
            <w:r>
              <w:rPr>
                <w:noProof/>
                <w:webHidden/>
              </w:rPr>
            </w:r>
            <w:r>
              <w:rPr>
                <w:noProof/>
                <w:webHidden/>
              </w:rPr>
              <w:fldChar w:fldCharType="separate"/>
            </w:r>
            <w:r w:rsidR="0096549C">
              <w:rPr>
                <w:noProof/>
                <w:webHidden/>
              </w:rPr>
              <w:t>11</w:t>
            </w:r>
            <w:r>
              <w:rPr>
                <w:noProof/>
                <w:webHidden/>
              </w:rPr>
              <w:fldChar w:fldCharType="end"/>
            </w:r>
          </w:hyperlink>
        </w:p>
        <w:p w14:paraId="70D844C0" w14:textId="4C70C69A"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05" w:history="1">
            <w:r w:rsidRPr="0087236C">
              <w:rPr>
                <w:rStyle w:val="Lienhypertexte"/>
                <w:noProof/>
              </w:rPr>
              <w:t>3.3.2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Zurückgestellte Massnahmen</w:t>
            </w:r>
            <w:r>
              <w:rPr>
                <w:noProof/>
                <w:webHidden/>
              </w:rPr>
              <w:tab/>
            </w:r>
            <w:r>
              <w:rPr>
                <w:noProof/>
                <w:webHidden/>
              </w:rPr>
              <w:fldChar w:fldCharType="begin"/>
            </w:r>
            <w:r>
              <w:rPr>
                <w:noProof/>
                <w:webHidden/>
              </w:rPr>
              <w:instrText xml:space="preserve"> PAGEREF _Toc196226205 \h </w:instrText>
            </w:r>
            <w:r>
              <w:rPr>
                <w:noProof/>
                <w:webHidden/>
              </w:rPr>
            </w:r>
            <w:r>
              <w:rPr>
                <w:noProof/>
                <w:webHidden/>
              </w:rPr>
              <w:fldChar w:fldCharType="separate"/>
            </w:r>
            <w:r w:rsidR="0096549C">
              <w:rPr>
                <w:noProof/>
                <w:webHidden/>
              </w:rPr>
              <w:t>11</w:t>
            </w:r>
            <w:r>
              <w:rPr>
                <w:noProof/>
                <w:webHidden/>
              </w:rPr>
              <w:fldChar w:fldCharType="end"/>
            </w:r>
          </w:hyperlink>
        </w:p>
        <w:p w14:paraId="33D26E44" w14:textId="4BC68F36"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06" w:history="1">
            <w:r w:rsidRPr="0087236C">
              <w:rPr>
                <w:rStyle w:val="Lienhypertexte"/>
                <w:noProof/>
              </w:rPr>
              <w:t>3.3.3</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Weitergehende Prüfung</w:t>
            </w:r>
            <w:r>
              <w:rPr>
                <w:noProof/>
                <w:webHidden/>
              </w:rPr>
              <w:tab/>
            </w:r>
            <w:r>
              <w:rPr>
                <w:noProof/>
                <w:webHidden/>
              </w:rPr>
              <w:fldChar w:fldCharType="begin"/>
            </w:r>
            <w:r>
              <w:rPr>
                <w:noProof/>
                <w:webHidden/>
              </w:rPr>
              <w:instrText xml:space="preserve"> PAGEREF _Toc196226206 \h </w:instrText>
            </w:r>
            <w:r>
              <w:rPr>
                <w:noProof/>
                <w:webHidden/>
              </w:rPr>
            </w:r>
            <w:r>
              <w:rPr>
                <w:noProof/>
                <w:webHidden/>
              </w:rPr>
              <w:fldChar w:fldCharType="separate"/>
            </w:r>
            <w:r w:rsidR="0096549C">
              <w:rPr>
                <w:noProof/>
                <w:webHidden/>
              </w:rPr>
              <w:t>11</w:t>
            </w:r>
            <w:r>
              <w:rPr>
                <w:noProof/>
                <w:webHidden/>
              </w:rPr>
              <w:fldChar w:fldCharType="end"/>
            </w:r>
          </w:hyperlink>
        </w:p>
        <w:p w14:paraId="2ADCEB90" w14:textId="5446F631"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207" w:history="1">
            <w:r w:rsidRPr="0087236C">
              <w:rPr>
                <w:rStyle w:val="Lienhypertexte"/>
                <w:lang w:val="de-CH"/>
              </w:rPr>
              <w:t>4</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Massnahmenprogramm</w:t>
            </w:r>
            <w:r>
              <w:rPr>
                <w:webHidden/>
              </w:rPr>
              <w:tab/>
            </w:r>
            <w:r>
              <w:rPr>
                <w:webHidden/>
              </w:rPr>
              <w:fldChar w:fldCharType="begin"/>
            </w:r>
            <w:r>
              <w:rPr>
                <w:webHidden/>
              </w:rPr>
              <w:instrText xml:space="preserve"> PAGEREF _Toc196226207 \h </w:instrText>
            </w:r>
            <w:r>
              <w:rPr>
                <w:webHidden/>
              </w:rPr>
            </w:r>
            <w:r>
              <w:rPr>
                <w:webHidden/>
              </w:rPr>
              <w:fldChar w:fldCharType="separate"/>
            </w:r>
            <w:r w:rsidR="0096549C">
              <w:rPr>
                <w:webHidden/>
              </w:rPr>
              <w:t>11</w:t>
            </w:r>
            <w:r>
              <w:rPr>
                <w:webHidden/>
              </w:rPr>
              <w:fldChar w:fldCharType="end"/>
            </w:r>
          </w:hyperlink>
        </w:p>
        <w:p w14:paraId="7845CA60" w14:textId="0DD0AD51"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08" w:history="1">
            <w:r w:rsidRPr="0087236C">
              <w:rPr>
                <w:rStyle w:val="Lienhypertexte"/>
                <w:lang w:val="de-CH"/>
              </w:rPr>
              <w:t>4.1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Zahlen</w:t>
            </w:r>
            <w:r>
              <w:rPr>
                <w:webHidden/>
              </w:rPr>
              <w:tab/>
            </w:r>
            <w:r>
              <w:rPr>
                <w:webHidden/>
              </w:rPr>
              <w:fldChar w:fldCharType="begin"/>
            </w:r>
            <w:r>
              <w:rPr>
                <w:webHidden/>
              </w:rPr>
              <w:instrText xml:space="preserve"> PAGEREF _Toc196226208 \h </w:instrText>
            </w:r>
            <w:r>
              <w:rPr>
                <w:webHidden/>
              </w:rPr>
            </w:r>
            <w:r>
              <w:rPr>
                <w:webHidden/>
              </w:rPr>
              <w:fldChar w:fldCharType="separate"/>
            </w:r>
            <w:r w:rsidR="0096549C">
              <w:rPr>
                <w:webHidden/>
              </w:rPr>
              <w:t>12</w:t>
            </w:r>
            <w:r>
              <w:rPr>
                <w:webHidden/>
              </w:rPr>
              <w:fldChar w:fldCharType="end"/>
            </w:r>
          </w:hyperlink>
        </w:p>
        <w:p w14:paraId="2871C7A0" w14:textId="20672D20"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09" w:history="1">
            <w:r w:rsidRPr="0087236C">
              <w:rPr>
                <w:rStyle w:val="Lienhypertexte"/>
                <w:lang w:val="de-CH"/>
              </w:rPr>
              <w:t>4.2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Massnahmen in der Zuständigkeit des Grossen Rates</w:t>
            </w:r>
            <w:r>
              <w:rPr>
                <w:webHidden/>
              </w:rPr>
              <w:tab/>
            </w:r>
            <w:r>
              <w:rPr>
                <w:webHidden/>
              </w:rPr>
              <w:fldChar w:fldCharType="begin"/>
            </w:r>
            <w:r>
              <w:rPr>
                <w:webHidden/>
              </w:rPr>
              <w:instrText xml:space="preserve"> PAGEREF _Toc196226209 \h </w:instrText>
            </w:r>
            <w:r>
              <w:rPr>
                <w:webHidden/>
              </w:rPr>
            </w:r>
            <w:r>
              <w:rPr>
                <w:webHidden/>
              </w:rPr>
              <w:fldChar w:fldCharType="separate"/>
            </w:r>
            <w:r w:rsidR="0096549C">
              <w:rPr>
                <w:webHidden/>
              </w:rPr>
              <w:t>12</w:t>
            </w:r>
            <w:r>
              <w:rPr>
                <w:webHidden/>
              </w:rPr>
              <w:fldChar w:fldCharType="end"/>
            </w:r>
          </w:hyperlink>
        </w:p>
        <w:p w14:paraId="30041D9E" w14:textId="3A6724C6"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0" w:history="1">
            <w:r w:rsidRPr="0087236C">
              <w:rPr>
                <w:rStyle w:val="Lienhypertexte"/>
                <w:noProof/>
                <w:lang w:val="de-CH"/>
              </w:rPr>
              <w:t>4.2.1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Einnahmen</w:t>
            </w:r>
            <w:r>
              <w:rPr>
                <w:noProof/>
                <w:webHidden/>
              </w:rPr>
              <w:tab/>
            </w:r>
            <w:r>
              <w:rPr>
                <w:noProof/>
                <w:webHidden/>
              </w:rPr>
              <w:fldChar w:fldCharType="begin"/>
            </w:r>
            <w:r>
              <w:rPr>
                <w:noProof/>
                <w:webHidden/>
              </w:rPr>
              <w:instrText xml:space="preserve"> PAGEREF _Toc196226210 \h </w:instrText>
            </w:r>
            <w:r>
              <w:rPr>
                <w:noProof/>
                <w:webHidden/>
              </w:rPr>
            </w:r>
            <w:r>
              <w:rPr>
                <w:noProof/>
                <w:webHidden/>
              </w:rPr>
              <w:fldChar w:fldCharType="separate"/>
            </w:r>
            <w:r w:rsidR="0096549C">
              <w:rPr>
                <w:noProof/>
                <w:webHidden/>
              </w:rPr>
              <w:t>12</w:t>
            </w:r>
            <w:r>
              <w:rPr>
                <w:noProof/>
                <w:webHidden/>
              </w:rPr>
              <w:fldChar w:fldCharType="end"/>
            </w:r>
          </w:hyperlink>
        </w:p>
        <w:p w14:paraId="28F0FDBB" w14:textId="226ED455"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1" w:history="1">
            <w:r w:rsidRPr="0087236C">
              <w:rPr>
                <w:rStyle w:val="Lienhypertexte"/>
                <w:noProof/>
                <w:lang w:val="de-CH"/>
              </w:rPr>
              <w:t>4.2.2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Personal</w:t>
            </w:r>
            <w:r>
              <w:rPr>
                <w:noProof/>
                <w:webHidden/>
              </w:rPr>
              <w:tab/>
            </w:r>
            <w:r>
              <w:rPr>
                <w:noProof/>
                <w:webHidden/>
              </w:rPr>
              <w:fldChar w:fldCharType="begin"/>
            </w:r>
            <w:r>
              <w:rPr>
                <w:noProof/>
                <w:webHidden/>
              </w:rPr>
              <w:instrText xml:space="preserve"> PAGEREF _Toc196226211 \h </w:instrText>
            </w:r>
            <w:r>
              <w:rPr>
                <w:noProof/>
                <w:webHidden/>
              </w:rPr>
            </w:r>
            <w:r>
              <w:rPr>
                <w:noProof/>
                <w:webHidden/>
              </w:rPr>
              <w:fldChar w:fldCharType="separate"/>
            </w:r>
            <w:r w:rsidR="0096549C">
              <w:rPr>
                <w:noProof/>
                <w:webHidden/>
              </w:rPr>
              <w:t>14</w:t>
            </w:r>
            <w:r>
              <w:rPr>
                <w:noProof/>
                <w:webHidden/>
              </w:rPr>
              <w:fldChar w:fldCharType="end"/>
            </w:r>
          </w:hyperlink>
        </w:p>
        <w:p w14:paraId="4042C5C7" w14:textId="432A0597"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2" w:history="1">
            <w:r w:rsidRPr="0087236C">
              <w:rPr>
                <w:rStyle w:val="Lienhypertexte"/>
                <w:noProof/>
                <w:lang w:val="de-CH"/>
              </w:rPr>
              <w:t>4.2.3</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Subventionierung</w:t>
            </w:r>
            <w:r>
              <w:rPr>
                <w:noProof/>
                <w:webHidden/>
              </w:rPr>
              <w:tab/>
            </w:r>
            <w:r>
              <w:rPr>
                <w:noProof/>
                <w:webHidden/>
              </w:rPr>
              <w:fldChar w:fldCharType="begin"/>
            </w:r>
            <w:r>
              <w:rPr>
                <w:noProof/>
                <w:webHidden/>
              </w:rPr>
              <w:instrText xml:space="preserve"> PAGEREF _Toc196226212 \h </w:instrText>
            </w:r>
            <w:r>
              <w:rPr>
                <w:noProof/>
                <w:webHidden/>
              </w:rPr>
            </w:r>
            <w:r>
              <w:rPr>
                <w:noProof/>
                <w:webHidden/>
              </w:rPr>
              <w:fldChar w:fldCharType="separate"/>
            </w:r>
            <w:r w:rsidR="0096549C">
              <w:rPr>
                <w:noProof/>
                <w:webHidden/>
              </w:rPr>
              <w:t>16</w:t>
            </w:r>
            <w:r>
              <w:rPr>
                <w:noProof/>
                <w:webHidden/>
              </w:rPr>
              <w:fldChar w:fldCharType="end"/>
            </w:r>
          </w:hyperlink>
        </w:p>
        <w:p w14:paraId="5CAA2AC6" w14:textId="3859F76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3" w:history="1">
            <w:r w:rsidRPr="0087236C">
              <w:rPr>
                <w:rStyle w:val="Lienhypertexte"/>
                <w:noProof/>
                <w:lang w:val="de-CH"/>
              </w:rPr>
              <w:t>4.2.4</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Projekte und Reformen</w:t>
            </w:r>
            <w:r>
              <w:rPr>
                <w:noProof/>
                <w:webHidden/>
              </w:rPr>
              <w:tab/>
            </w:r>
            <w:r>
              <w:rPr>
                <w:noProof/>
                <w:webHidden/>
              </w:rPr>
              <w:fldChar w:fldCharType="begin"/>
            </w:r>
            <w:r>
              <w:rPr>
                <w:noProof/>
                <w:webHidden/>
              </w:rPr>
              <w:instrText xml:space="preserve"> PAGEREF _Toc196226213 \h </w:instrText>
            </w:r>
            <w:r>
              <w:rPr>
                <w:noProof/>
                <w:webHidden/>
              </w:rPr>
            </w:r>
            <w:r>
              <w:rPr>
                <w:noProof/>
                <w:webHidden/>
              </w:rPr>
              <w:fldChar w:fldCharType="separate"/>
            </w:r>
            <w:r w:rsidR="0096549C">
              <w:rPr>
                <w:noProof/>
                <w:webHidden/>
              </w:rPr>
              <w:t>19</w:t>
            </w:r>
            <w:r>
              <w:rPr>
                <w:noProof/>
                <w:webHidden/>
              </w:rPr>
              <w:fldChar w:fldCharType="end"/>
            </w:r>
          </w:hyperlink>
        </w:p>
        <w:p w14:paraId="0737D2B6" w14:textId="03772F68"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14" w:history="1">
            <w:r w:rsidRPr="0087236C">
              <w:rPr>
                <w:rStyle w:val="Lienhypertexte"/>
                <w:lang w:val="de-CH"/>
              </w:rPr>
              <w:t>4.3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Massnahmen in der Zuständigkeit des Staatsrates</w:t>
            </w:r>
            <w:r>
              <w:rPr>
                <w:webHidden/>
              </w:rPr>
              <w:tab/>
            </w:r>
            <w:r>
              <w:rPr>
                <w:webHidden/>
              </w:rPr>
              <w:fldChar w:fldCharType="begin"/>
            </w:r>
            <w:r>
              <w:rPr>
                <w:webHidden/>
              </w:rPr>
              <w:instrText xml:space="preserve"> PAGEREF _Toc196226214 \h </w:instrText>
            </w:r>
            <w:r>
              <w:rPr>
                <w:webHidden/>
              </w:rPr>
            </w:r>
            <w:r>
              <w:rPr>
                <w:webHidden/>
              </w:rPr>
              <w:fldChar w:fldCharType="separate"/>
            </w:r>
            <w:r w:rsidR="0096549C">
              <w:rPr>
                <w:webHidden/>
              </w:rPr>
              <w:t>23</w:t>
            </w:r>
            <w:r>
              <w:rPr>
                <w:webHidden/>
              </w:rPr>
              <w:fldChar w:fldCharType="end"/>
            </w:r>
          </w:hyperlink>
        </w:p>
        <w:p w14:paraId="039B4F5C" w14:textId="70DB863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5" w:history="1">
            <w:r w:rsidRPr="0087236C">
              <w:rPr>
                <w:rStyle w:val="Lienhypertexte"/>
                <w:noProof/>
                <w:lang w:val="de-CH"/>
              </w:rPr>
              <w:t>4.3.1</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Einnahmen</w:t>
            </w:r>
            <w:r>
              <w:rPr>
                <w:noProof/>
                <w:webHidden/>
              </w:rPr>
              <w:tab/>
            </w:r>
            <w:r>
              <w:rPr>
                <w:noProof/>
                <w:webHidden/>
              </w:rPr>
              <w:fldChar w:fldCharType="begin"/>
            </w:r>
            <w:r>
              <w:rPr>
                <w:noProof/>
                <w:webHidden/>
              </w:rPr>
              <w:instrText xml:space="preserve"> PAGEREF _Toc196226215 \h </w:instrText>
            </w:r>
            <w:r>
              <w:rPr>
                <w:noProof/>
                <w:webHidden/>
              </w:rPr>
            </w:r>
            <w:r>
              <w:rPr>
                <w:noProof/>
                <w:webHidden/>
              </w:rPr>
              <w:fldChar w:fldCharType="separate"/>
            </w:r>
            <w:r w:rsidR="0096549C">
              <w:rPr>
                <w:noProof/>
                <w:webHidden/>
              </w:rPr>
              <w:t>23</w:t>
            </w:r>
            <w:r>
              <w:rPr>
                <w:noProof/>
                <w:webHidden/>
              </w:rPr>
              <w:fldChar w:fldCharType="end"/>
            </w:r>
          </w:hyperlink>
        </w:p>
        <w:p w14:paraId="78403B95" w14:textId="53C503F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6" w:history="1">
            <w:r w:rsidRPr="0087236C">
              <w:rPr>
                <w:rStyle w:val="Lienhypertexte"/>
                <w:noProof/>
                <w:lang w:val="de-CH"/>
              </w:rPr>
              <w:t>4.3.2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Personal</w:t>
            </w:r>
            <w:r>
              <w:rPr>
                <w:noProof/>
                <w:webHidden/>
              </w:rPr>
              <w:tab/>
            </w:r>
            <w:r>
              <w:rPr>
                <w:noProof/>
                <w:webHidden/>
              </w:rPr>
              <w:fldChar w:fldCharType="begin"/>
            </w:r>
            <w:r>
              <w:rPr>
                <w:noProof/>
                <w:webHidden/>
              </w:rPr>
              <w:instrText xml:space="preserve"> PAGEREF _Toc196226216 \h </w:instrText>
            </w:r>
            <w:r>
              <w:rPr>
                <w:noProof/>
                <w:webHidden/>
              </w:rPr>
            </w:r>
            <w:r>
              <w:rPr>
                <w:noProof/>
                <w:webHidden/>
              </w:rPr>
              <w:fldChar w:fldCharType="separate"/>
            </w:r>
            <w:r w:rsidR="0096549C">
              <w:rPr>
                <w:noProof/>
                <w:webHidden/>
              </w:rPr>
              <w:t>29</w:t>
            </w:r>
            <w:r>
              <w:rPr>
                <w:noProof/>
                <w:webHidden/>
              </w:rPr>
              <w:fldChar w:fldCharType="end"/>
            </w:r>
          </w:hyperlink>
        </w:p>
        <w:p w14:paraId="533AC80D" w14:textId="43FDA82A"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7" w:history="1">
            <w:r w:rsidRPr="0087236C">
              <w:rPr>
                <w:rStyle w:val="Lienhypertexte"/>
                <w:noProof/>
                <w:lang w:val="de-CH"/>
              </w:rPr>
              <w:t>4.3.3</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Subventionierung</w:t>
            </w:r>
            <w:r>
              <w:rPr>
                <w:noProof/>
                <w:webHidden/>
              </w:rPr>
              <w:tab/>
            </w:r>
            <w:r>
              <w:rPr>
                <w:noProof/>
                <w:webHidden/>
              </w:rPr>
              <w:fldChar w:fldCharType="begin"/>
            </w:r>
            <w:r>
              <w:rPr>
                <w:noProof/>
                <w:webHidden/>
              </w:rPr>
              <w:instrText xml:space="preserve"> PAGEREF _Toc196226217 \h </w:instrText>
            </w:r>
            <w:r>
              <w:rPr>
                <w:noProof/>
                <w:webHidden/>
              </w:rPr>
            </w:r>
            <w:r>
              <w:rPr>
                <w:noProof/>
                <w:webHidden/>
              </w:rPr>
              <w:fldChar w:fldCharType="separate"/>
            </w:r>
            <w:r w:rsidR="0096549C">
              <w:rPr>
                <w:noProof/>
                <w:webHidden/>
              </w:rPr>
              <w:t>30</w:t>
            </w:r>
            <w:r>
              <w:rPr>
                <w:noProof/>
                <w:webHidden/>
              </w:rPr>
              <w:fldChar w:fldCharType="end"/>
            </w:r>
          </w:hyperlink>
        </w:p>
        <w:p w14:paraId="11197D8E" w14:textId="451627E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18" w:history="1">
            <w:r w:rsidRPr="0087236C">
              <w:rPr>
                <w:rStyle w:val="Lienhypertexte"/>
                <w:noProof/>
                <w:lang w:val="de-CH"/>
              </w:rPr>
              <w:t>4.3.4</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Projekte und Reformen</w:t>
            </w:r>
            <w:r>
              <w:rPr>
                <w:noProof/>
                <w:webHidden/>
              </w:rPr>
              <w:tab/>
            </w:r>
            <w:r>
              <w:rPr>
                <w:noProof/>
                <w:webHidden/>
              </w:rPr>
              <w:fldChar w:fldCharType="begin"/>
            </w:r>
            <w:r>
              <w:rPr>
                <w:noProof/>
                <w:webHidden/>
              </w:rPr>
              <w:instrText xml:space="preserve"> PAGEREF _Toc196226218 \h </w:instrText>
            </w:r>
            <w:r>
              <w:rPr>
                <w:noProof/>
                <w:webHidden/>
              </w:rPr>
            </w:r>
            <w:r>
              <w:rPr>
                <w:noProof/>
                <w:webHidden/>
              </w:rPr>
              <w:fldChar w:fldCharType="separate"/>
            </w:r>
            <w:r w:rsidR="0096549C">
              <w:rPr>
                <w:noProof/>
                <w:webHidden/>
              </w:rPr>
              <w:t>37</w:t>
            </w:r>
            <w:r>
              <w:rPr>
                <w:noProof/>
                <w:webHidden/>
              </w:rPr>
              <w:fldChar w:fldCharType="end"/>
            </w:r>
          </w:hyperlink>
        </w:p>
        <w:p w14:paraId="19F27A78" w14:textId="225F85B7"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219" w:history="1">
            <w:r w:rsidRPr="0087236C">
              <w:rPr>
                <w:rStyle w:val="Lienhypertexte"/>
                <w:lang w:val="de-CH"/>
              </w:rPr>
              <w:t>5</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In Verbindung mit parlamentarischen Vorstössen</w:t>
            </w:r>
            <w:r>
              <w:rPr>
                <w:webHidden/>
              </w:rPr>
              <w:tab/>
            </w:r>
            <w:r>
              <w:rPr>
                <w:webHidden/>
              </w:rPr>
              <w:fldChar w:fldCharType="begin"/>
            </w:r>
            <w:r>
              <w:rPr>
                <w:webHidden/>
              </w:rPr>
              <w:instrText xml:space="preserve"> PAGEREF _Toc196226219 \h </w:instrText>
            </w:r>
            <w:r>
              <w:rPr>
                <w:webHidden/>
              </w:rPr>
            </w:r>
            <w:r>
              <w:rPr>
                <w:webHidden/>
              </w:rPr>
              <w:fldChar w:fldCharType="separate"/>
            </w:r>
            <w:r w:rsidR="0096549C">
              <w:rPr>
                <w:webHidden/>
              </w:rPr>
              <w:t>41</w:t>
            </w:r>
            <w:r>
              <w:rPr>
                <w:webHidden/>
              </w:rPr>
              <w:fldChar w:fldCharType="end"/>
            </w:r>
          </w:hyperlink>
        </w:p>
        <w:p w14:paraId="065104D2" w14:textId="2FD07C27"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20" w:history="1">
            <w:r w:rsidRPr="0087236C">
              <w:rPr>
                <w:rStyle w:val="Lienhypertexte"/>
              </w:rPr>
              <w:t>5.1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Spätere Umsetzung einiger parlamentarischer Vorstösse</w:t>
            </w:r>
            <w:r>
              <w:rPr>
                <w:webHidden/>
              </w:rPr>
              <w:tab/>
            </w:r>
            <w:r>
              <w:rPr>
                <w:webHidden/>
              </w:rPr>
              <w:fldChar w:fldCharType="begin"/>
            </w:r>
            <w:r>
              <w:rPr>
                <w:webHidden/>
              </w:rPr>
              <w:instrText xml:space="preserve"> PAGEREF _Toc196226220 \h </w:instrText>
            </w:r>
            <w:r>
              <w:rPr>
                <w:webHidden/>
              </w:rPr>
            </w:r>
            <w:r>
              <w:rPr>
                <w:webHidden/>
              </w:rPr>
              <w:fldChar w:fldCharType="separate"/>
            </w:r>
            <w:r w:rsidR="0096549C">
              <w:rPr>
                <w:webHidden/>
              </w:rPr>
              <w:t>41</w:t>
            </w:r>
            <w:r>
              <w:rPr>
                <w:webHidden/>
              </w:rPr>
              <w:fldChar w:fldCharType="end"/>
            </w:r>
          </w:hyperlink>
        </w:p>
        <w:p w14:paraId="6D329ABE" w14:textId="2FDD7748"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21" w:history="1">
            <w:r w:rsidRPr="0087236C">
              <w:rPr>
                <w:rStyle w:val="Lienhypertexte"/>
                <w:lang w:val="de-CH"/>
              </w:rPr>
              <w:t>5.2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Antworten auf noch nicht behandelte parlamentarische Vorstösse</w:t>
            </w:r>
            <w:r>
              <w:rPr>
                <w:webHidden/>
              </w:rPr>
              <w:tab/>
            </w:r>
            <w:r>
              <w:rPr>
                <w:webHidden/>
              </w:rPr>
              <w:fldChar w:fldCharType="begin"/>
            </w:r>
            <w:r>
              <w:rPr>
                <w:webHidden/>
              </w:rPr>
              <w:instrText xml:space="preserve"> PAGEREF _Toc196226221 \h </w:instrText>
            </w:r>
            <w:r>
              <w:rPr>
                <w:webHidden/>
              </w:rPr>
            </w:r>
            <w:r>
              <w:rPr>
                <w:webHidden/>
              </w:rPr>
              <w:fldChar w:fldCharType="separate"/>
            </w:r>
            <w:r w:rsidR="0096549C">
              <w:rPr>
                <w:webHidden/>
              </w:rPr>
              <w:t>41</w:t>
            </w:r>
            <w:r>
              <w:rPr>
                <w:webHidden/>
              </w:rPr>
              <w:fldChar w:fldCharType="end"/>
            </w:r>
          </w:hyperlink>
        </w:p>
        <w:p w14:paraId="49675C8A" w14:textId="51D5C409"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22" w:history="1">
            <w:r w:rsidRPr="0087236C">
              <w:rPr>
                <w:rStyle w:val="Lienhypertexte"/>
                <w:noProof/>
                <w:lang w:val="de-CH"/>
              </w:rPr>
              <w:t>5.2.1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Motion «Für einen fairen Steuersatz» (2024-GC-279)</w:t>
            </w:r>
            <w:r>
              <w:rPr>
                <w:noProof/>
                <w:webHidden/>
              </w:rPr>
              <w:tab/>
            </w:r>
            <w:r>
              <w:rPr>
                <w:noProof/>
                <w:webHidden/>
              </w:rPr>
              <w:fldChar w:fldCharType="begin"/>
            </w:r>
            <w:r>
              <w:rPr>
                <w:noProof/>
                <w:webHidden/>
              </w:rPr>
              <w:instrText xml:space="preserve"> PAGEREF _Toc196226222 \h </w:instrText>
            </w:r>
            <w:r>
              <w:rPr>
                <w:noProof/>
                <w:webHidden/>
              </w:rPr>
            </w:r>
            <w:r>
              <w:rPr>
                <w:noProof/>
                <w:webHidden/>
              </w:rPr>
              <w:fldChar w:fldCharType="separate"/>
            </w:r>
            <w:r w:rsidR="0096549C">
              <w:rPr>
                <w:noProof/>
                <w:webHidden/>
              </w:rPr>
              <w:t>41</w:t>
            </w:r>
            <w:r>
              <w:rPr>
                <w:noProof/>
                <w:webHidden/>
              </w:rPr>
              <w:fldChar w:fldCharType="end"/>
            </w:r>
          </w:hyperlink>
        </w:p>
        <w:p w14:paraId="1D55FB2B" w14:textId="598A2C84"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23" w:history="1">
            <w:r w:rsidRPr="0087236C">
              <w:rPr>
                <w:rStyle w:val="Lienhypertexte"/>
                <w:noProof/>
                <w:lang w:val="de-CH"/>
              </w:rPr>
              <w:t>5.2.2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Auftrag «Für eine effiziente Steuerverwaltung» (2024-GC-286)</w:t>
            </w:r>
            <w:r>
              <w:rPr>
                <w:noProof/>
                <w:webHidden/>
              </w:rPr>
              <w:tab/>
            </w:r>
            <w:r>
              <w:rPr>
                <w:noProof/>
                <w:webHidden/>
              </w:rPr>
              <w:fldChar w:fldCharType="begin"/>
            </w:r>
            <w:r>
              <w:rPr>
                <w:noProof/>
                <w:webHidden/>
              </w:rPr>
              <w:instrText xml:space="preserve"> PAGEREF _Toc196226223 \h </w:instrText>
            </w:r>
            <w:r>
              <w:rPr>
                <w:noProof/>
                <w:webHidden/>
              </w:rPr>
            </w:r>
            <w:r>
              <w:rPr>
                <w:noProof/>
                <w:webHidden/>
              </w:rPr>
              <w:fldChar w:fldCharType="separate"/>
            </w:r>
            <w:r w:rsidR="0096549C">
              <w:rPr>
                <w:noProof/>
                <w:webHidden/>
              </w:rPr>
              <w:t>42</w:t>
            </w:r>
            <w:r>
              <w:rPr>
                <w:noProof/>
                <w:webHidden/>
              </w:rPr>
              <w:fldChar w:fldCharType="end"/>
            </w:r>
          </w:hyperlink>
        </w:p>
        <w:p w14:paraId="06915CB8" w14:textId="7234C2C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24" w:history="1">
            <w:r w:rsidRPr="0087236C">
              <w:rPr>
                <w:rStyle w:val="Lienhypertexte"/>
                <w:noProof/>
                <w:lang w:val="de-CH"/>
              </w:rPr>
              <w:t>5.2.3</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Auftrag «Senkung der Staatsausgaben zur Erhaltung der Kaufkraft» (2025-GC-40)</w:t>
            </w:r>
            <w:r>
              <w:rPr>
                <w:noProof/>
                <w:webHidden/>
              </w:rPr>
              <w:tab/>
            </w:r>
            <w:r>
              <w:rPr>
                <w:noProof/>
                <w:webHidden/>
              </w:rPr>
              <w:fldChar w:fldCharType="begin"/>
            </w:r>
            <w:r>
              <w:rPr>
                <w:noProof/>
                <w:webHidden/>
              </w:rPr>
              <w:instrText xml:space="preserve"> PAGEREF _Toc196226224 \h </w:instrText>
            </w:r>
            <w:r>
              <w:rPr>
                <w:noProof/>
                <w:webHidden/>
              </w:rPr>
            </w:r>
            <w:r>
              <w:rPr>
                <w:noProof/>
                <w:webHidden/>
              </w:rPr>
              <w:fldChar w:fldCharType="separate"/>
            </w:r>
            <w:r w:rsidR="0096549C">
              <w:rPr>
                <w:noProof/>
                <w:webHidden/>
              </w:rPr>
              <w:t>42</w:t>
            </w:r>
            <w:r>
              <w:rPr>
                <w:noProof/>
                <w:webHidden/>
              </w:rPr>
              <w:fldChar w:fldCharType="end"/>
            </w:r>
          </w:hyperlink>
        </w:p>
        <w:p w14:paraId="119EA5E2" w14:textId="4862AE51"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25" w:history="1">
            <w:r w:rsidRPr="0087236C">
              <w:rPr>
                <w:rStyle w:val="Lienhypertexte"/>
                <w:noProof/>
              </w:rPr>
              <w:t>5.2.4</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 xml:space="preserve">Auftrag «Ist der Sanierungsplan ein Glücksfall für die Biodiversität?» </w:t>
            </w:r>
            <w:r w:rsidRPr="0087236C">
              <w:rPr>
                <w:rStyle w:val="Lienhypertexte"/>
                <w:noProof/>
              </w:rPr>
              <w:t>(2025-GC-55)</w:t>
            </w:r>
            <w:r>
              <w:rPr>
                <w:noProof/>
                <w:webHidden/>
              </w:rPr>
              <w:tab/>
            </w:r>
            <w:r>
              <w:rPr>
                <w:noProof/>
                <w:webHidden/>
              </w:rPr>
              <w:fldChar w:fldCharType="begin"/>
            </w:r>
            <w:r>
              <w:rPr>
                <w:noProof/>
                <w:webHidden/>
              </w:rPr>
              <w:instrText xml:space="preserve"> PAGEREF _Toc196226225 \h </w:instrText>
            </w:r>
            <w:r>
              <w:rPr>
                <w:noProof/>
                <w:webHidden/>
              </w:rPr>
            </w:r>
            <w:r>
              <w:rPr>
                <w:noProof/>
                <w:webHidden/>
              </w:rPr>
              <w:fldChar w:fldCharType="separate"/>
            </w:r>
            <w:r w:rsidR="0096549C">
              <w:rPr>
                <w:noProof/>
                <w:webHidden/>
              </w:rPr>
              <w:t>42</w:t>
            </w:r>
            <w:r>
              <w:rPr>
                <w:noProof/>
                <w:webHidden/>
              </w:rPr>
              <w:fldChar w:fldCharType="end"/>
            </w:r>
          </w:hyperlink>
        </w:p>
        <w:p w14:paraId="0E4E9AEF" w14:textId="2C13B915"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26" w:history="1">
            <w:r w:rsidRPr="0087236C">
              <w:rPr>
                <w:rStyle w:val="Lienhypertexte"/>
                <w:noProof/>
                <w:lang w:val="de-CH"/>
              </w:rPr>
              <w:t>5.2.5</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Motion «Gut für das Klima und die Staatskasse» (2025-GC-70)</w:t>
            </w:r>
            <w:r>
              <w:rPr>
                <w:noProof/>
                <w:webHidden/>
              </w:rPr>
              <w:tab/>
            </w:r>
            <w:r>
              <w:rPr>
                <w:noProof/>
                <w:webHidden/>
              </w:rPr>
              <w:fldChar w:fldCharType="begin"/>
            </w:r>
            <w:r>
              <w:rPr>
                <w:noProof/>
                <w:webHidden/>
              </w:rPr>
              <w:instrText xml:space="preserve"> PAGEREF _Toc196226226 \h </w:instrText>
            </w:r>
            <w:r>
              <w:rPr>
                <w:noProof/>
                <w:webHidden/>
              </w:rPr>
            </w:r>
            <w:r>
              <w:rPr>
                <w:noProof/>
                <w:webHidden/>
              </w:rPr>
              <w:fldChar w:fldCharType="separate"/>
            </w:r>
            <w:r w:rsidR="0096549C">
              <w:rPr>
                <w:noProof/>
                <w:webHidden/>
              </w:rPr>
              <w:t>43</w:t>
            </w:r>
            <w:r>
              <w:rPr>
                <w:noProof/>
                <w:webHidden/>
              </w:rPr>
              <w:fldChar w:fldCharType="end"/>
            </w:r>
          </w:hyperlink>
        </w:p>
        <w:p w14:paraId="789A6F67" w14:textId="7EB4D579"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27" w:history="1">
            <w:r w:rsidRPr="0087236C">
              <w:rPr>
                <w:rStyle w:val="Lienhypertexte"/>
                <w:noProof/>
                <w:lang w:val="de-CH"/>
              </w:rPr>
              <w:t>5.2.6</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Auftrag «Sparmassnahmen: Die Politik muss mit gutem Beispiel vorangehen» (2025-GC-94)</w:t>
            </w:r>
            <w:r>
              <w:rPr>
                <w:noProof/>
                <w:webHidden/>
              </w:rPr>
              <w:tab/>
            </w:r>
            <w:r>
              <w:rPr>
                <w:noProof/>
                <w:webHidden/>
              </w:rPr>
              <w:fldChar w:fldCharType="begin"/>
            </w:r>
            <w:r>
              <w:rPr>
                <w:noProof/>
                <w:webHidden/>
              </w:rPr>
              <w:instrText xml:space="preserve"> PAGEREF _Toc196226227 \h </w:instrText>
            </w:r>
            <w:r>
              <w:rPr>
                <w:noProof/>
                <w:webHidden/>
              </w:rPr>
            </w:r>
            <w:r>
              <w:rPr>
                <w:noProof/>
                <w:webHidden/>
              </w:rPr>
              <w:fldChar w:fldCharType="separate"/>
            </w:r>
            <w:r w:rsidR="0096549C">
              <w:rPr>
                <w:noProof/>
                <w:webHidden/>
              </w:rPr>
              <w:t>43</w:t>
            </w:r>
            <w:r>
              <w:rPr>
                <w:noProof/>
                <w:webHidden/>
              </w:rPr>
              <w:fldChar w:fldCharType="end"/>
            </w:r>
          </w:hyperlink>
        </w:p>
        <w:p w14:paraId="57B0C58B" w14:textId="7D0C493E"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228" w:history="1">
            <w:r w:rsidRPr="0087236C">
              <w:rPr>
                <w:rStyle w:val="Lienhypertexte"/>
                <w:lang w:val="de-CH"/>
              </w:rPr>
              <w:t>6</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Kommentar der Gesetzesänderungen</w:t>
            </w:r>
            <w:r>
              <w:rPr>
                <w:webHidden/>
              </w:rPr>
              <w:tab/>
            </w:r>
            <w:r>
              <w:rPr>
                <w:webHidden/>
              </w:rPr>
              <w:fldChar w:fldCharType="begin"/>
            </w:r>
            <w:r>
              <w:rPr>
                <w:webHidden/>
              </w:rPr>
              <w:instrText xml:space="preserve"> PAGEREF _Toc196226228 \h </w:instrText>
            </w:r>
            <w:r>
              <w:rPr>
                <w:webHidden/>
              </w:rPr>
            </w:r>
            <w:r>
              <w:rPr>
                <w:webHidden/>
              </w:rPr>
              <w:fldChar w:fldCharType="separate"/>
            </w:r>
            <w:r w:rsidR="0096549C">
              <w:rPr>
                <w:webHidden/>
              </w:rPr>
              <w:t>43</w:t>
            </w:r>
            <w:r>
              <w:rPr>
                <w:webHidden/>
              </w:rPr>
              <w:fldChar w:fldCharType="end"/>
            </w:r>
          </w:hyperlink>
        </w:p>
        <w:p w14:paraId="33973A8A" w14:textId="7604C421"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29" w:history="1">
            <w:r w:rsidRPr="0087236C">
              <w:rPr>
                <w:rStyle w:val="Lienhypertexte"/>
                <w:lang w:val="de-CH"/>
              </w:rPr>
              <w:t>6.1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das freiburgische Bürgerrecht (BRG)</w:t>
            </w:r>
            <w:r>
              <w:rPr>
                <w:webHidden/>
              </w:rPr>
              <w:tab/>
            </w:r>
            <w:r>
              <w:rPr>
                <w:webHidden/>
              </w:rPr>
              <w:fldChar w:fldCharType="begin"/>
            </w:r>
            <w:r>
              <w:rPr>
                <w:webHidden/>
              </w:rPr>
              <w:instrText xml:space="preserve"> PAGEREF _Toc196226229 \h </w:instrText>
            </w:r>
            <w:r>
              <w:rPr>
                <w:webHidden/>
              </w:rPr>
            </w:r>
            <w:r>
              <w:rPr>
                <w:webHidden/>
              </w:rPr>
              <w:fldChar w:fldCharType="separate"/>
            </w:r>
            <w:r w:rsidR="0096549C">
              <w:rPr>
                <w:webHidden/>
              </w:rPr>
              <w:t>44</w:t>
            </w:r>
            <w:r>
              <w:rPr>
                <w:webHidden/>
              </w:rPr>
              <w:fldChar w:fldCharType="end"/>
            </w:r>
          </w:hyperlink>
        </w:p>
        <w:p w14:paraId="4BADA031" w14:textId="02A3F23F"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0" w:history="1">
            <w:r w:rsidRPr="0087236C">
              <w:rPr>
                <w:rStyle w:val="Lienhypertexte"/>
                <w:noProof/>
                <w:lang w:val="de-CH"/>
              </w:rPr>
              <w:t>6.1.1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_Toc196226230 \h </w:instrText>
            </w:r>
            <w:r>
              <w:rPr>
                <w:noProof/>
                <w:webHidden/>
              </w:rPr>
            </w:r>
            <w:r>
              <w:rPr>
                <w:noProof/>
                <w:webHidden/>
              </w:rPr>
              <w:fldChar w:fldCharType="separate"/>
            </w:r>
            <w:r w:rsidR="0096549C">
              <w:rPr>
                <w:noProof/>
                <w:webHidden/>
              </w:rPr>
              <w:t>44</w:t>
            </w:r>
            <w:r>
              <w:rPr>
                <w:noProof/>
                <w:webHidden/>
              </w:rPr>
              <w:fldChar w:fldCharType="end"/>
            </w:r>
          </w:hyperlink>
        </w:p>
        <w:p w14:paraId="5EE74C65" w14:textId="672B6896"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1" w:history="1">
            <w:r w:rsidRPr="0087236C">
              <w:rPr>
                <w:rStyle w:val="Lienhypertexte"/>
                <w:noProof/>
                <w:lang w:val="de-CH"/>
              </w:rPr>
              <w:t>6.1.2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Kommentar der einzelnen Artikel</w:t>
            </w:r>
            <w:r>
              <w:rPr>
                <w:noProof/>
                <w:webHidden/>
              </w:rPr>
              <w:tab/>
            </w:r>
            <w:r>
              <w:rPr>
                <w:noProof/>
                <w:webHidden/>
              </w:rPr>
              <w:fldChar w:fldCharType="begin"/>
            </w:r>
            <w:r>
              <w:rPr>
                <w:noProof/>
                <w:webHidden/>
              </w:rPr>
              <w:instrText xml:space="preserve"> PAGEREF _Toc196226231 \h </w:instrText>
            </w:r>
            <w:r>
              <w:rPr>
                <w:noProof/>
                <w:webHidden/>
              </w:rPr>
            </w:r>
            <w:r>
              <w:rPr>
                <w:noProof/>
                <w:webHidden/>
              </w:rPr>
              <w:fldChar w:fldCharType="separate"/>
            </w:r>
            <w:r w:rsidR="0096549C">
              <w:rPr>
                <w:noProof/>
                <w:webHidden/>
              </w:rPr>
              <w:t>45</w:t>
            </w:r>
            <w:r>
              <w:rPr>
                <w:noProof/>
                <w:webHidden/>
              </w:rPr>
              <w:fldChar w:fldCharType="end"/>
            </w:r>
          </w:hyperlink>
        </w:p>
        <w:p w14:paraId="6A6A9B4D" w14:textId="5B9CAB08"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32" w:history="1">
            <w:r w:rsidRPr="0087236C">
              <w:rPr>
                <w:rStyle w:val="Lienhypertexte"/>
                <w:lang w:val="de-CH"/>
              </w:rPr>
              <w:t>6.2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finanzielle Beteiligung des Staates</w:t>
            </w:r>
            <w:r w:rsidR="006E4392">
              <w:rPr>
                <w:rStyle w:val="Lienhypertexte"/>
                <w:lang w:val="de-CH"/>
              </w:rPr>
              <w:br/>
            </w:r>
            <w:r w:rsidRPr="0087236C">
              <w:rPr>
                <w:rStyle w:val="Lienhypertexte"/>
                <w:lang w:val="de-CH"/>
              </w:rPr>
              <w:t>an den Wahlkampfkosten (BWKG)</w:t>
            </w:r>
            <w:r>
              <w:rPr>
                <w:webHidden/>
              </w:rPr>
              <w:tab/>
            </w:r>
            <w:r>
              <w:rPr>
                <w:webHidden/>
              </w:rPr>
              <w:fldChar w:fldCharType="begin"/>
            </w:r>
            <w:r>
              <w:rPr>
                <w:webHidden/>
              </w:rPr>
              <w:instrText xml:space="preserve"> PAGEREF _Toc196226232 \h </w:instrText>
            </w:r>
            <w:r>
              <w:rPr>
                <w:webHidden/>
              </w:rPr>
            </w:r>
            <w:r>
              <w:rPr>
                <w:webHidden/>
              </w:rPr>
              <w:fldChar w:fldCharType="separate"/>
            </w:r>
            <w:r w:rsidR="0096549C">
              <w:rPr>
                <w:webHidden/>
              </w:rPr>
              <w:t>47</w:t>
            </w:r>
            <w:r>
              <w:rPr>
                <w:webHidden/>
              </w:rPr>
              <w:fldChar w:fldCharType="end"/>
            </w:r>
          </w:hyperlink>
        </w:p>
        <w:p w14:paraId="16D4C64C" w14:textId="32DCC998"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3" w:history="1">
            <w:r w:rsidRPr="0087236C">
              <w:rPr>
                <w:rStyle w:val="Lienhypertexte"/>
                <w:noProof/>
                <w:lang w:val="de-CH"/>
              </w:rPr>
              <w:t>6.2.1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_Toc196226233 \h </w:instrText>
            </w:r>
            <w:r>
              <w:rPr>
                <w:noProof/>
                <w:webHidden/>
              </w:rPr>
            </w:r>
            <w:r>
              <w:rPr>
                <w:noProof/>
                <w:webHidden/>
              </w:rPr>
              <w:fldChar w:fldCharType="separate"/>
            </w:r>
            <w:r w:rsidR="0096549C">
              <w:rPr>
                <w:noProof/>
                <w:webHidden/>
              </w:rPr>
              <w:t>47</w:t>
            </w:r>
            <w:r>
              <w:rPr>
                <w:noProof/>
                <w:webHidden/>
              </w:rPr>
              <w:fldChar w:fldCharType="end"/>
            </w:r>
          </w:hyperlink>
        </w:p>
        <w:p w14:paraId="7BC8059B" w14:textId="2571F879"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4" w:history="1">
            <w:r w:rsidRPr="0087236C">
              <w:rPr>
                <w:rStyle w:val="Lienhypertexte"/>
                <w:noProof/>
                <w:lang w:val="de-CH"/>
              </w:rPr>
              <w:t>6.2.2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_Toc196226234 \h </w:instrText>
            </w:r>
            <w:r>
              <w:rPr>
                <w:noProof/>
                <w:webHidden/>
              </w:rPr>
            </w:r>
            <w:r>
              <w:rPr>
                <w:noProof/>
                <w:webHidden/>
              </w:rPr>
              <w:fldChar w:fldCharType="separate"/>
            </w:r>
            <w:r w:rsidR="0096549C">
              <w:rPr>
                <w:noProof/>
                <w:webHidden/>
              </w:rPr>
              <w:t>47</w:t>
            </w:r>
            <w:r>
              <w:rPr>
                <w:noProof/>
                <w:webHidden/>
              </w:rPr>
              <w:fldChar w:fldCharType="end"/>
            </w:r>
          </w:hyperlink>
        </w:p>
        <w:p w14:paraId="438C0DC2" w14:textId="1BC1CA27"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35" w:history="1">
            <w:r w:rsidRPr="0087236C">
              <w:rPr>
                <w:rStyle w:val="Lienhypertexte"/>
                <w:lang w:val="de-CH"/>
              </w:rPr>
              <w:t>6.3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Gehälter und die berufliche Vorsorge der Staatsräte, der Oberamtmänner und der Kantonsrichter (GSRG)</w:t>
            </w:r>
            <w:r>
              <w:rPr>
                <w:webHidden/>
              </w:rPr>
              <w:tab/>
            </w:r>
            <w:r>
              <w:rPr>
                <w:webHidden/>
              </w:rPr>
              <w:fldChar w:fldCharType="begin"/>
            </w:r>
            <w:r>
              <w:rPr>
                <w:webHidden/>
              </w:rPr>
              <w:instrText xml:space="preserve"> PAGEREF _Toc196226235 \h </w:instrText>
            </w:r>
            <w:r>
              <w:rPr>
                <w:webHidden/>
              </w:rPr>
            </w:r>
            <w:r>
              <w:rPr>
                <w:webHidden/>
              </w:rPr>
              <w:fldChar w:fldCharType="separate"/>
            </w:r>
            <w:r w:rsidR="0096549C">
              <w:rPr>
                <w:webHidden/>
              </w:rPr>
              <w:t>48</w:t>
            </w:r>
            <w:r>
              <w:rPr>
                <w:webHidden/>
              </w:rPr>
              <w:fldChar w:fldCharType="end"/>
            </w:r>
          </w:hyperlink>
        </w:p>
        <w:p w14:paraId="6EF8AE74" w14:textId="48657B3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6" w:history="1">
            <w:r w:rsidRPr="0087236C">
              <w:rPr>
                <w:rStyle w:val="Lienhypertexte"/>
                <w:noProof/>
                <w:lang w:val="de-CH"/>
              </w:rPr>
              <w:t>6.3.1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_Toc196226236 \h </w:instrText>
            </w:r>
            <w:r>
              <w:rPr>
                <w:noProof/>
                <w:webHidden/>
              </w:rPr>
            </w:r>
            <w:r>
              <w:rPr>
                <w:noProof/>
                <w:webHidden/>
              </w:rPr>
              <w:fldChar w:fldCharType="separate"/>
            </w:r>
            <w:r w:rsidR="0096549C">
              <w:rPr>
                <w:noProof/>
                <w:webHidden/>
              </w:rPr>
              <w:t>48</w:t>
            </w:r>
            <w:r>
              <w:rPr>
                <w:noProof/>
                <w:webHidden/>
              </w:rPr>
              <w:fldChar w:fldCharType="end"/>
            </w:r>
          </w:hyperlink>
        </w:p>
        <w:p w14:paraId="55499652" w14:textId="3087C87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7" w:history="1">
            <w:r w:rsidRPr="0087236C">
              <w:rPr>
                <w:rStyle w:val="Lienhypertexte"/>
                <w:noProof/>
                <w:lang w:val="de-CH"/>
              </w:rPr>
              <w:t>6.3.2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_Toc196226237 \h </w:instrText>
            </w:r>
            <w:r>
              <w:rPr>
                <w:noProof/>
                <w:webHidden/>
              </w:rPr>
            </w:r>
            <w:r>
              <w:rPr>
                <w:noProof/>
                <w:webHidden/>
              </w:rPr>
              <w:fldChar w:fldCharType="separate"/>
            </w:r>
            <w:r w:rsidR="0096549C">
              <w:rPr>
                <w:noProof/>
                <w:webHidden/>
              </w:rPr>
              <w:t>48</w:t>
            </w:r>
            <w:r>
              <w:rPr>
                <w:noProof/>
                <w:webHidden/>
              </w:rPr>
              <w:fldChar w:fldCharType="end"/>
            </w:r>
          </w:hyperlink>
        </w:p>
        <w:p w14:paraId="03189D23" w14:textId="7DB924F7"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38" w:history="1">
            <w:r w:rsidRPr="0087236C">
              <w:rPr>
                <w:rStyle w:val="Lienhypertexte"/>
                <w:lang w:val="de-CH"/>
              </w:rPr>
              <w:t>6.4</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das Staatspersonal (StPG)</w:t>
            </w:r>
            <w:r>
              <w:rPr>
                <w:webHidden/>
              </w:rPr>
              <w:tab/>
            </w:r>
            <w:r>
              <w:rPr>
                <w:webHidden/>
              </w:rPr>
              <w:fldChar w:fldCharType="begin"/>
            </w:r>
            <w:r>
              <w:rPr>
                <w:webHidden/>
              </w:rPr>
              <w:instrText xml:space="preserve"> PAGEREF _Toc196226238 \h </w:instrText>
            </w:r>
            <w:r>
              <w:rPr>
                <w:webHidden/>
              </w:rPr>
            </w:r>
            <w:r>
              <w:rPr>
                <w:webHidden/>
              </w:rPr>
              <w:fldChar w:fldCharType="separate"/>
            </w:r>
            <w:r w:rsidR="0096549C">
              <w:rPr>
                <w:webHidden/>
              </w:rPr>
              <w:t>48</w:t>
            </w:r>
            <w:r>
              <w:rPr>
                <w:webHidden/>
              </w:rPr>
              <w:fldChar w:fldCharType="end"/>
            </w:r>
          </w:hyperlink>
        </w:p>
        <w:p w14:paraId="6250F6EB" w14:textId="275AE4A1"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39" w:history="1">
            <w:r w:rsidRPr="0087236C">
              <w:rPr>
                <w:rStyle w:val="Lienhypertexte"/>
                <w:noProof/>
                <w:lang w:val="de-CH"/>
              </w:rPr>
              <w:t>6.4.1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_Toc196226239 \h </w:instrText>
            </w:r>
            <w:r>
              <w:rPr>
                <w:noProof/>
                <w:webHidden/>
              </w:rPr>
            </w:r>
            <w:r>
              <w:rPr>
                <w:noProof/>
                <w:webHidden/>
              </w:rPr>
              <w:fldChar w:fldCharType="separate"/>
            </w:r>
            <w:r w:rsidR="0096549C">
              <w:rPr>
                <w:noProof/>
                <w:webHidden/>
              </w:rPr>
              <w:t>48</w:t>
            </w:r>
            <w:r>
              <w:rPr>
                <w:noProof/>
                <w:webHidden/>
              </w:rPr>
              <w:fldChar w:fldCharType="end"/>
            </w:r>
          </w:hyperlink>
        </w:p>
        <w:p w14:paraId="571D7FD8" w14:textId="0F1937ED"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0" w:history="1">
            <w:r w:rsidRPr="0087236C">
              <w:rPr>
                <w:rStyle w:val="Lienhypertexte"/>
                <w:noProof/>
                <w:lang w:val="de-CH"/>
              </w:rPr>
              <w:t>6.4.2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_Toc196226240 \h </w:instrText>
            </w:r>
            <w:r>
              <w:rPr>
                <w:noProof/>
                <w:webHidden/>
              </w:rPr>
            </w:r>
            <w:r>
              <w:rPr>
                <w:noProof/>
                <w:webHidden/>
              </w:rPr>
              <w:fldChar w:fldCharType="separate"/>
            </w:r>
            <w:r w:rsidR="0096549C">
              <w:rPr>
                <w:noProof/>
                <w:webHidden/>
              </w:rPr>
              <w:t>49</w:t>
            </w:r>
            <w:r>
              <w:rPr>
                <w:noProof/>
                <w:webHidden/>
              </w:rPr>
              <w:fldChar w:fldCharType="end"/>
            </w:r>
          </w:hyperlink>
        </w:p>
        <w:p w14:paraId="21BE7695" w14:textId="27518AE4"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41" w:history="1">
            <w:r w:rsidRPr="0087236C">
              <w:rPr>
                <w:rStyle w:val="Lienhypertexte"/>
                <w:lang w:val="de-CH"/>
              </w:rPr>
              <w:t>6.5</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Ausführungsgesetzes zur Bundesgesetzgebung über die Hilfe an Opfer von Straftaten (AGOHG)</w:t>
            </w:r>
            <w:r>
              <w:rPr>
                <w:webHidden/>
              </w:rPr>
              <w:tab/>
            </w:r>
            <w:r>
              <w:rPr>
                <w:webHidden/>
              </w:rPr>
              <w:fldChar w:fldCharType="begin"/>
            </w:r>
            <w:r>
              <w:rPr>
                <w:webHidden/>
              </w:rPr>
              <w:instrText xml:space="preserve"> PAGEREF _Toc196226241 \h </w:instrText>
            </w:r>
            <w:r>
              <w:rPr>
                <w:webHidden/>
              </w:rPr>
            </w:r>
            <w:r>
              <w:rPr>
                <w:webHidden/>
              </w:rPr>
              <w:fldChar w:fldCharType="separate"/>
            </w:r>
            <w:r w:rsidR="0096549C">
              <w:rPr>
                <w:webHidden/>
              </w:rPr>
              <w:t>50</w:t>
            </w:r>
            <w:r>
              <w:rPr>
                <w:webHidden/>
              </w:rPr>
              <w:fldChar w:fldCharType="end"/>
            </w:r>
          </w:hyperlink>
        </w:p>
        <w:p w14:paraId="22D8084C" w14:textId="7D27A66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2" w:history="1">
            <w:r w:rsidRPr="0087236C">
              <w:rPr>
                <w:rStyle w:val="Lienhypertexte"/>
                <w:noProof/>
                <w:lang w:val="de-CH"/>
              </w:rPr>
              <w:t>6.5.1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_Toc196226242 \h </w:instrText>
            </w:r>
            <w:r>
              <w:rPr>
                <w:noProof/>
                <w:webHidden/>
              </w:rPr>
            </w:r>
            <w:r>
              <w:rPr>
                <w:noProof/>
                <w:webHidden/>
              </w:rPr>
              <w:fldChar w:fldCharType="separate"/>
            </w:r>
            <w:r w:rsidR="0096549C">
              <w:rPr>
                <w:noProof/>
                <w:webHidden/>
              </w:rPr>
              <w:t>50</w:t>
            </w:r>
            <w:r>
              <w:rPr>
                <w:noProof/>
                <w:webHidden/>
              </w:rPr>
              <w:fldChar w:fldCharType="end"/>
            </w:r>
          </w:hyperlink>
        </w:p>
        <w:p w14:paraId="54C3211A" w14:textId="76957A8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3" w:history="1">
            <w:r w:rsidRPr="0087236C">
              <w:rPr>
                <w:rStyle w:val="Lienhypertexte"/>
                <w:noProof/>
                <w:lang w:val="de-CH"/>
              </w:rPr>
              <w:t>6.5.2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Detaillierte finanzielle Schätzungen</w:t>
            </w:r>
            <w:r>
              <w:rPr>
                <w:noProof/>
                <w:webHidden/>
              </w:rPr>
              <w:tab/>
            </w:r>
            <w:r>
              <w:rPr>
                <w:noProof/>
                <w:webHidden/>
              </w:rPr>
              <w:fldChar w:fldCharType="begin"/>
            </w:r>
            <w:r>
              <w:rPr>
                <w:noProof/>
                <w:webHidden/>
              </w:rPr>
              <w:instrText xml:space="preserve"> PAGEREF _Toc196226243 \h </w:instrText>
            </w:r>
            <w:r>
              <w:rPr>
                <w:noProof/>
                <w:webHidden/>
              </w:rPr>
            </w:r>
            <w:r>
              <w:rPr>
                <w:noProof/>
                <w:webHidden/>
              </w:rPr>
              <w:fldChar w:fldCharType="separate"/>
            </w:r>
            <w:r w:rsidR="0096549C">
              <w:rPr>
                <w:noProof/>
                <w:webHidden/>
              </w:rPr>
              <w:t>50</w:t>
            </w:r>
            <w:r>
              <w:rPr>
                <w:noProof/>
                <w:webHidden/>
              </w:rPr>
              <w:fldChar w:fldCharType="end"/>
            </w:r>
          </w:hyperlink>
        </w:p>
        <w:p w14:paraId="5CD9C5F3" w14:textId="74D79B1F"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4" w:history="1">
            <w:r w:rsidRPr="0087236C">
              <w:rPr>
                <w:rStyle w:val="Lienhypertexte"/>
                <w:noProof/>
                <w:lang w:val="de-CH"/>
              </w:rPr>
              <w:t>6.5.3</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_Toc196226244 \h </w:instrText>
            </w:r>
            <w:r>
              <w:rPr>
                <w:noProof/>
                <w:webHidden/>
              </w:rPr>
            </w:r>
            <w:r>
              <w:rPr>
                <w:noProof/>
                <w:webHidden/>
              </w:rPr>
              <w:fldChar w:fldCharType="separate"/>
            </w:r>
            <w:r w:rsidR="0096549C">
              <w:rPr>
                <w:noProof/>
                <w:webHidden/>
              </w:rPr>
              <w:t>51</w:t>
            </w:r>
            <w:r>
              <w:rPr>
                <w:noProof/>
                <w:webHidden/>
              </w:rPr>
              <w:fldChar w:fldCharType="end"/>
            </w:r>
          </w:hyperlink>
        </w:p>
        <w:p w14:paraId="298BDD83" w14:textId="1CEE7FE0"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45" w:history="1">
            <w:r w:rsidRPr="0087236C">
              <w:rPr>
                <w:rStyle w:val="Lienhypertexte"/>
                <w:lang w:val="de-CH"/>
              </w:rPr>
              <w:t>6.6</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den interkommunalen Finanzausgleich (IFAG)</w:t>
            </w:r>
            <w:r>
              <w:rPr>
                <w:webHidden/>
              </w:rPr>
              <w:tab/>
            </w:r>
            <w:r>
              <w:rPr>
                <w:webHidden/>
              </w:rPr>
              <w:fldChar w:fldCharType="begin"/>
            </w:r>
            <w:r>
              <w:rPr>
                <w:webHidden/>
              </w:rPr>
              <w:instrText xml:space="preserve"> PAGEREF _Toc196226245 \h </w:instrText>
            </w:r>
            <w:r>
              <w:rPr>
                <w:webHidden/>
              </w:rPr>
            </w:r>
            <w:r>
              <w:rPr>
                <w:webHidden/>
              </w:rPr>
              <w:fldChar w:fldCharType="separate"/>
            </w:r>
            <w:r w:rsidR="0096549C">
              <w:rPr>
                <w:webHidden/>
              </w:rPr>
              <w:t>51</w:t>
            </w:r>
            <w:r>
              <w:rPr>
                <w:webHidden/>
              </w:rPr>
              <w:fldChar w:fldCharType="end"/>
            </w:r>
          </w:hyperlink>
        </w:p>
        <w:p w14:paraId="75BDA315" w14:textId="68D05D0F"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6" w:history="1">
            <w:r w:rsidRPr="0087236C">
              <w:rPr>
                <w:rStyle w:val="Lienhypertexte"/>
                <w:noProof/>
                <w:lang w:val="de-DE"/>
              </w:rPr>
              <w:t>6.6.1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DE"/>
              </w:rPr>
              <w:t>Allgemeines</w:t>
            </w:r>
            <w:r>
              <w:rPr>
                <w:noProof/>
                <w:webHidden/>
              </w:rPr>
              <w:tab/>
            </w:r>
            <w:r>
              <w:rPr>
                <w:noProof/>
                <w:webHidden/>
              </w:rPr>
              <w:fldChar w:fldCharType="begin"/>
            </w:r>
            <w:r>
              <w:rPr>
                <w:noProof/>
                <w:webHidden/>
              </w:rPr>
              <w:instrText xml:space="preserve"> PAGEREF _Toc196226246 \h </w:instrText>
            </w:r>
            <w:r>
              <w:rPr>
                <w:noProof/>
                <w:webHidden/>
              </w:rPr>
            </w:r>
            <w:r>
              <w:rPr>
                <w:noProof/>
                <w:webHidden/>
              </w:rPr>
              <w:fldChar w:fldCharType="separate"/>
            </w:r>
            <w:r w:rsidR="0096549C">
              <w:rPr>
                <w:noProof/>
                <w:webHidden/>
              </w:rPr>
              <w:t>51</w:t>
            </w:r>
            <w:r>
              <w:rPr>
                <w:noProof/>
                <w:webHidden/>
              </w:rPr>
              <w:fldChar w:fldCharType="end"/>
            </w:r>
          </w:hyperlink>
        </w:p>
        <w:p w14:paraId="07265B30" w14:textId="1FF87CED"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7" w:history="1">
            <w:r w:rsidRPr="0087236C">
              <w:rPr>
                <w:rStyle w:val="Lienhypertexte"/>
                <w:noProof/>
                <w:lang w:val="de-CH"/>
              </w:rPr>
              <w:t>6.6.2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_Toc196226247 \h </w:instrText>
            </w:r>
            <w:r>
              <w:rPr>
                <w:noProof/>
                <w:webHidden/>
              </w:rPr>
            </w:r>
            <w:r>
              <w:rPr>
                <w:noProof/>
                <w:webHidden/>
              </w:rPr>
              <w:fldChar w:fldCharType="separate"/>
            </w:r>
            <w:r w:rsidR="0096549C">
              <w:rPr>
                <w:noProof/>
                <w:webHidden/>
              </w:rPr>
              <w:t>52</w:t>
            </w:r>
            <w:r>
              <w:rPr>
                <w:noProof/>
                <w:webHidden/>
              </w:rPr>
              <w:fldChar w:fldCharType="end"/>
            </w:r>
          </w:hyperlink>
        </w:p>
        <w:p w14:paraId="6584EBF8" w14:textId="391444D0"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48" w:history="1">
            <w:r w:rsidRPr="0087236C">
              <w:rPr>
                <w:rStyle w:val="Lienhypertexte"/>
                <w:lang w:val="de-CH"/>
              </w:rPr>
              <w:t>6.7</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Inkassohilfe und Bevorschussung von Unterhaltsbeiträgen (IHBUG)</w:t>
            </w:r>
            <w:r>
              <w:rPr>
                <w:webHidden/>
              </w:rPr>
              <w:tab/>
            </w:r>
            <w:r>
              <w:rPr>
                <w:webHidden/>
              </w:rPr>
              <w:fldChar w:fldCharType="begin"/>
            </w:r>
            <w:r>
              <w:rPr>
                <w:webHidden/>
              </w:rPr>
              <w:instrText xml:space="preserve"> PAGEREF _Toc196226248 \h </w:instrText>
            </w:r>
            <w:r>
              <w:rPr>
                <w:webHidden/>
              </w:rPr>
            </w:r>
            <w:r>
              <w:rPr>
                <w:webHidden/>
              </w:rPr>
              <w:fldChar w:fldCharType="separate"/>
            </w:r>
            <w:r w:rsidR="0096549C">
              <w:rPr>
                <w:webHidden/>
              </w:rPr>
              <w:t>52</w:t>
            </w:r>
            <w:r>
              <w:rPr>
                <w:webHidden/>
              </w:rPr>
              <w:fldChar w:fldCharType="end"/>
            </w:r>
          </w:hyperlink>
        </w:p>
        <w:p w14:paraId="375D7764" w14:textId="0520BFAA"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49" w:history="1">
            <w:r w:rsidRPr="0087236C">
              <w:rPr>
                <w:rStyle w:val="Lienhypertexte"/>
                <w:noProof/>
                <w:lang w:val="de-CH"/>
              </w:rPr>
              <w:t>6.7.1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_Toc196226249 \h </w:instrText>
            </w:r>
            <w:r>
              <w:rPr>
                <w:noProof/>
                <w:webHidden/>
              </w:rPr>
            </w:r>
            <w:r>
              <w:rPr>
                <w:noProof/>
                <w:webHidden/>
              </w:rPr>
              <w:fldChar w:fldCharType="separate"/>
            </w:r>
            <w:r w:rsidR="0096549C">
              <w:rPr>
                <w:noProof/>
                <w:webHidden/>
              </w:rPr>
              <w:t>52</w:t>
            </w:r>
            <w:r>
              <w:rPr>
                <w:noProof/>
                <w:webHidden/>
              </w:rPr>
              <w:fldChar w:fldCharType="end"/>
            </w:r>
          </w:hyperlink>
        </w:p>
        <w:p w14:paraId="17B9F931" w14:textId="56FF239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0" w:history="1">
            <w:r w:rsidRPr="0087236C">
              <w:rPr>
                <w:rStyle w:val="Lienhypertexte"/>
                <w:noProof/>
                <w:lang w:val="de-CH"/>
              </w:rPr>
              <w:t>6.7.2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Detaillierte finanzielle Schätzungen</w:t>
            </w:r>
            <w:r>
              <w:rPr>
                <w:noProof/>
                <w:webHidden/>
              </w:rPr>
              <w:tab/>
            </w:r>
            <w:r>
              <w:rPr>
                <w:noProof/>
                <w:webHidden/>
              </w:rPr>
              <w:fldChar w:fldCharType="begin"/>
            </w:r>
            <w:r>
              <w:rPr>
                <w:noProof/>
                <w:webHidden/>
              </w:rPr>
              <w:instrText xml:space="preserve"> PAGEREF _Toc196226250 \h </w:instrText>
            </w:r>
            <w:r>
              <w:rPr>
                <w:noProof/>
                <w:webHidden/>
              </w:rPr>
            </w:r>
            <w:r>
              <w:rPr>
                <w:noProof/>
                <w:webHidden/>
              </w:rPr>
              <w:fldChar w:fldCharType="separate"/>
            </w:r>
            <w:r w:rsidR="0096549C">
              <w:rPr>
                <w:noProof/>
                <w:webHidden/>
              </w:rPr>
              <w:t>52</w:t>
            </w:r>
            <w:r>
              <w:rPr>
                <w:noProof/>
                <w:webHidden/>
              </w:rPr>
              <w:fldChar w:fldCharType="end"/>
            </w:r>
          </w:hyperlink>
        </w:p>
        <w:p w14:paraId="549999AD" w14:textId="1CC1E649"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1" w:history="1">
            <w:r w:rsidRPr="0087236C">
              <w:rPr>
                <w:rStyle w:val="Lienhypertexte"/>
                <w:noProof/>
                <w:lang w:val="de-CH"/>
              </w:rPr>
              <w:t>6.7.3</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_Toc196226251 \h </w:instrText>
            </w:r>
            <w:r>
              <w:rPr>
                <w:noProof/>
                <w:webHidden/>
              </w:rPr>
            </w:r>
            <w:r>
              <w:rPr>
                <w:noProof/>
                <w:webHidden/>
              </w:rPr>
              <w:fldChar w:fldCharType="separate"/>
            </w:r>
            <w:r w:rsidR="0096549C">
              <w:rPr>
                <w:noProof/>
                <w:webHidden/>
              </w:rPr>
              <w:t>52</w:t>
            </w:r>
            <w:r>
              <w:rPr>
                <w:noProof/>
                <w:webHidden/>
              </w:rPr>
              <w:fldChar w:fldCharType="end"/>
            </w:r>
          </w:hyperlink>
        </w:p>
        <w:p w14:paraId="23A969A0" w14:textId="4D4E2F8B"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52" w:history="1">
            <w:r w:rsidRPr="0087236C">
              <w:rPr>
                <w:rStyle w:val="Lienhypertexte"/>
                <w:lang w:val="de-CH"/>
              </w:rPr>
              <w:t>6.8</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 xml:space="preserve">Änderung des Gesetzes über Beiträge an Schulbauten für den Kindergarten, </w:t>
            </w:r>
            <w:r w:rsidR="006E4392">
              <w:rPr>
                <w:rStyle w:val="Lienhypertexte"/>
                <w:lang w:val="de-CH"/>
              </w:rPr>
              <w:br/>
            </w:r>
            <w:r w:rsidRPr="0087236C">
              <w:rPr>
                <w:rStyle w:val="Lienhypertexte"/>
                <w:lang w:val="de-CH"/>
              </w:rPr>
              <w:t>die Primarschule und die Orientierungsschule</w:t>
            </w:r>
            <w:r>
              <w:rPr>
                <w:webHidden/>
              </w:rPr>
              <w:tab/>
            </w:r>
            <w:r>
              <w:rPr>
                <w:webHidden/>
              </w:rPr>
              <w:fldChar w:fldCharType="begin"/>
            </w:r>
            <w:r>
              <w:rPr>
                <w:webHidden/>
              </w:rPr>
              <w:instrText xml:space="preserve"> PAGEREF _Toc196226252 \h </w:instrText>
            </w:r>
            <w:r>
              <w:rPr>
                <w:webHidden/>
              </w:rPr>
            </w:r>
            <w:r>
              <w:rPr>
                <w:webHidden/>
              </w:rPr>
              <w:fldChar w:fldCharType="separate"/>
            </w:r>
            <w:r w:rsidR="0096549C">
              <w:rPr>
                <w:webHidden/>
              </w:rPr>
              <w:t>52</w:t>
            </w:r>
            <w:r>
              <w:rPr>
                <w:webHidden/>
              </w:rPr>
              <w:fldChar w:fldCharType="end"/>
            </w:r>
          </w:hyperlink>
        </w:p>
        <w:p w14:paraId="3545E88E" w14:textId="75D1E8C9"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3" w:history="1">
            <w:r w:rsidRPr="0087236C">
              <w:rPr>
                <w:rStyle w:val="Lienhypertexte"/>
                <w:noProof/>
                <w:lang w:val="de-CH"/>
              </w:rPr>
              <w:t>6.8.1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_Toc196226253 \h </w:instrText>
            </w:r>
            <w:r>
              <w:rPr>
                <w:noProof/>
                <w:webHidden/>
              </w:rPr>
            </w:r>
            <w:r>
              <w:rPr>
                <w:noProof/>
                <w:webHidden/>
              </w:rPr>
              <w:fldChar w:fldCharType="separate"/>
            </w:r>
            <w:r w:rsidR="0096549C">
              <w:rPr>
                <w:noProof/>
                <w:webHidden/>
              </w:rPr>
              <w:t>52</w:t>
            </w:r>
            <w:r>
              <w:rPr>
                <w:noProof/>
                <w:webHidden/>
              </w:rPr>
              <w:fldChar w:fldCharType="end"/>
            </w:r>
          </w:hyperlink>
        </w:p>
        <w:p w14:paraId="55F769B9" w14:textId="7173D2D5"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4" w:history="1">
            <w:r w:rsidRPr="0087236C">
              <w:rPr>
                <w:rStyle w:val="Lienhypertexte"/>
                <w:noProof/>
                <w:lang w:val="de-CH"/>
              </w:rPr>
              <w:t>6.8.2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_Toc196226254 \h </w:instrText>
            </w:r>
            <w:r>
              <w:rPr>
                <w:noProof/>
                <w:webHidden/>
              </w:rPr>
            </w:r>
            <w:r>
              <w:rPr>
                <w:noProof/>
                <w:webHidden/>
              </w:rPr>
              <w:fldChar w:fldCharType="separate"/>
            </w:r>
            <w:r w:rsidR="0096549C">
              <w:rPr>
                <w:noProof/>
                <w:webHidden/>
              </w:rPr>
              <w:t>52</w:t>
            </w:r>
            <w:r>
              <w:rPr>
                <w:noProof/>
                <w:webHidden/>
              </w:rPr>
              <w:fldChar w:fldCharType="end"/>
            </w:r>
          </w:hyperlink>
        </w:p>
        <w:p w14:paraId="0F9FCBC1" w14:textId="67259FE9"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55" w:history="1">
            <w:r w:rsidRPr="0087236C">
              <w:rPr>
                <w:rStyle w:val="Lienhypertexte"/>
                <w:lang w:val="de-CH"/>
              </w:rPr>
              <w:t>6.9</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direkten Kantonssteuern (DStG)</w:t>
            </w:r>
            <w:r>
              <w:rPr>
                <w:webHidden/>
              </w:rPr>
              <w:tab/>
            </w:r>
            <w:r>
              <w:rPr>
                <w:webHidden/>
              </w:rPr>
              <w:fldChar w:fldCharType="begin"/>
            </w:r>
            <w:r>
              <w:rPr>
                <w:webHidden/>
              </w:rPr>
              <w:instrText xml:space="preserve"> PAGEREF _Toc196226255 \h </w:instrText>
            </w:r>
            <w:r>
              <w:rPr>
                <w:webHidden/>
              </w:rPr>
            </w:r>
            <w:r>
              <w:rPr>
                <w:webHidden/>
              </w:rPr>
              <w:fldChar w:fldCharType="separate"/>
            </w:r>
            <w:r w:rsidR="0096549C">
              <w:rPr>
                <w:webHidden/>
              </w:rPr>
              <w:t>53</w:t>
            </w:r>
            <w:r>
              <w:rPr>
                <w:webHidden/>
              </w:rPr>
              <w:fldChar w:fldCharType="end"/>
            </w:r>
          </w:hyperlink>
        </w:p>
        <w:p w14:paraId="00587406" w14:textId="76FA0C28"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6" w:history="1">
            <w:r w:rsidRPr="0087236C">
              <w:rPr>
                <w:rStyle w:val="Lienhypertexte"/>
                <w:noProof/>
                <w:lang w:val="de-CH"/>
              </w:rPr>
              <w:t>6.9.1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_Toc196226256 \h </w:instrText>
            </w:r>
            <w:r>
              <w:rPr>
                <w:noProof/>
                <w:webHidden/>
              </w:rPr>
            </w:r>
            <w:r>
              <w:rPr>
                <w:noProof/>
                <w:webHidden/>
              </w:rPr>
              <w:fldChar w:fldCharType="separate"/>
            </w:r>
            <w:r w:rsidR="0096549C">
              <w:rPr>
                <w:noProof/>
                <w:webHidden/>
              </w:rPr>
              <w:t>53</w:t>
            </w:r>
            <w:r>
              <w:rPr>
                <w:noProof/>
                <w:webHidden/>
              </w:rPr>
              <w:fldChar w:fldCharType="end"/>
            </w:r>
          </w:hyperlink>
        </w:p>
        <w:p w14:paraId="5C67B38A" w14:textId="385239BE"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7" w:history="1">
            <w:r w:rsidRPr="0087236C">
              <w:rPr>
                <w:rStyle w:val="Lienhypertexte"/>
                <w:noProof/>
                <w:lang w:val="de-CH"/>
              </w:rPr>
              <w:t>6.9.2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_Toc196226257 \h </w:instrText>
            </w:r>
            <w:r>
              <w:rPr>
                <w:noProof/>
                <w:webHidden/>
              </w:rPr>
            </w:r>
            <w:r>
              <w:rPr>
                <w:noProof/>
                <w:webHidden/>
              </w:rPr>
              <w:fldChar w:fldCharType="separate"/>
            </w:r>
            <w:r w:rsidR="0096549C">
              <w:rPr>
                <w:noProof/>
                <w:webHidden/>
              </w:rPr>
              <w:t>53</w:t>
            </w:r>
            <w:r>
              <w:rPr>
                <w:noProof/>
                <w:webHidden/>
              </w:rPr>
              <w:fldChar w:fldCharType="end"/>
            </w:r>
          </w:hyperlink>
        </w:p>
        <w:p w14:paraId="115F992B" w14:textId="0D348FA7"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58" w:history="1">
            <w:r w:rsidRPr="0087236C">
              <w:rPr>
                <w:rStyle w:val="Lienhypertexte"/>
                <w:lang w:val="de-CH"/>
              </w:rPr>
              <w:t>6.10</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Besteuerung der Motorfahrzeuge und Anhänger (BMfzAG)</w:t>
            </w:r>
            <w:r>
              <w:rPr>
                <w:webHidden/>
              </w:rPr>
              <w:tab/>
            </w:r>
            <w:r>
              <w:rPr>
                <w:webHidden/>
              </w:rPr>
              <w:fldChar w:fldCharType="begin"/>
            </w:r>
            <w:r>
              <w:rPr>
                <w:webHidden/>
              </w:rPr>
              <w:instrText xml:space="preserve"> PAGEREF _Toc196226258 \h </w:instrText>
            </w:r>
            <w:r>
              <w:rPr>
                <w:webHidden/>
              </w:rPr>
            </w:r>
            <w:r>
              <w:rPr>
                <w:webHidden/>
              </w:rPr>
              <w:fldChar w:fldCharType="separate"/>
            </w:r>
            <w:r w:rsidR="0096549C">
              <w:rPr>
                <w:webHidden/>
              </w:rPr>
              <w:t>54</w:t>
            </w:r>
            <w:r>
              <w:rPr>
                <w:webHidden/>
              </w:rPr>
              <w:fldChar w:fldCharType="end"/>
            </w:r>
          </w:hyperlink>
        </w:p>
        <w:p w14:paraId="1B83B4EE" w14:textId="6F3CEA79"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59" w:history="1">
            <w:r w:rsidRPr="0087236C">
              <w:rPr>
                <w:rStyle w:val="Lienhypertexte"/>
                <w:noProof/>
                <w:lang w:val="de-CH"/>
              </w:rPr>
              <w:t>6.10.1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_Toc196226259 \h </w:instrText>
            </w:r>
            <w:r>
              <w:rPr>
                <w:noProof/>
                <w:webHidden/>
              </w:rPr>
            </w:r>
            <w:r>
              <w:rPr>
                <w:noProof/>
                <w:webHidden/>
              </w:rPr>
              <w:fldChar w:fldCharType="separate"/>
            </w:r>
            <w:r w:rsidR="0096549C">
              <w:rPr>
                <w:noProof/>
                <w:webHidden/>
              </w:rPr>
              <w:t>54</w:t>
            </w:r>
            <w:r>
              <w:rPr>
                <w:noProof/>
                <w:webHidden/>
              </w:rPr>
              <w:fldChar w:fldCharType="end"/>
            </w:r>
          </w:hyperlink>
        </w:p>
        <w:p w14:paraId="26C0CBAE" w14:textId="761BB7A5"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0" w:history="1">
            <w:r w:rsidRPr="0087236C">
              <w:rPr>
                <w:rStyle w:val="Lienhypertexte"/>
                <w:noProof/>
                <w:lang w:val="de-CH"/>
              </w:rPr>
              <w:t>6.10.2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_Toc196226260 \h </w:instrText>
            </w:r>
            <w:r>
              <w:rPr>
                <w:noProof/>
                <w:webHidden/>
              </w:rPr>
            </w:r>
            <w:r>
              <w:rPr>
                <w:noProof/>
                <w:webHidden/>
              </w:rPr>
              <w:fldChar w:fldCharType="separate"/>
            </w:r>
            <w:r w:rsidR="0096549C">
              <w:rPr>
                <w:noProof/>
                <w:webHidden/>
              </w:rPr>
              <w:t>54</w:t>
            </w:r>
            <w:r>
              <w:rPr>
                <w:noProof/>
                <w:webHidden/>
              </w:rPr>
              <w:fldChar w:fldCharType="end"/>
            </w:r>
          </w:hyperlink>
        </w:p>
        <w:p w14:paraId="4D52950C" w14:textId="49AE5BE1"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61" w:history="1">
            <w:r w:rsidRPr="0087236C">
              <w:rPr>
                <w:rStyle w:val="Lienhypertexte"/>
                <w:lang w:val="de-CH"/>
              </w:rPr>
              <w:t>6.11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Mobilitätsgesetzes (MobG)</w:t>
            </w:r>
            <w:r>
              <w:rPr>
                <w:webHidden/>
              </w:rPr>
              <w:tab/>
            </w:r>
            <w:r>
              <w:rPr>
                <w:webHidden/>
              </w:rPr>
              <w:fldChar w:fldCharType="begin"/>
            </w:r>
            <w:r>
              <w:rPr>
                <w:webHidden/>
              </w:rPr>
              <w:instrText xml:space="preserve"> PAGEREF _Toc196226261 \h </w:instrText>
            </w:r>
            <w:r>
              <w:rPr>
                <w:webHidden/>
              </w:rPr>
            </w:r>
            <w:r>
              <w:rPr>
                <w:webHidden/>
              </w:rPr>
              <w:fldChar w:fldCharType="separate"/>
            </w:r>
            <w:r w:rsidR="0096549C">
              <w:rPr>
                <w:webHidden/>
              </w:rPr>
              <w:t>54</w:t>
            </w:r>
            <w:r>
              <w:rPr>
                <w:webHidden/>
              </w:rPr>
              <w:fldChar w:fldCharType="end"/>
            </w:r>
          </w:hyperlink>
        </w:p>
        <w:p w14:paraId="742CC818" w14:textId="5C6042A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2" w:history="1">
            <w:r w:rsidRPr="0087236C">
              <w:rPr>
                <w:rStyle w:val="Lienhypertexte"/>
                <w:noProof/>
                <w:lang w:val="de-CH"/>
              </w:rPr>
              <w:t>6.11.1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_Toc196226262 \h </w:instrText>
            </w:r>
            <w:r>
              <w:rPr>
                <w:noProof/>
                <w:webHidden/>
              </w:rPr>
            </w:r>
            <w:r>
              <w:rPr>
                <w:noProof/>
                <w:webHidden/>
              </w:rPr>
              <w:fldChar w:fldCharType="separate"/>
            </w:r>
            <w:r w:rsidR="0096549C">
              <w:rPr>
                <w:noProof/>
                <w:webHidden/>
              </w:rPr>
              <w:t>54</w:t>
            </w:r>
            <w:r>
              <w:rPr>
                <w:noProof/>
                <w:webHidden/>
              </w:rPr>
              <w:fldChar w:fldCharType="end"/>
            </w:r>
          </w:hyperlink>
        </w:p>
        <w:p w14:paraId="75053FA5" w14:textId="084F296D"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3" w:history="1">
            <w:r w:rsidRPr="0087236C">
              <w:rPr>
                <w:rStyle w:val="Lienhypertexte"/>
                <w:noProof/>
                <w:lang w:val="de-CH"/>
              </w:rPr>
              <w:t>6.11.2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_Toc196226263 \h </w:instrText>
            </w:r>
            <w:r>
              <w:rPr>
                <w:noProof/>
                <w:webHidden/>
              </w:rPr>
            </w:r>
            <w:r>
              <w:rPr>
                <w:noProof/>
                <w:webHidden/>
              </w:rPr>
              <w:fldChar w:fldCharType="separate"/>
            </w:r>
            <w:r w:rsidR="0096549C">
              <w:rPr>
                <w:noProof/>
                <w:webHidden/>
              </w:rPr>
              <w:t>55</w:t>
            </w:r>
            <w:r>
              <w:rPr>
                <w:noProof/>
                <w:webHidden/>
              </w:rPr>
              <w:fldChar w:fldCharType="end"/>
            </w:r>
          </w:hyperlink>
        </w:p>
        <w:p w14:paraId="656791C1" w14:textId="51F6A53B"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64" w:history="1">
            <w:r w:rsidRPr="0087236C">
              <w:rPr>
                <w:rStyle w:val="Lienhypertexte"/>
                <w:lang w:val="de-CH"/>
              </w:rPr>
              <w:t>6.12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sozialmedizinischen Leistungen (SmLG)</w:t>
            </w:r>
            <w:r>
              <w:rPr>
                <w:webHidden/>
              </w:rPr>
              <w:tab/>
            </w:r>
            <w:r>
              <w:rPr>
                <w:webHidden/>
              </w:rPr>
              <w:fldChar w:fldCharType="begin"/>
            </w:r>
            <w:r>
              <w:rPr>
                <w:webHidden/>
              </w:rPr>
              <w:instrText xml:space="preserve"> PAGEREF _Toc196226264 \h </w:instrText>
            </w:r>
            <w:r>
              <w:rPr>
                <w:webHidden/>
              </w:rPr>
            </w:r>
            <w:r>
              <w:rPr>
                <w:webHidden/>
              </w:rPr>
              <w:fldChar w:fldCharType="separate"/>
            </w:r>
            <w:r w:rsidR="0096549C">
              <w:rPr>
                <w:webHidden/>
              </w:rPr>
              <w:t>55</w:t>
            </w:r>
            <w:r>
              <w:rPr>
                <w:webHidden/>
              </w:rPr>
              <w:fldChar w:fldCharType="end"/>
            </w:r>
          </w:hyperlink>
        </w:p>
        <w:p w14:paraId="514F79D8" w14:textId="36E272AC"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5" w:history="1">
            <w:r w:rsidRPr="0087236C">
              <w:rPr>
                <w:rStyle w:val="Lienhypertexte"/>
                <w:noProof/>
                <w:lang w:val="de-CH"/>
              </w:rPr>
              <w:t>6.12.1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_Toc196226265 \h </w:instrText>
            </w:r>
            <w:r>
              <w:rPr>
                <w:noProof/>
                <w:webHidden/>
              </w:rPr>
            </w:r>
            <w:r>
              <w:rPr>
                <w:noProof/>
                <w:webHidden/>
              </w:rPr>
              <w:fldChar w:fldCharType="separate"/>
            </w:r>
            <w:r w:rsidR="0096549C">
              <w:rPr>
                <w:noProof/>
                <w:webHidden/>
              </w:rPr>
              <w:t>55</w:t>
            </w:r>
            <w:r>
              <w:rPr>
                <w:noProof/>
                <w:webHidden/>
              </w:rPr>
              <w:fldChar w:fldCharType="end"/>
            </w:r>
          </w:hyperlink>
        </w:p>
        <w:p w14:paraId="71024069" w14:textId="077AE7F7"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6" w:history="1">
            <w:r w:rsidRPr="0087236C">
              <w:rPr>
                <w:rStyle w:val="Lienhypertexte"/>
                <w:noProof/>
                <w:lang w:val="de-CH"/>
              </w:rPr>
              <w:t>6.12.2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_Toc196226266 \h </w:instrText>
            </w:r>
            <w:r>
              <w:rPr>
                <w:noProof/>
                <w:webHidden/>
              </w:rPr>
            </w:r>
            <w:r>
              <w:rPr>
                <w:noProof/>
                <w:webHidden/>
              </w:rPr>
              <w:fldChar w:fldCharType="separate"/>
            </w:r>
            <w:r w:rsidR="0096549C">
              <w:rPr>
                <w:noProof/>
                <w:webHidden/>
              </w:rPr>
              <w:t>56</w:t>
            </w:r>
            <w:r>
              <w:rPr>
                <w:noProof/>
                <w:webHidden/>
              </w:rPr>
              <w:fldChar w:fldCharType="end"/>
            </w:r>
          </w:hyperlink>
        </w:p>
        <w:p w14:paraId="7E6E0064" w14:textId="54CB40BB"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67" w:history="1">
            <w:r w:rsidRPr="0087236C">
              <w:rPr>
                <w:rStyle w:val="Lienhypertexte"/>
                <w:lang w:val="de-CH"/>
              </w:rPr>
              <w:t>6.13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 xml:space="preserve">Änderung des Ausführungsgesetzes zum Bundesgesetz über die </w:t>
            </w:r>
            <w:r w:rsidR="006E4392">
              <w:rPr>
                <w:rStyle w:val="Lienhypertexte"/>
                <w:lang w:val="de-CH"/>
              </w:rPr>
              <w:br/>
            </w:r>
            <w:r w:rsidRPr="0087236C">
              <w:rPr>
                <w:rStyle w:val="Lienhypertexte"/>
                <w:lang w:val="de-CH"/>
              </w:rPr>
              <w:t>Neuordnung der Pflegefinanzierung</w:t>
            </w:r>
            <w:r>
              <w:rPr>
                <w:webHidden/>
              </w:rPr>
              <w:tab/>
            </w:r>
            <w:r>
              <w:rPr>
                <w:webHidden/>
              </w:rPr>
              <w:fldChar w:fldCharType="begin"/>
            </w:r>
            <w:r>
              <w:rPr>
                <w:webHidden/>
              </w:rPr>
              <w:instrText xml:space="preserve"> PAGEREF _Toc196226267 \h </w:instrText>
            </w:r>
            <w:r>
              <w:rPr>
                <w:webHidden/>
              </w:rPr>
            </w:r>
            <w:r>
              <w:rPr>
                <w:webHidden/>
              </w:rPr>
              <w:fldChar w:fldCharType="separate"/>
            </w:r>
            <w:r w:rsidR="0096549C">
              <w:rPr>
                <w:webHidden/>
              </w:rPr>
              <w:t>56</w:t>
            </w:r>
            <w:r>
              <w:rPr>
                <w:webHidden/>
              </w:rPr>
              <w:fldChar w:fldCharType="end"/>
            </w:r>
          </w:hyperlink>
        </w:p>
        <w:p w14:paraId="5D11ED18" w14:textId="6F3A1AD6"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8" w:history="1">
            <w:r w:rsidRPr="0087236C">
              <w:rPr>
                <w:rStyle w:val="Lienhypertexte"/>
                <w:noProof/>
                <w:lang w:val="de-CH"/>
              </w:rPr>
              <w:t>6.13.1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_Toc196226268 \h </w:instrText>
            </w:r>
            <w:r>
              <w:rPr>
                <w:noProof/>
                <w:webHidden/>
              </w:rPr>
            </w:r>
            <w:r>
              <w:rPr>
                <w:noProof/>
                <w:webHidden/>
              </w:rPr>
              <w:fldChar w:fldCharType="separate"/>
            </w:r>
            <w:r w:rsidR="0096549C">
              <w:rPr>
                <w:noProof/>
                <w:webHidden/>
              </w:rPr>
              <w:t>56</w:t>
            </w:r>
            <w:r>
              <w:rPr>
                <w:noProof/>
                <w:webHidden/>
              </w:rPr>
              <w:fldChar w:fldCharType="end"/>
            </w:r>
          </w:hyperlink>
        </w:p>
        <w:p w14:paraId="13C199CC" w14:textId="48B905C0"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69" w:history="1">
            <w:r w:rsidRPr="0087236C">
              <w:rPr>
                <w:rStyle w:val="Lienhypertexte"/>
                <w:noProof/>
                <w:lang w:val="de-CH"/>
              </w:rPr>
              <w:t>6.13.2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_Toc196226269 \h </w:instrText>
            </w:r>
            <w:r>
              <w:rPr>
                <w:noProof/>
                <w:webHidden/>
              </w:rPr>
            </w:r>
            <w:r>
              <w:rPr>
                <w:noProof/>
                <w:webHidden/>
              </w:rPr>
              <w:fldChar w:fldCharType="separate"/>
            </w:r>
            <w:r w:rsidR="0096549C">
              <w:rPr>
                <w:noProof/>
                <w:webHidden/>
              </w:rPr>
              <w:t>57</w:t>
            </w:r>
            <w:r>
              <w:rPr>
                <w:noProof/>
                <w:webHidden/>
              </w:rPr>
              <w:fldChar w:fldCharType="end"/>
            </w:r>
          </w:hyperlink>
        </w:p>
        <w:p w14:paraId="0535E60E" w14:textId="13E081E2"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70" w:history="1">
            <w:r w:rsidRPr="0087236C">
              <w:rPr>
                <w:rStyle w:val="Lienhypertexte"/>
                <w:lang w:val="de-CH"/>
              </w:rPr>
              <w:t>6.14</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Sozialhilfegesetzes (SHG)</w:t>
            </w:r>
            <w:r>
              <w:rPr>
                <w:webHidden/>
              </w:rPr>
              <w:tab/>
            </w:r>
            <w:r>
              <w:rPr>
                <w:webHidden/>
              </w:rPr>
              <w:fldChar w:fldCharType="begin"/>
            </w:r>
            <w:r>
              <w:rPr>
                <w:webHidden/>
              </w:rPr>
              <w:instrText xml:space="preserve"> PAGEREF _Toc196226270 \h </w:instrText>
            </w:r>
            <w:r>
              <w:rPr>
                <w:webHidden/>
              </w:rPr>
            </w:r>
            <w:r>
              <w:rPr>
                <w:webHidden/>
              </w:rPr>
              <w:fldChar w:fldCharType="separate"/>
            </w:r>
            <w:r w:rsidR="0096549C">
              <w:rPr>
                <w:webHidden/>
              </w:rPr>
              <w:t>57</w:t>
            </w:r>
            <w:r>
              <w:rPr>
                <w:webHidden/>
              </w:rPr>
              <w:fldChar w:fldCharType="end"/>
            </w:r>
          </w:hyperlink>
        </w:p>
        <w:p w14:paraId="7FC74A60" w14:textId="00B0D770"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1" w:history="1">
            <w:r w:rsidRPr="0087236C">
              <w:rPr>
                <w:rStyle w:val="Lienhypertexte"/>
                <w:noProof/>
                <w:lang w:val="de-CH"/>
              </w:rPr>
              <w:t>6.14.1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_Toc196226271 \h </w:instrText>
            </w:r>
            <w:r>
              <w:rPr>
                <w:noProof/>
                <w:webHidden/>
              </w:rPr>
            </w:r>
            <w:r>
              <w:rPr>
                <w:noProof/>
                <w:webHidden/>
              </w:rPr>
              <w:fldChar w:fldCharType="separate"/>
            </w:r>
            <w:r w:rsidR="0096549C">
              <w:rPr>
                <w:noProof/>
                <w:webHidden/>
              </w:rPr>
              <w:t>57</w:t>
            </w:r>
            <w:r>
              <w:rPr>
                <w:noProof/>
                <w:webHidden/>
              </w:rPr>
              <w:fldChar w:fldCharType="end"/>
            </w:r>
          </w:hyperlink>
        </w:p>
        <w:p w14:paraId="1B7D33EC" w14:textId="5826B388"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2" w:history="1">
            <w:r w:rsidRPr="0087236C">
              <w:rPr>
                <w:rStyle w:val="Lienhypertexte"/>
                <w:noProof/>
                <w:lang w:val="de-CH"/>
              </w:rPr>
              <w:t>6.14.2</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Detaillierte finanzielle Schätzungen</w:t>
            </w:r>
            <w:r>
              <w:rPr>
                <w:noProof/>
                <w:webHidden/>
              </w:rPr>
              <w:tab/>
            </w:r>
            <w:r>
              <w:rPr>
                <w:noProof/>
                <w:webHidden/>
              </w:rPr>
              <w:fldChar w:fldCharType="begin"/>
            </w:r>
            <w:r>
              <w:rPr>
                <w:noProof/>
                <w:webHidden/>
              </w:rPr>
              <w:instrText xml:space="preserve"> PAGEREF _Toc196226272 \h </w:instrText>
            </w:r>
            <w:r>
              <w:rPr>
                <w:noProof/>
                <w:webHidden/>
              </w:rPr>
            </w:r>
            <w:r>
              <w:rPr>
                <w:noProof/>
                <w:webHidden/>
              </w:rPr>
              <w:fldChar w:fldCharType="separate"/>
            </w:r>
            <w:r w:rsidR="0096549C">
              <w:rPr>
                <w:noProof/>
                <w:webHidden/>
              </w:rPr>
              <w:t>57</w:t>
            </w:r>
            <w:r>
              <w:rPr>
                <w:noProof/>
                <w:webHidden/>
              </w:rPr>
              <w:fldChar w:fldCharType="end"/>
            </w:r>
          </w:hyperlink>
        </w:p>
        <w:p w14:paraId="2D3D9FB4" w14:textId="3E1BE280"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3" w:history="1">
            <w:r w:rsidRPr="0087236C">
              <w:rPr>
                <w:rStyle w:val="Lienhypertexte"/>
                <w:noProof/>
                <w:lang w:val="de-CH"/>
              </w:rPr>
              <w:t>6.14.3</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_Toc196226273 \h </w:instrText>
            </w:r>
            <w:r>
              <w:rPr>
                <w:noProof/>
                <w:webHidden/>
              </w:rPr>
            </w:r>
            <w:r>
              <w:rPr>
                <w:noProof/>
                <w:webHidden/>
              </w:rPr>
              <w:fldChar w:fldCharType="separate"/>
            </w:r>
            <w:r w:rsidR="0096549C">
              <w:rPr>
                <w:noProof/>
                <w:webHidden/>
              </w:rPr>
              <w:t>57</w:t>
            </w:r>
            <w:r>
              <w:rPr>
                <w:noProof/>
                <w:webHidden/>
              </w:rPr>
              <w:fldChar w:fldCharType="end"/>
            </w:r>
          </w:hyperlink>
        </w:p>
        <w:p w14:paraId="3024945C" w14:textId="2F51EDC7"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74" w:history="1">
            <w:r w:rsidRPr="0087236C">
              <w:rPr>
                <w:rStyle w:val="Lienhypertexte"/>
                <w:lang w:val="de-CH"/>
              </w:rPr>
              <w:t>6.15</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sonder- und sozialpädagogischen Institutionen und die professionellen Pflegefamilien (SIPG)</w:t>
            </w:r>
            <w:r>
              <w:rPr>
                <w:webHidden/>
              </w:rPr>
              <w:tab/>
            </w:r>
            <w:r>
              <w:rPr>
                <w:webHidden/>
              </w:rPr>
              <w:fldChar w:fldCharType="begin"/>
            </w:r>
            <w:r>
              <w:rPr>
                <w:webHidden/>
              </w:rPr>
              <w:instrText xml:space="preserve"> PAGEREF _Toc196226274 \h </w:instrText>
            </w:r>
            <w:r>
              <w:rPr>
                <w:webHidden/>
              </w:rPr>
            </w:r>
            <w:r>
              <w:rPr>
                <w:webHidden/>
              </w:rPr>
              <w:fldChar w:fldCharType="separate"/>
            </w:r>
            <w:r w:rsidR="0096549C">
              <w:rPr>
                <w:webHidden/>
              </w:rPr>
              <w:t>57</w:t>
            </w:r>
            <w:r>
              <w:rPr>
                <w:webHidden/>
              </w:rPr>
              <w:fldChar w:fldCharType="end"/>
            </w:r>
          </w:hyperlink>
        </w:p>
        <w:p w14:paraId="065C4A58" w14:textId="44020B0F"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5" w:history="1">
            <w:r w:rsidRPr="0087236C">
              <w:rPr>
                <w:rStyle w:val="Lienhypertexte"/>
                <w:noProof/>
                <w:lang w:val="de-CH"/>
              </w:rPr>
              <w:t>6.15.1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_Toc196226275 \h </w:instrText>
            </w:r>
            <w:r>
              <w:rPr>
                <w:noProof/>
                <w:webHidden/>
              </w:rPr>
            </w:r>
            <w:r>
              <w:rPr>
                <w:noProof/>
                <w:webHidden/>
              </w:rPr>
              <w:fldChar w:fldCharType="separate"/>
            </w:r>
            <w:r w:rsidR="0096549C">
              <w:rPr>
                <w:noProof/>
                <w:webHidden/>
              </w:rPr>
              <w:t>57</w:t>
            </w:r>
            <w:r>
              <w:rPr>
                <w:noProof/>
                <w:webHidden/>
              </w:rPr>
              <w:fldChar w:fldCharType="end"/>
            </w:r>
          </w:hyperlink>
        </w:p>
        <w:p w14:paraId="1D9CB8EF" w14:textId="4BCF8BDD"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6" w:history="1">
            <w:r w:rsidRPr="0087236C">
              <w:rPr>
                <w:rStyle w:val="Lienhypertexte"/>
                <w:noProof/>
                <w:lang w:val="de-CH"/>
              </w:rPr>
              <w:t>6.15.2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_Toc196226276 \h </w:instrText>
            </w:r>
            <w:r>
              <w:rPr>
                <w:noProof/>
                <w:webHidden/>
              </w:rPr>
            </w:r>
            <w:r>
              <w:rPr>
                <w:noProof/>
                <w:webHidden/>
              </w:rPr>
              <w:fldChar w:fldCharType="separate"/>
            </w:r>
            <w:r w:rsidR="0096549C">
              <w:rPr>
                <w:noProof/>
                <w:webHidden/>
              </w:rPr>
              <w:t>58</w:t>
            </w:r>
            <w:r>
              <w:rPr>
                <w:noProof/>
                <w:webHidden/>
              </w:rPr>
              <w:fldChar w:fldCharType="end"/>
            </w:r>
          </w:hyperlink>
        </w:p>
        <w:p w14:paraId="206F6DB0" w14:textId="4102A57D"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77" w:history="1">
            <w:r w:rsidRPr="0087236C">
              <w:rPr>
                <w:rStyle w:val="Lienhypertexte"/>
                <w:lang w:val="de-CH"/>
              </w:rPr>
              <w:t>6.16</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familienergänzenden Tagesbetreuungseinrichtungen (FBG)</w:t>
            </w:r>
            <w:r>
              <w:rPr>
                <w:webHidden/>
              </w:rPr>
              <w:tab/>
            </w:r>
            <w:r>
              <w:rPr>
                <w:webHidden/>
              </w:rPr>
              <w:fldChar w:fldCharType="begin"/>
            </w:r>
            <w:r>
              <w:rPr>
                <w:webHidden/>
              </w:rPr>
              <w:instrText xml:space="preserve"> PAGEREF _Toc196226277 \h </w:instrText>
            </w:r>
            <w:r>
              <w:rPr>
                <w:webHidden/>
              </w:rPr>
            </w:r>
            <w:r>
              <w:rPr>
                <w:webHidden/>
              </w:rPr>
              <w:fldChar w:fldCharType="separate"/>
            </w:r>
            <w:r w:rsidR="0096549C">
              <w:rPr>
                <w:webHidden/>
              </w:rPr>
              <w:t>59</w:t>
            </w:r>
            <w:r>
              <w:rPr>
                <w:webHidden/>
              </w:rPr>
              <w:fldChar w:fldCharType="end"/>
            </w:r>
          </w:hyperlink>
        </w:p>
        <w:p w14:paraId="6DCFA9A3" w14:textId="3F419A8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8" w:history="1">
            <w:r w:rsidRPr="0087236C">
              <w:rPr>
                <w:rStyle w:val="Lienhypertexte"/>
                <w:noProof/>
                <w:lang w:val="de-CH"/>
              </w:rPr>
              <w:t>6.16.1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_Toc196226278 \h </w:instrText>
            </w:r>
            <w:r>
              <w:rPr>
                <w:noProof/>
                <w:webHidden/>
              </w:rPr>
            </w:r>
            <w:r>
              <w:rPr>
                <w:noProof/>
                <w:webHidden/>
              </w:rPr>
              <w:fldChar w:fldCharType="separate"/>
            </w:r>
            <w:r w:rsidR="0096549C">
              <w:rPr>
                <w:noProof/>
                <w:webHidden/>
              </w:rPr>
              <w:t>59</w:t>
            </w:r>
            <w:r>
              <w:rPr>
                <w:noProof/>
                <w:webHidden/>
              </w:rPr>
              <w:fldChar w:fldCharType="end"/>
            </w:r>
          </w:hyperlink>
        </w:p>
        <w:p w14:paraId="52ABD4F7" w14:textId="7558152B"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79" w:history="1">
            <w:r w:rsidRPr="0087236C">
              <w:rPr>
                <w:rStyle w:val="Lienhypertexte"/>
                <w:noProof/>
                <w:lang w:val="de-CH"/>
              </w:rPr>
              <w:t>6.16.2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_Toc196226279 \h </w:instrText>
            </w:r>
            <w:r>
              <w:rPr>
                <w:noProof/>
                <w:webHidden/>
              </w:rPr>
            </w:r>
            <w:r>
              <w:rPr>
                <w:noProof/>
                <w:webHidden/>
              </w:rPr>
              <w:fldChar w:fldCharType="separate"/>
            </w:r>
            <w:r w:rsidR="0096549C">
              <w:rPr>
                <w:noProof/>
                <w:webHidden/>
              </w:rPr>
              <w:t>59</w:t>
            </w:r>
            <w:r>
              <w:rPr>
                <w:noProof/>
                <w:webHidden/>
              </w:rPr>
              <w:fldChar w:fldCharType="end"/>
            </w:r>
          </w:hyperlink>
        </w:p>
        <w:p w14:paraId="2515E039" w14:textId="29D6ECF3"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80" w:history="1">
            <w:r w:rsidRPr="0087236C">
              <w:rPr>
                <w:rStyle w:val="Lienhypertexte"/>
                <w:lang w:val="de-CH"/>
              </w:rPr>
              <w:t>6.17</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die Ergänzungsleistungen für Familien (FamELG)</w:t>
            </w:r>
            <w:r>
              <w:rPr>
                <w:webHidden/>
              </w:rPr>
              <w:tab/>
            </w:r>
            <w:r>
              <w:rPr>
                <w:webHidden/>
              </w:rPr>
              <w:fldChar w:fldCharType="begin"/>
            </w:r>
            <w:r>
              <w:rPr>
                <w:webHidden/>
              </w:rPr>
              <w:instrText xml:space="preserve"> PAGEREF _Toc196226280 \h </w:instrText>
            </w:r>
            <w:r>
              <w:rPr>
                <w:webHidden/>
              </w:rPr>
            </w:r>
            <w:r>
              <w:rPr>
                <w:webHidden/>
              </w:rPr>
              <w:fldChar w:fldCharType="separate"/>
            </w:r>
            <w:r w:rsidR="0096549C">
              <w:rPr>
                <w:webHidden/>
              </w:rPr>
              <w:t>59</w:t>
            </w:r>
            <w:r>
              <w:rPr>
                <w:webHidden/>
              </w:rPr>
              <w:fldChar w:fldCharType="end"/>
            </w:r>
          </w:hyperlink>
        </w:p>
        <w:p w14:paraId="5347B20A" w14:textId="660770B3"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81" w:history="1">
            <w:r w:rsidRPr="0087236C">
              <w:rPr>
                <w:rStyle w:val="Lienhypertexte"/>
                <w:noProof/>
                <w:lang w:val="de-CH"/>
              </w:rPr>
              <w:t>6.17.1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_Toc196226281 \h </w:instrText>
            </w:r>
            <w:r>
              <w:rPr>
                <w:noProof/>
                <w:webHidden/>
              </w:rPr>
            </w:r>
            <w:r>
              <w:rPr>
                <w:noProof/>
                <w:webHidden/>
              </w:rPr>
              <w:fldChar w:fldCharType="separate"/>
            </w:r>
            <w:r w:rsidR="0096549C">
              <w:rPr>
                <w:noProof/>
                <w:webHidden/>
              </w:rPr>
              <w:t>59</w:t>
            </w:r>
            <w:r>
              <w:rPr>
                <w:noProof/>
                <w:webHidden/>
              </w:rPr>
              <w:fldChar w:fldCharType="end"/>
            </w:r>
          </w:hyperlink>
        </w:p>
        <w:p w14:paraId="0086007B" w14:textId="06335BFD"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82" w:history="1">
            <w:r w:rsidRPr="0087236C">
              <w:rPr>
                <w:rStyle w:val="Lienhypertexte"/>
                <w:noProof/>
                <w:lang w:val="de-CH"/>
              </w:rPr>
              <w:t>6.17.2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_Toc196226282 \h </w:instrText>
            </w:r>
            <w:r>
              <w:rPr>
                <w:noProof/>
                <w:webHidden/>
              </w:rPr>
            </w:r>
            <w:r>
              <w:rPr>
                <w:noProof/>
                <w:webHidden/>
              </w:rPr>
              <w:fldChar w:fldCharType="separate"/>
            </w:r>
            <w:r w:rsidR="0096549C">
              <w:rPr>
                <w:noProof/>
                <w:webHidden/>
              </w:rPr>
              <w:t>60</w:t>
            </w:r>
            <w:r>
              <w:rPr>
                <w:noProof/>
                <w:webHidden/>
              </w:rPr>
              <w:fldChar w:fldCharType="end"/>
            </w:r>
          </w:hyperlink>
        </w:p>
        <w:p w14:paraId="2FCD0FCE" w14:textId="2BB8D5E0"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83" w:history="1">
            <w:r w:rsidRPr="0087236C">
              <w:rPr>
                <w:rStyle w:val="Lienhypertexte"/>
                <w:lang w:val="de-CH"/>
              </w:rPr>
              <w:t>6.18</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des Gesetzes über Ergänzungsleistungen zur Alters-, Hinterlassenen- und Invalidenversicherung</w:t>
            </w:r>
            <w:r>
              <w:rPr>
                <w:webHidden/>
              </w:rPr>
              <w:tab/>
            </w:r>
            <w:r>
              <w:rPr>
                <w:webHidden/>
              </w:rPr>
              <w:fldChar w:fldCharType="begin"/>
            </w:r>
            <w:r>
              <w:rPr>
                <w:webHidden/>
              </w:rPr>
              <w:instrText xml:space="preserve"> PAGEREF _Toc196226283 \h </w:instrText>
            </w:r>
            <w:r>
              <w:rPr>
                <w:webHidden/>
              </w:rPr>
            </w:r>
            <w:r>
              <w:rPr>
                <w:webHidden/>
              </w:rPr>
              <w:fldChar w:fldCharType="separate"/>
            </w:r>
            <w:r w:rsidR="0096549C">
              <w:rPr>
                <w:webHidden/>
              </w:rPr>
              <w:t>60</w:t>
            </w:r>
            <w:r>
              <w:rPr>
                <w:webHidden/>
              </w:rPr>
              <w:fldChar w:fldCharType="end"/>
            </w:r>
          </w:hyperlink>
        </w:p>
        <w:p w14:paraId="68E41040" w14:textId="0E3DA4D1"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84" w:history="1">
            <w:r w:rsidRPr="0087236C">
              <w:rPr>
                <w:rStyle w:val="Lienhypertexte"/>
                <w:noProof/>
                <w:lang w:val="de-CH"/>
              </w:rPr>
              <w:t>6.18.1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_Toc196226284 \h </w:instrText>
            </w:r>
            <w:r>
              <w:rPr>
                <w:noProof/>
                <w:webHidden/>
              </w:rPr>
            </w:r>
            <w:r>
              <w:rPr>
                <w:noProof/>
                <w:webHidden/>
              </w:rPr>
              <w:fldChar w:fldCharType="separate"/>
            </w:r>
            <w:r w:rsidR="0096549C">
              <w:rPr>
                <w:noProof/>
                <w:webHidden/>
              </w:rPr>
              <w:t>60</w:t>
            </w:r>
            <w:r>
              <w:rPr>
                <w:noProof/>
                <w:webHidden/>
              </w:rPr>
              <w:fldChar w:fldCharType="end"/>
            </w:r>
          </w:hyperlink>
        </w:p>
        <w:p w14:paraId="1050585C" w14:textId="1203B70E"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85" w:history="1">
            <w:r w:rsidRPr="0087236C">
              <w:rPr>
                <w:rStyle w:val="Lienhypertexte"/>
                <w:noProof/>
                <w:lang w:val="de-CH"/>
              </w:rPr>
              <w:t>6.18.2</w:t>
            </w:r>
            <w:r>
              <w:rPr>
                <w:rFonts w:asciiTheme="minorHAnsi" w:eastAsiaTheme="minorEastAsia" w:hAnsiTheme="minorHAnsi"/>
                <w:noProof/>
                <w:kern w:val="2"/>
                <w:sz w:val="24"/>
                <w:szCs w:val="24"/>
                <w:lang w:val="de-CH" w:eastAsia="de-CH"/>
                <w14:ligatures w14:val="standardContextual"/>
              </w:rPr>
              <w:tab/>
            </w:r>
            <w:r w:rsidRPr="0087236C">
              <w:rPr>
                <w:rStyle w:val="Lienhypertexte"/>
                <w:rFonts w:ascii="Arial" w:eastAsia="Times New Roman" w:hAnsi="Arial" w:cs="Times New Roman"/>
                <w:noProof/>
                <w:lang w:val="de-CH"/>
              </w:rPr>
              <w:t>Kommentar der einzelnen Artikel</w:t>
            </w:r>
            <w:r>
              <w:rPr>
                <w:noProof/>
                <w:webHidden/>
              </w:rPr>
              <w:tab/>
            </w:r>
            <w:r>
              <w:rPr>
                <w:noProof/>
                <w:webHidden/>
              </w:rPr>
              <w:fldChar w:fldCharType="begin"/>
            </w:r>
            <w:r>
              <w:rPr>
                <w:noProof/>
                <w:webHidden/>
              </w:rPr>
              <w:instrText xml:space="preserve"> PAGEREF _Toc196226285 \h </w:instrText>
            </w:r>
            <w:r>
              <w:rPr>
                <w:noProof/>
                <w:webHidden/>
              </w:rPr>
            </w:r>
            <w:r>
              <w:rPr>
                <w:noProof/>
                <w:webHidden/>
              </w:rPr>
              <w:fldChar w:fldCharType="separate"/>
            </w:r>
            <w:r w:rsidR="0096549C">
              <w:rPr>
                <w:noProof/>
                <w:webHidden/>
              </w:rPr>
              <w:t>60</w:t>
            </w:r>
            <w:r>
              <w:rPr>
                <w:noProof/>
                <w:webHidden/>
              </w:rPr>
              <w:fldChar w:fldCharType="end"/>
            </w:r>
          </w:hyperlink>
        </w:p>
        <w:p w14:paraId="755A68D5" w14:textId="0F06A305"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86" w:history="1">
            <w:r w:rsidRPr="0087236C">
              <w:rPr>
                <w:rStyle w:val="Lienhypertexte"/>
                <w:lang w:val="de-CH"/>
              </w:rPr>
              <w:t>6.19</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Änderung der Umsetzung der Motion 2022-GC-182</w:t>
            </w:r>
            <w:r>
              <w:rPr>
                <w:webHidden/>
              </w:rPr>
              <w:tab/>
            </w:r>
            <w:r>
              <w:rPr>
                <w:webHidden/>
              </w:rPr>
              <w:fldChar w:fldCharType="begin"/>
            </w:r>
            <w:r>
              <w:rPr>
                <w:webHidden/>
              </w:rPr>
              <w:instrText xml:space="preserve"> PAGEREF _Toc196226286 \h </w:instrText>
            </w:r>
            <w:r>
              <w:rPr>
                <w:webHidden/>
              </w:rPr>
            </w:r>
            <w:r>
              <w:rPr>
                <w:webHidden/>
              </w:rPr>
              <w:fldChar w:fldCharType="separate"/>
            </w:r>
            <w:r w:rsidR="0096549C">
              <w:rPr>
                <w:webHidden/>
              </w:rPr>
              <w:t>60</w:t>
            </w:r>
            <w:r>
              <w:rPr>
                <w:webHidden/>
              </w:rPr>
              <w:fldChar w:fldCharType="end"/>
            </w:r>
          </w:hyperlink>
        </w:p>
        <w:p w14:paraId="2874A20D" w14:textId="3FD2F750" w:rsidR="00877DA7" w:rsidRDefault="00877DA7">
          <w:pPr>
            <w:pStyle w:val="TM3"/>
            <w:tabs>
              <w:tab w:val="right" w:pos="9910"/>
            </w:tabs>
            <w:rPr>
              <w:rFonts w:asciiTheme="minorHAnsi" w:eastAsiaTheme="minorEastAsia" w:hAnsiTheme="minorHAnsi"/>
              <w:noProof/>
              <w:kern w:val="2"/>
              <w:sz w:val="24"/>
              <w:szCs w:val="24"/>
              <w:lang w:val="de-CH" w:eastAsia="de-CH"/>
              <w14:ligatures w14:val="standardContextual"/>
            </w:rPr>
          </w:pPr>
          <w:hyperlink w:anchor="_Toc196226287" w:history="1">
            <w:r w:rsidRPr="0087236C">
              <w:rPr>
                <w:rStyle w:val="Lienhypertexte"/>
                <w:noProof/>
                <w:lang w:val="de-CH"/>
              </w:rPr>
              <w:t>6.19.1</w:t>
            </w:r>
            <w:r>
              <w:rPr>
                <w:rFonts w:asciiTheme="minorHAnsi" w:eastAsiaTheme="minorEastAsia" w:hAnsiTheme="minorHAnsi"/>
                <w:noProof/>
                <w:kern w:val="2"/>
                <w:sz w:val="24"/>
                <w:szCs w:val="24"/>
                <w:lang w:val="de-CH" w:eastAsia="de-CH"/>
                <w14:ligatures w14:val="standardContextual"/>
              </w:rPr>
              <w:tab/>
            </w:r>
            <w:r w:rsidRPr="0087236C">
              <w:rPr>
                <w:rStyle w:val="Lienhypertexte"/>
                <w:noProof/>
                <w:lang w:val="de-CH"/>
              </w:rPr>
              <w:t>Allgemeines</w:t>
            </w:r>
            <w:r>
              <w:rPr>
                <w:noProof/>
                <w:webHidden/>
              </w:rPr>
              <w:tab/>
            </w:r>
            <w:r>
              <w:rPr>
                <w:noProof/>
                <w:webHidden/>
              </w:rPr>
              <w:fldChar w:fldCharType="begin"/>
            </w:r>
            <w:r>
              <w:rPr>
                <w:noProof/>
                <w:webHidden/>
              </w:rPr>
              <w:instrText xml:space="preserve"> PAGEREF _Toc196226287 \h </w:instrText>
            </w:r>
            <w:r>
              <w:rPr>
                <w:noProof/>
                <w:webHidden/>
              </w:rPr>
            </w:r>
            <w:r>
              <w:rPr>
                <w:noProof/>
                <w:webHidden/>
              </w:rPr>
              <w:fldChar w:fldCharType="separate"/>
            </w:r>
            <w:r w:rsidR="0096549C">
              <w:rPr>
                <w:noProof/>
                <w:webHidden/>
              </w:rPr>
              <w:t>60</w:t>
            </w:r>
            <w:r>
              <w:rPr>
                <w:noProof/>
                <w:webHidden/>
              </w:rPr>
              <w:fldChar w:fldCharType="end"/>
            </w:r>
          </w:hyperlink>
        </w:p>
        <w:p w14:paraId="1D798B24" w14:textId="475A2F36"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88" w:history="1">
            <w:r w:rsidRPr="0087236C">
              <w:rPr>
                <w:rStyle w:val="Lienhypertexte"/>
                <w:lang w:val="de-CH"/>
              </w:rPr>
              <w:t>6.20</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Ausführungsverordnung zum Gesetz vom 16. November 1965 über die Ergänzungsleistungen zur Alters-, Hinterlassenen- und Invalidenversicherung, abgeändert durch das Gesetz vom 11. November 1970 (841.3.11)</w:t>
            </w:r>
            <w:r>
              <w:rPr>
                <w:webHidden/>
              </w:rPr>
              <w:tab/>
            </w:r>
            <w:r>
              <w:rPr>
                <w:webHidden/>
              </w:rPr>
              <w:fldChar w:fldCharType="begin"/>
            </w:r>
            <w:r>
              <w:rPr>
                <w:webHidden/>
              </w:rPr>
              <w:instrText xml:space="preserve"> PAGEREF _Toc196226288 \h </w:instrText>
            </w:r>
            <w:r>
              <w:rPr>
                <w:webHidden/>
              </w:rPr>
            </w:r>
            <w:r>
              <w:rPr>
                <w:webHidden/>
              </w:rPr>
              <w:fldChar w:fldCharType="separate"/>
            </w:r>
            <w:r w:rsidR="0096549C">
              <w:rPr>
                <w:webHidden/>
              </w:rPr>
              <w:t>61</w:t>
            </w:r>
            <w:r>
              <w:rPr>
                <w:webHidden/>
              </w:rPr>
              <w:fldChar w:fldCharType="end"/>
            </w:r>
          </w:hyperlink>
        </w:p>
        <w:p w14:paraId="5ADBA351" w14:textId="3BA26FEA"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289" w:history="1">
            <w:r w:rsidRPr="0087236C">
              <w:rPr>
                <w:rStyle w:val="Lienhypertexte"/>
                <w:lang w:val="de-CH"/>
              </w:rPr>
              <w:t>7</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Auswirkungen der Vorschläge</w:t>
            </w:r>
            <w:r>
              <w:rPr>
                <w:webHidden/>
              </w:rPr>
              <w:tab/>
            </w:r>
            <w:r>
              <w:rPr>
                <w:webHidden/>
              </w:rPr>
              <w:fldChar w:fldCharType="begin"/>
            </w:r>
            <w:r>
              <w:rPr>
                <w:webHidden/>
              </w:rPr>
              <w:instrText xml:space="preserve"> PAGEREF _Toc196226289 \h </w:instrText>
            </w:r>
            <w:r>
              <w:rPr>
                <w:webHidden/>
              </w:rPr>
            </w:r>
            <w:r>
              <w:rPr>
                <w:webHidden/>
              </w:rPr>
              <w:fldChar w:fldCharType="separate"/>
            </w:r>
            <w:r w:rsidR="0096549C">
              <w:rPr>
                <w:webHidden/>
              </w:rPr>
              <w:t>61</w:t>
            </w:r>
            <w:r>
              <w:rPr>
                <w:webHidden/>
              </w:rPr>
              <w:fldChar w:fldCharType="end"/>
            </w:r>
          </w:hyperlink>
        </w:p>
        <w:p w14:paraId="37153FF4" w14:textId="26F30956"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90" w:history="1">
            <w:r w:rsidRPr="0087236C">
              <w:rPr>
                <w:rStyle w:val="Lienhypertexte"/>
                <w:lang w:val="de-CH"/>
              </w:rPr>
              <w:t>7.1</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Finanzielle Folgen</w:t>
            </w:r>
            <w:r>
              <w:rPr>
                <w:webHidden/>
              </w:rPr>
              <w:tab/>
            </w:r>
            <w:r>
              <w:rPr>
                <w:webHidden/>
              </w:rPr>
              <w:fldChar w:fldCharType="begin"/>
            </w:r>
            <w:r>
              <w:rPr>
                <w:webHidden/>
              </w:rPr>
              <w:instrText xml:space="preserve"> PAGEREF _Toc196226290 \h </w:instrText>
            </w:r>
            <w:r>
              <w:rPr>
                <w:webHidden/>
              </w:rPr>
            </w:r>
            <w:r>
              <w:rPr>
                <w:webHidden/>
              </w:rPr>
              <w:fldChar w:fldCharType="separate"/>
            </w:r>
            <w:r w:rsidR="0096549C">
              <w:rPr>
                <w:webHidden/>
              </w:rPr>
              <w:t>61</w:t>
            </w:r>
            <w:r>
              <w:rPr>
                <w:webHidden/>
              </w:rPr>
              <w:fldChar w:fldCharType="end"/>
            </w:r>
          </w:hyperlink>
        </w:p>
        <w:p w14:paraId="45435233" w14:textId="7A0F296D"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91" w:history="1">
            <w:r w:rsidRPr="0087236C">
              <w:rPr>
                <w:rStyle w:val="Lienhypertexte"/>
              </w:rPr>
              <w:t>7.2</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Folgen für das Staatspersonal</w:t>
            </w:r>
            <w:r>
              <w:rPr>
                <w:webHidden/>
              </w:rPr>
              <w:tab/>
            </w:r>
            <w:r>
              <w:rPr>
                <w:webHidden/>
              </w:rPr>
              <w:fldChar w:fldCharType="begin"/>
            </w:r>
            <w:r>
              <w:rPr>
                <w:webHidden/>
              </w:rPr>
              <w:instrText xml:space="preserve"> PAGEREF _Toc196226291 \h </w:instrText>
            </w:r>
            <w:r>
              <w:rPr>
                <w:webHidden/>
              </w:rPr>
            </w:r>
            <w:r>
              <w:rPr>
                <w:webHidden/>
              </w:rPr>
              <w:fldChar w:fldCharType="separate"/>
            </w:r>
            <w:r w:rsidR="0096549C">
              <w:rPr>
                <w:webHidden/>
              </w:rPr>
              <w:t>62</w:t>
            </w:r>
            <w:r>
              <w:rPr>
                <w:webHidden/>
              </w:rPr>
              <w:fldChar w:fldCharType="end"/>
            </w:r>
          </w:hyperlink>
        </w:p>
        <w:p w14:paraId="42B55135" w14:textId="02CA0C0B"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92" w:history="1">
            <w:r w:rsidRPr="0087236C">
              <w:rPr>
                <w:rStyle w:val="Lienhypertexte"/>
                <w:lang w:val="de-CH"/>
              </w:rPr>
              <w:t>7.3</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Auswirkungen für die Gemeinden</w:t>
            </w:r>
            <w:r>
              <w:rPr>
                <w:webHidden/>
              </w:rPr>
              <w:tab/>
            </w:r>
            <w:r>
              <w:rPr>
                <w:webHidden/>
              </w:rPr>
              <w:fldChar w:fldCharType="begin"/>
            </w:r>
            <w:r>
              <w:rPr>
                <w:webHidden/>
              </w:rPr>
              <w:instrText xml:space="preserve"> PAGEREF _Toc196226292 \h </w:instrText>
            </w:r>
            <w:r>
              <w:rPr>
                <w:webHidden/>
              </w:rPr>
            </w:r>
            <w:r>
              <w:rPr>
                <w:webHidden/>
              </w:rPr>
              <w:fldChar w:fldCharType="separate"/>
            </w:r>
            <w:r w:rsidR="0096549C">
              <w:rPr>
                <w:webHidden/>
              </w:rPr>
              <w:t>63</w:t>
            </w:r>
            <w:r>
              <w:rPr>
                <w:webHidden/>
              </w:rPr>
              <w:fldChar w:fldCharType="end"/>
            </w:r>
          </w:hyperlink>
        </w:p>
        <w:p w14:paraId="40F9408F" w14:textId="2B7C3692" w:rsidR="00877DA7" w:rsidRDefault="00877DA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196226293" w:history="1">
            <w:r w:rsidRPr="0087236C">
              <w:rPr>
                <w:rStyle w:val="Lienhypertexte"/>
              </w:rPr>
              <w:t>7.4</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Weitere Auswirkungen</w:t>
            </w:r>
            <w:r>
              <w:rPr>
                <w:webHidden/>
              </w:rPr>
              <w:tab/>
            </w:r>
            <w:r>
              <w:rPr>
                <w:webHidden/>
              </w:rPr>
              <w:fldChar w:fldCharType="begin"/>
            </w:r>
            <w:r>
              <w:rPr>
                <w:webHidden/>
              </w:rPr>
              <w:instrText xml:space="preserve"> PAGEREF _Toc196226293 \h </w:instrText>
            </w:r>
            <w:r>
              <w:rPr>
                <w:webHidden/>
              </w:rPr>
            </w:r>
            <w:r>
              <w:rPr>
                <w:webHidden/>
              </w:rPr>
              <w:fldChar w:fldCharType="separate"/>
            </w:r>
            <w:r w:rsidR="0096549C">
              <w:rPr>
                <w:webHidden/>
              </w:rPr>
              <w:t>63</w:t>
            </w:r>
            <w:r>
              <w:rPr>
                <w:webHidden/>
              </w:rPr>
              <w:fldChar w:fldCharType="end"/>
            </w:r>
          </w:hyperlink>
        </w:p>
        <w:p w14:paraId="352E93C7" w14:textId="3EBB9935" w:rsidR="00877DA7" w:rsidRDefault="00877DA7">
          <w:pPr>
            <w:pStyle w:val="TM1"/>
            <w:rPr>
              <w:rFonts w:asciiTheme="minorHAnsi" w:eastAsiaTheme="minorEastAsia" w:hAnsiTheme="minorHAnsi"/>
              <w:b w:val="0"/>
              <w:kern w:val="2"/>
              <w:sz w:val="24"/>
              <w:szCs w:val="24"/>
              <w:lang w:val="de-CH" w:eastAsia="de-CH"/>
              <w14:ligatures w14:val="standardContextual"/>
            </w:rPr>
          </w:pPr>
          <w:hyperlink w:anchor="_Toc196226294" w:history="1">
            <w:r w:rsidRPr="0087236C">
              <w:rPr>
                <w:rStyle w:val="Lienhypertexte"/>
                <w:lang w:val="de-CH"/>
              </w:rPr>
              <w:t>8</w:t>
            </w:r>
            <w:r>
              <w:rPr>
                <w:rFonts w:asciiTheme="minorHAnsi" w:eastAsiaTheme="minorEastAsia" w:hAnsiTheme="minorHAnsi"/>
                <w:b w:val="0"/>
                <w:kern w:val="2"/>
                <w:sz w:val="24"/>
                <w:szCs w:val="24"/>
                <w:lang w:val="de-CH" w:eastAsia="de-CH"/>
                <w14:ligatures w14:val="standardContextual"/>
              </w:rPr>
              <w:tab/>
            </w:r>
            <w:r w:rsidRPr="0087236C">
              <w:rPr>
                <w:rStyle w:val="Lienhypertexte"/>
                <w:lang w:val="de-CH"/>
              </w:rPr>
              <w:t>Fazit</w:t>
            </w:r>
            <w:r>
              <w:rPr>
                <w:webHidden/>
              </w:rPr>
              <w:tab/>
            </w:r>
            <w:r>
              <w:rPr>
                <w:webHidden/>
              </w:rPr>
              <w:fldChar w:fldCharType="begin"/>
            </w:r>
            <w:r>
              <w:rPr>
                <w:webHidden/>
              </w:rPr>
              <w:instrText xml:space="preserve"> PAGEREF _Toc196226294 \h </w:instrText>
            </w:r>
            <w:r>
              <w:rPr>
                <w:webHidden/>
              </w:rPr>
            </w:r>
            <w:r>
              <w:rPr>
                <w:webHidden/>
              </w:rPr>
              <w:fldChar w:fldCharType="separate"/>
            </w:r>
            <w:r w:rsidR="0096549C">
              <w:rPr>
                <w:webHidden/>
              </w:rPr>
              <w:t>63</w:t>
            </w:r>
            <w:r>
              <w:rPr>
                <w:webHidden/>
              </w:rPr>
              <w:fldChar w:fldCharType="end"/>
            </w:r>
          </w:hyperlink>
        </w:p>
        <w:p w14:paraId="6CEBCF78" w14:textId="4133B53A" w:rsidR="006B5C24" w:rsidRPr="00FE3A13" w:rsidRDefault="006B5C24">
          <w:r w:rsidRPr="00FE3A13">
            <w:fldChar w:fldCharType="end"/>
          </w:r>
        </w:p>
      </w:sdtContent>
    </w:sdt>
    <w:p w14:paraId="2D831E2A" w14:textId="77777777" w:rsidR="006B5C24" w:rsidRPr="00FE3A13" w:rsidRDefault="006B5C24" w:rsidP="00FD0818">
      <w:r w:rsidRPr="00FE3A13">
        <w:br w:type="page"/>
      </w:r>
    </w:p>
    <w:p w14:paraId="1A28F692" w14:textId="5F0EFB9A" w:rsidR="006B5C24" w:rsidRPr="007F2275" w:rsidRDefault="006D5A40" w:rsidP="0029480E">
      <w:pPr>
        <w:pStyle w:val="Titre1"/>
        <w:rPr>
          <w:lang w:val="de-CH"/>
        </w:rPr>
      </w:pPr>
      <w:bookmarkStart w:id="0" w:name="_Toc196226191"/>
      <w:r w:rsidRPr="007F2275">
        <w:rPr>
          <w:lang w:val="de-CH"/>
        </w:rPr>
        <w:lastRenderedPageBreak/>
        <w:t>Einleitung</w:t>
      </w:r>
      <w:bookmarkEnd w:id="0"/>
    </w:p>
    <w:p w14:paraId="433213F5" w14:textId="1A5E9BA0" w:rsidR="00425C87" w:rsidRPr="00FE3A13" w:rsidRDefault="006B5C24" w:rsidP="00183978">
      <w:pPr>
        <w:pStyle w:val="Tiret"/>
      </w:pPr>
      <w:r w:rsidRPr="00FE3A13">
        <w:t>—</w:t>
      </w:r>
    </w:p>
    <w:p w14:paraId="017FF35B" w14:textId="21D091DD" w:rsidR="006D5A40" w:rsidRPr="004F7A42" w:rsidRDefault="006D5A40" w:rsidP="006D5A40">
      <w:pPr>
        <w:rPr>
          <w:lang w:val="de-CH"/>
        </w:rPr>
      </w:pPr>
      <w:r w:rsidRPr="004F7A42">
        <w:rPr>
          <w:lang w:val="de-CH"/>
        </w:rPr>
        <w:t>In Anbetracht der Schwierigkeiten bei der Aufstellung des Voranschlags 2025 und der Aktualisierung des Finanzplans für die Jahre 2026</w:t>
      </w:r>
      <w:r w:rsidR="00F8104B">
        <w:rPr>
          <w:rFonts w:cstheme="minorHAnsi"/>
          <w:lang w:val="de-CH"/>
        </w:rPr>
        <w:t>–</w:t>
      </w:r>
      <w:r w:rsidRPr="004F7A42">
        <w:rPr>
          <w:lang w:val="de-CH"/>
        </w:rPr>
        <w:t xml:space="preserve">2028 gab der Staatsrat am 4. Juli 2024 in einer Medienmitteilung bekannt, dass die Ausarbeitung eines Programms zur Sanierung der Kantonsfinanzen unumgänglich erscheine. Er führte aus, dass sich seine bereits bei der Vorlage des Staatsvoranschlags 2023 geäusserten Bedenken hinsichtlich der Finanzperspektiven des Staates bestätigten und Massnahmen ergriffen werden müssen, damit die verfassungsrechtlichen und gesetzlichen Vorgaben zum Haushaltsgleichgewicht weiterhin eingehalten werden können. </w:t>
      </w:r>
    </w:p>
    <w:p w14:paraId="24A7985E" w14:textId="77777777" w:rsidR="006D5A40" w:rsidRPr="004F7A42" w:rsidRDefault="006D5A40" w:rsidP="006D5A40">
      <w:pPr>
        <w:rPr>
          <w:lang w:val="de-CH"/>
        </w:rPr>
      </w:pPr>
      <w:r w:rsidRPr="004F7A42">
        <w:rPr>
          <w:lang w:val="de-CH"/>
        </w:rPr>
        <w:t xml:space="preserve">In der Folge konnten dank verschiedener Beschränkungen und Prioritätensetzungen der Voranschlag 2025 ausgeglichen und die Finanzplanergebnisse verbessert werden. Letztere zeigen jedoch immer noch eine deutlich stärkere Zunahme der Ausgaben gegenüber den Einnahmen auf, mit einem markanten Anstieg der Aufwandüberschüsse ab 2026. Diese Perspektiven werden durch das Entlastungspaket 27 des Bundes, das voraussichtlich erhebliche negative finanzielle Auswirkungen auf die Kantone haben wird, zusätzlich getrübt. Damit besteht eindeutig Handlungsbedarf. </w:t>
      </w:r>
    </w:p>
    <w:p w14:paraId="4C8D0B5E" w14:textId="7E985107" w:rsidR="006D5A40" w:rsidRPr="004F7A42" w:rsidRDefault="006D5A40" w:rsidP="006D5A40">
      <w:pPr>
        <w:rPr>
          <w:lang w:val="de-CH"/>
        </w:rPr>
      </w:pPr>
      <w:r w:rsidRPr="004F7A42">
        <w:rPr>
          <w:lang w:val="de-CH"/>
        </w:rPr>
        <w:t>Nach einem intensiven partizipativen verwaltungsinternen Verfahren und mit Blick auf die vom Grossen Rat artikulierten Erwartungen hat der Staatsrat im Herbst 2024 und in den ersten Monaten des Jahres 2025 ein Programm zu Sanierung der Kantonsfinanzen für die Jahre 2026</w:t>
      </w:r>
      <w:r w:rsidR="00F8104B">
        <w:rPr>
          <w:rFonts w:cstheme="minorHAnsi"/>
          <w:lang w:val="de-CH"/>
        </w:rPr>
        <w:t>–</w:t>
      </w:r>
      <w:r w:rsidRPr="004F7A42">
        <w:rPr>
          <w:lang w:val="de-CH"/>
        </w:rPr>
        <w:t xml:space="preserve">2028 (PSKF) aufgestellt. Dieses kann nun in die Vernehmlassung geschickt werden. </w:t>
      </w:r>
      <w:r>
        <w:rPr>
          <w:lang w:val="de-CH"/>
        </w:rPr>
        <w:t>Es umfasst 97</w:t>
      </w:r>
      <w:r w:rsidRPr="004F7A42">
        <w:rPr>
          <w:lang w:val="de-CH"/>
        </w:rPr>
        <w:t xml:space="preserve"> Massnahmen, von denen einige direkt in die Zuständigkeit des Staatsrats und andere in die Zuständigkeit des Grossen Rats fallen. Die Gesetzesänderungen betreffend die Massnahmen in der Zuständigkeit des Grossen Rats sind im Vorentwurf eines Änderungserlasses (Mantelerlass) zusammengefasst, der noch nicht vollständig ist und nach der Vernehmlassung weiter ergänzt wird. </w:t>
      </w:r>
    </w:p>
    <w:p w14:paraId="59F9E37C" w14:textId="77777777" w:rsidR="006D5A40" w:rsidRPr="004F7A42" w:rsidRDefault="006D5A40" w:rsidP="006D5A40">
      <w:pPr>
        <w:rPr>
          <w:lang w:val="de-CH"/>
        </w:rPr>
      </w:pPr>
      <w:r w:rsidRPr="004F7A42">
        <w:rPr>
          <w:lang w:val="de-CH"/>
        </w:rPr>
        <w:t xml:space="preserve">Gemessen an den Zahlen des aktualisierten Finanzplans, von dem der Grosse Rat in der Märzsession 2025 Kenntnis genommen hat, entlastet das PSKF die Staatsfinanzen netto um 142 Millionen Franken im Jahr 2026, um 184 Millionen Franken im Jahr 2027 und um 166 Millionen Franken im Jahr 2028. In den meisten Fällen lässt sich mit den vorgeschlagenen Massnahmen das Aufwandwachstum begrenzen, sie führen allerdings nicht zu einer Aufwandsenkung gegenüber heute, und es sind auch erhebliche Einnahmenerhöhungen vorgesehen. Angesichts der starken Aufgabenverflechtung von Kanton und Gemeinden wird das PSKF unweigerlich Auswirkungen auf die Gemeinden haben. Der in die Vernehmlassung geschickte Entwurf würde für die Gemeinden mit Nettomehrkosten in der Grössenordnung von 22 Millionen Franken im Jahr 2026, von 13 Millionen Franken im Jahr 2027 und von 16 Millionen Franken im Jahr 2028 zu Buche schlagen. </w:t>
      </w:r>
    </w:p>
    <w:p w14:paraId="6299A199" w14:textId="60580F41" w:rsidR="00BB049B" w:rsidRPr="006D5A40" w:rsidRDefault="006D5A40" w:rsidP="006D5A40">
      <w:pPr>
        <w:rPr>
          <w:lang w:val="de-CH"/>
        </w:rPr>
      </w:pPr>
      <w:r w:rsidRPr="004F7A42">
        <w:rPr>
          <w:lang w:val="de-CH"/>
        </w:rPr>
        <w:t>Das PSKF soll dann im Sommer entsprechend den Vernehmlassungsergebnissen überarbeitet und fertiggestellt werden. Der Staatsrat wird den endgültigen Entwurf des Mantelerlasses und die dazugehörige Botschaft in einer seiner ersten Sitzungen nach der Sommerpause verabschieden und sie dem Grossen Rat soweit möglich zur Behandlung in der Oktobersession 2025 überweisen. Damit könnten die meisten Sanierungsmassnahmen per 1.</w:t>
      </w:r>
      <w:r w:rsidR="007D3F1E">
        <w:rPr>
          <w:lang w:val="de-CH"/>
        </w:rPr>
        <w:t> </w:t>
      </w:r>
      <w:r w:rsidRPr="004F7A42">
        <w:rPr>
          <w:lang w:val="de-CH"/>
        </w:rPr>
        <w:t>Januar 2026 in Kraft gesetzt werden und die wenigen, für die es umfassende Vorbereitungsarbeiten und eine längere Umsetzungsfrist braucht, dann im Jahr 2027.</w:t>
      </w:r>
    </w:p>
    <w:p w14:paraId="3D5C9CDC" w14:textId="756A2739" w:rsidR="00425C87" w:rsidRPr="00EB6310" w:rsidRDefault="004A3A54" w:rsidP="00425C87">
      <w:pPr>
        <w:pStyle w:val="Titre1"/>
        <w:rPr>
          <w:lang w:val="de-CH"/>
        </w:rPr>
      </w:pPr>
      <w:bookmarkStart w:id="1" w:name="_Toc196226192"/>
      <w:r w:rsidRPr="00EB6310">
        <w:rPr>
          <w:lang w:val="de-CH"/>
        </w:rPr>
        <w:t>Warum braucht es ein PSKF</w:t>
      </w:r>
      <w:r w:rsidR="00F8104B">
        <w:rPr>
          <w:lang w:val="de-CH"/>
        </w:rPr>
        <w:t>?</w:t>
      </w:r>
      <w:bookmarkEnd w:id="1"/>
    </w:p>
    <w:p w14:paraId="5D29F58A" w14:textId="484A1BDD" w:rsidR="00425C87" w:rsidRPr="00F8104B" w:rsidRDefault="00425C87" w:rsidP="00425C87">
      <w:pPr>
        <w:pStyle w:val="Tiret"/>
        <w:rPr>
          <w:lang w:val="de-CH"/>
        </w:rPr>
      </w:pPr>
      <w:r w:rsidRPr="00F8104B">
        <w:rPr>
          <w:lang w:val="de-CH"/>
        </w:rPr>
        <w:t>—</w:t>
      </w:r>
    </w:p>
    <w:p w14:paraId="0E53D504" w14:textId="052025D2" w:rsidR="008A65C3" w:rsidRPr="005B5E26" w:rsidRDefault="005B5E26" w:rsidP="008A65C3">
      <w:pPr>
        <w:pStyle w:val="Corpsdetexte"/>
        <w:rPr>
          <w:lang w:val="de-CH"/>
        </w:rPr>
      </w:pPr>
      <w:r w:rsidRPr="009F7E24">
        <w:rPr>
          <w:lang w:val="de-CH"/>
        </w:rPr>
        <w:t>Im Frühjahr 2024 hatte sich der Staatsrat namentlich bei der Präsentation der Staatsrechnung besorgt über die Finanzperspektiven gezeigt. Nach seiner Einschätzung deutete die damalige Situation auf einen Paradigmenwechsel mit negativen Auswirkungen für die kommenden Rechnungsjahre hin. Am 4. Juli 2024 erklärte er in einer Medienmitteilung, die Schwierigkeiten bei der Aufstellung des Staatsvoranschlags 2025 und der Finanzplanaktualisierung für die Jahre 2026</w:t>
      </w:r>
      <w:r w:rsidR="00F8104B">
        <w:rPr>
          <w:rFonts w:cstheme="minorHAnsi"/>
          <w:lang w:val="de-CH"/>
        </w:rPr>
        <w:t>–</w:t>
      </w:r>
      <w:r w:rsidRPr="009F7E24">
        <w:rPr>
          <w:lang w:val="de-CH"/>
        </w:rPr>
        <w:t xml:space="preserve">2028 hätten seine Befürchtungen bestätigt und er sehe sich deshalb </w:t>
      </w:r>
      <w:r w:rsidRPr="009F7E24">
        <w:rPr>
          <w:lang w:val="de-CH"/>
        </w:rPr>
        <w:lastRenderedPageBreak/>
        <w:t>gezwungen, ein Programm zur Sanierung der Kantonsfinanzen auszuarbeiten. Trotz der bereits erheblichen bisherigen Anstrengungen zur Erreichung eines ausgeglichenen Voranschlags 2025 und zur Defizitreduktion für die Jahre 2026</w:t>
      </w:r>
      <w:r w:rsidR="00F8104B">
        <w:rPr>
          <w:rFonts w:cstheme="minorHAnsi"/>
          <w:lang w:val="de-CH"/>
        </w:rPr>
        <w:t>–</w:t>
      </w:r>
      <w:r w:rsidRPr="009F7E24">
        <w:rPr>
          <w:lang w:val="de-CH"/>
        </w:rPr>
        <w:t xml:space="preserve">2028 führt angesichts der geltenden verfassungsrechtlichen und gesetzlichen Bestimmungen kein Weg an einem Sanierungsprogramm </w:t>
      </w:r>
      <w:r w:rsidRPr="005B3823">
        <w:rPr>
          <w:lang w:val="de-CH"/>
        </w:rPr>
        <w:t>vorbei</w:t>
      </w:r>
      <w:r w:rsidR="00597B1C" w:rsidRPr="005B3823">
        <w:rPr>
          <w:lang w:val="de-CH"/>
        </w:rPr>
        <w:t>.</w:t>
      </w:r>
    </w:p>
    <w:p w14:paraId="4208F0B9" w14:textId="3DCDB063" w:rsidR="00425C87" w:rsidRPr="00FE3A13" w:rsidRDefault="005B5E26" w:rsidP="00425C87">
      <w:pPr>
        <w:pStyle w:val="Titre2"/>
      </w:pPr>
      <w:bookmarkStart w:id="2" w:name="_Toc196226193"/>
      <w:r w:rsidRPr="00AC17DA">
        <w:rPr>
          <w:lang w:val="de-CH"/>
        </w:rPr>
        <w:t>Vorgeschriebenes Haushaltsgleichgewicht</w:t>
      </w:r>
      <w:bookmarkEnd w:id="2"/>
    </w:p>
    <w:p w14:paraId="7C123658" w14:textId="77777777" w:rsidR="005B5E26" w:rsidRPr="009F7E24" w:rsidRDefault="005B5E26" w:rsidP="005B5E26">
      <w:pPr>
        <w:pStyle w:val="Corpsdetexte"/>
        <w:rPr>
          <w:lang w:val="de-CH"/>
        </w:rPr>
      </w:pPr>
      <w:r w:rsidRPr="009F7E24">
        <w:rPr>
          <w:lang w:val="de-CH"/>
        </w:rPr>
        <w:t xml:space="preserve">Nach Artikel 83 der Verfassung des Kantons Freiburg vom 16. Mai 2004 (KV) muss der Voranschlag der Laufenden Rechnung ausgeglichen sein, wobei die konjunkturelle Lage und allfällige ausserordentliche Finanzbedürfnisse berücksichtigt werden müssen. Allfällige dadurch entstandene Defizite sind in den folgenden Jahren auszugleichen. </w:t>
      </w:r>
    </w:p>
    <w:p w14:paraId="61BBC793" w14:textId="2D4E26ED" w:rsidR="005B5E26" w:rsidRPr="009F7E24" w:rsidRDefault="005B5E26" w:rsidP="005B5E26">
      <w:pPr>
        <w:pStyle w:val="Corpsdetexte"/>
        <w:rPr>
          <w:lang w:val="de-CH"/>
        </w:rPr>
      </w:pPr>
      <w:r w:rsidRPr="009F7E24">
        <w:rPr>
          <w:lang w:val="de-CH"/>
        </w:rPr>
        <w:t>Diese Vorschrift des ausgeglichenen Haushalts ist auch in Artikel 40a ff. des Gesetzes vom 25. November 1994 über den Finanzhaushalt des Staates (FHG) verankert. Abweichungen vom Grundsatz des ausgeglichenen Haushalts sind zulässig bei schwieriger konjunktureller Lage und ausserordentlichen Finanzbedürfnissen im Sinne der Artikel 40b und 40c FHG. Die für die Bestimmung einer schwierigen konjunkturellen Lage und aussergewöhnliche Finanzbedürfnisse massgebenden Kriterien sind in den Artikeln 22b und 22c des Ausführungsreglements vom 12.</w:t>
      </w:r>
      <w:r w:rsidR="007D3F1E">
        <w:rPr>
          <w:lang w:val="de-CH"/>
        </w:rPr>
        <w:t> </w:t>
      </w:r>
      <w:r w:rsidRPr="009F7E24">
        <w:rPr>
          <w:lang w:val="de-CH"/>
        </w:rPr>
        <w:t xml:space="preserve">März 1996 zum Finanzhaushaltsgesetz (FHR) aufgeführt. </w:t>
      </w:r>
    </w:p>
    <w:p w14:paraId="708A4A99" w14:textId="7BE44B1C" w:rsidR="005873E4" w:rsidRPr="005B5E26" w:rsidRDefault="005B5E26" w:rsidP="005B5E26">
      <w:pPr>
        <w:pStyle w:val="Corpsdetexte"/>
        <w:rPr>
          <w:lang w:val="de-CH"/>
        </w:rPr>
      </w:pPr>
      <w:r w:rsidRPr="009F7E24">
        <w:rPr>
          <w:lang w:val="de-CH"/>
        </w:rPr>
        <w:t>Die Voraussetzungen für eine Ausnahme vom vorgeschriebenen Haushaltsgleichgewicht waren für den Voranschlag 2025 nicht erfüllt und werden nach den derzeitigen gesamtwirtschaftlichen Prognosen und sonstigen relevanten Informationen auch für den Voranschlag 2026 und die folgenden nicht gegeben sein. Der Staatsrat sieht sich daher gezwungen, Massnahmen zu ergreifen, um das verfassungsmässig und gesetzlich vorgeschriebene Haushaltsgleichgewicht zu erreichen.</w:t>
      </w:r>
    </w:p>
    <w:p w14:paraId="16B4EFA7" w14:textId="5061D00C" w:rsidR="00425C87" w:rsidRPr="00FE3A13" w:rsidRDefault="005B5E26" w:rsidP="00425C87">
      <w:pPr>
        <w:pStyle w:val="Titre2"/>
      </w:pPr>
      <w:bookmarkStart w:id="3" w:name="_Toc196226194"/>
      <w:r w:rsidRPr="009F7E24">
        <w:rPr>
          <w:lang w:val="de-CH"/>
        </w:rPr>
        <w:t>Ergebnis des aktualisierten Finanzplans</w:t>
      </w:r>
      <w:bookmarkEnd w:id="3"/>
    </w:p>
    <w:p w14:paraId="7706A6E0" w14:textId="6E0E8862" w:rsidR="004230AF" w:rsidRPr="00675DF5" w:rsidRDefault="00675DF5" w:rsidP="004230AF">
      <w:pPr>
        <w:pStyle w:val="Corpsdetexte"/>
        <w:rPr>
          <w:lang w:val="de-CH"/>
        </w:rPr>
      </w:pPr>
      <w:r w:rsidRPr="009F7E24">
        <w:rPr>
          <w:lang w:val="de-CH"/>
        </w:rPr>
        <w:t>Der Staatsrat hat die Ergebnisse der Finanzplanaktualisierung für die Jahre 2026</w:t>
      </w:r>
      <w:r w:rsidR="00F8104B">
        <w:rPr>
          <w:rFonts w:cstheme="minorHAnsi"/>
          <w:lang w:val="de-CH"/>
        </w:rPr>
        <w:t>–</w:t>
      </w:r>
      <w:r w:rsidRPr="009F7E24">
        <w:rPr>
          <w:lang w:val="de-CH"/>
        </w:rPr>
        <w:t xml:space="preserve">2026 im Bericht 2024-DFIN-52 vom 16. Dezember 2024 ausgeführt, den der Grosse Rat in der Märzsession 2025 behandelt und zur Kenntnis genommen hat. Die wichtigsten Punkte sind in der folgenden Tabelle zusammengefasst (in Mio. CHF). Nicht eingerechnet sind die Auswirkungen des Entlastungsprogramms des Bundes, </w:t>
      </w:r>
      <w:r w:rsidRPr="002A5240">
        <w:rPr>
          <w:lang w:val="de-CH"/>
        </w:rPr>
        <w:t>auf die i</w:t>
      </w:r>
      <w:r w:rsidR="00186098" w:rsidRPr="002A5240">
        <w:rPr>
          <w:lang w:val="de-CH"/>
        </w:rPr>
        <w:t>n Kapitel 2.</w:t>
      </w:r>
      <w:r w:rsidR="001A4F6D" w:rsidRPr="002A5240">
        <w:rPr>
          <w:lang w:val="de-CH"/>
        </w:rPr>
        <w:t>4</w:t>
      </w:r>
      <w:r w:rsidR="00186098" w:rsidRPr="002A5240">
        <w:rPr>
          <w:lang w:val="de-CH"/>
        </w:rPr>
        <w:t xml:space="preserve"> </w:t>
      </w:r>
      <w:r w:rsidRPr="002A5240">
        <w:rPr>
          <w:lang w:val="de-CH"/>
        </w:rPr>
        <w:t>eingegangen wird.</w:t>
      </w:r>
    </w:p>
    <w:p w14:paraId="1A5DA00B" w14:textId="77777777" w:rsidR="003B3CC7" w:rsidRPr="009F7E24" w:rsidRDefault="003B3CC7" w:rsidP="003B3CC7">
      <w:pPr>
        <w:pStyle w:val="Corpsdetexte"/>
        <w:rPr>
          <w:lang w:val="de-CH"/>
        </w:rPr>
      </w:pPr>
    </w:p>
    <w:tbl>
      <w:tblPr>
        <w:tblStyle w:val="EtatFribourg"/>
        <w:tblW w:w="5000"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3485"/>
        <w:gridCol w:w="1285"/>
        <w:gridCol w:w="1288"/>
        <w:gridCol w:w="1288"/>
        <w:gridCol w:w="1288"/>
        <w:gridCol w:w="1286"/>
      </w:tblGrid>
      <w:tr w:rsidR="003B3CC7" w:rsidRPr="009F7E24" w14:paraId="68044BD1" w14:textId="77777777" w:rsidTr="007B12C8">
        <w:trPr>
          <w:trHeight w:val="156"/>
        </w:trPr>
        <w:tc>
          <w:tcPr>
            <w:tcW w:w="1757" w:type="pct"/>
            <w:tcBorders>
              <w:top w:val="single" w:sz="12" w:space="0" w:color="auto"/>
              <w:bottom w:val="single" w:sz="2" w:space="0" w:color="auto"/>
            </w:tcBorders>
          </w:tcPr>
          <w:p w14:paraId="14D17BCC" w14:textId="77777777" w:rsidR="003B3CC7" w:rsidRPr="009F7E24" w:rsidRDefault="003B3CC7" w:rsidP="007B12C8">
            <w:pPr>
              <w:pStyle w:val="FRNIVTableauSoustitre"/>
              <w:rPr>
                <w:b/>
                <w:bCs w:val="0"/>
                <w:color w:val="auto"/>
                <w:sz w:val="18"/>
                <w:szCs w:val="18"/>
                <w:lang w:val="de-CH"/>
              </w:rPr>
            </w:pPr>
            <w:r w:rsidRPr="009F7E24">
              <w:rPr>
                <w:b/>
                <w:color w:val="auto"/>
                <w:sz w:val="18"/>
                <w:lang w:val="de-CH"/>
              </w:rPr>
              <w:t xml:space="preserve">Finanzplan für </w:t>
            </w:r>
          </w:p>
          <w:p w14:paraId="4387049F" w14:textId="0EF04BC8" w:rsidR="003B3CC7" w:rsidRPr="009F7E24" w:rsidRDefault="003B3CC7" w:rsidP="007B12C8">
            <w:pPr>
              <w:pStyle w:val="FRNIVTableauSoustitre"/>
              <w:rPr>
                <w:sz w:val="18"/>
                <w:szCs w:val="18"/>
                <w:lang w:val="de-CH"/>
              </w:rPr>
            </w:pPr>
            <w:r w:rsidRPr="009F7E24">
              <w:rPr>
                <w:b/>
                <w:color w:val="auto"/>
                <w:sz w:val="18"/>
                <w:lang w:val="de-CH"/>
              </w:rPr>
              <w:t>2025</w:t>
            </w:r>
            <w:r w:rsidR="00F8104B">
              <w:rPr>
                <w:b/>
                <w:color w:val="auto"/>
                <w:sz w:val="18"/>
                <w:lang w:val="de-CH"/>
              </w:rPr>
              <w:t>–</w:t>
            </w:r>
            <w:r w:rsidRPr="009F7E24">
              <w:rPr>
                <w:b/>
                <w:color w:val="auto"/>
                <w:sz w:val="18"/>
                <w:lang w:val="de-CH"/>
              </w:rPr>
              <w:t>2028</w:t>
            </w:r>
          </w:p>
        </w:tc>
        <w:tc>
          <w:tcPr>
            <w:tcW w:w="648" w:type="pct"/>
            <w:tcBorders>
              <w:top w:val="single" w:sz="12" w:space="0" w:color="auto"/>
              <w:bottom w:val="single" w:sz="2" w:space="0" w:color="auto"/>
            </w:tcBorders>
          </w:tcPr>
          <w:p w14:paraId="2DC9147D" w14:textId="77777777" w:rsidR="003B3CC7" w:rsidRPr="009F7E24" w:rsidRDefault="003B3CC7" w:rsidP="007B12C8">
            <w:pPr>
              <w:pStyle w:val="FRNIVTableauSoustitre"/>
              <w:ind w:right="85"/>
              <w:rPr>
                <w:sz w:val="18"/>
                <w:szCs w:val="18"/>
                <w:lang w:val="de-CH"/>
              </w:rPr>
            </w:pPr>
          </w:p>
        </w:tc>
        <w:tc>
          <w:tcPr>
            <w:tcW w:w="649" w:type="pct"/>
            <w:tcBorders>
              <w:top w:val="single" w:sz="12" w:space="0" w:color="auto"/>
              <w:bottom w:val="single" w:sz="2" w:space="0" w:color="auto"/>
            </w:tcBorders>
          </w:tcPr>
          <w:p w14:paraId="1623D941" w14:textId="77777777" w:rsidR="003B3CC7" w:rsidRPr="009F7E24" w:rsidRDefault="003B3CC7" w:rsidP="007B12C8">
            <w:pPr>
              <w:pStyle w:val="FRNIVTableauSoustitre"/>
              <w:ind w:right="171"/>
              <w:rPr>
                <w:sz w:val="18"/>
                <w:szCs w:val="18"/>
                <w:lang w:val="de-CH"/>
              </w:rPr>
            </w:pPr>
          </w:p>
        </w:tc>
        <w:tc>
          <w:tcPr>
            <w:tcW w:w="649" w:type="pct"/>
            <w:tcBorders>
              <w:top w:val="single" w:sz="12" w:space="0" w:color="auto"/>
              <w:bottom w:val="single" w:sz="2" w:space="0" w:color="auto"/>
            </w:tcBorders>
          </w:tcPr>
          <w:p w14:paraId="78523DEB" w14:textId="77777777" w:rsidR="003B3CC7" w:rsidRPr="009F7E24" w:rsidRDefault="003B3CC7" w:rsidP="007B12C8">
            <w:pPr>
              <w:pStyle w:val="FRNIVTableauSoustitre"/>
              <w:ind w:right="171"/>
              <w:rPr>
                <w:sz w:val="18"/>
                <w:szCs w:val="18"/>
                <w:lang w:val="de-CH"/>
              </w:rPr>
            </w:pPr>
          </w:p>
        </w:tc>
        <w:tc>
          <w:tcPr>
            <w:tcW w:w="649" w:type="pct"/>
            <w:tcBorders>
              <w:top w:val="single" w:sz="12" w:space="0" w:color="auto"/>
              <w:bottom w:val="single" w:sz="2" w:space="0" w:color="auto"/>
            </w:tcBorders>
          </w:tcPr>
          <w:p w14:paraId="061E6021" w14:textId="77777777" w:rsidR="003B3CC7" w:rsidRPr="009F7E24" w:rsidRDefault="003B3CC7" w:rsidP="007B12C8">
            <w:pPr>
              <w:pStyle w:val="FRNIVTableauSoustitre"/>
              <w:ind w:right="171"/>
              <w:rPr>
                <w:sz w:val="18"/>
                <w:szCs w:val="18"/>
                <w:lang w:val="de-CH"/>
              </w:rPr>
            </w:pPr>
          </w:p>
        </w:tc>
        <w:tc>
          <w:tcPr>
            <w:tcW w:w="649" w:type="pct"/>
            <w:tcBorders>
              <w:top w:val="single" w:sz="12" w:space="0" w:color="auto"/>
              <w:bottom w:val="single" w:sz="2" w:space="0" w:color="auto"/>
            </w:tcBorders>
          </w:tcPr>
          <w:p w14:paraId="565A79ED" w14:textId="77777777" w:rsidR="003B3CC7" w:rsidRPr="009F7E24" w:rsidRDefault="003B3CC7" w:rsidP="007B12C8">
            <w:pPr>
              <w:pStyle w:val="FRNIVTableauSoustitre"/>
              <w:ind w:right="171"/>
              <w:rPr>
                <w:sz w:val="18"/>
                <w:szCs w:val="18"/>
                <w:lang w:val="de-CH"/>
              </w:rPr>
            </w:pPr>
          </w:p>
        </w:tc>
      </w:tr>
      <w:tr w:rsidR="003B3CC7" w:rsidRPr="009F7E24" w14:paraId="330CC2DF" w14:textId="77777777" w:rsidTr="007B12C8">
        <w:trPr>
          <w:trHeight w:val="156"/>
        </w:trPr>
        <w:tc>
          <w:tcPr>
            <w:tcW w:w="1757" w:type="pct"/>
            <w:tcBorders>
              <w:top w:val="single" w:sz="2" w:space="0" w:color="auto"/>
              <w:bottom w:val="single" w:sz="2" w:space="0" w:color="auto"/>
            </w:tcBorders>
          </w:tcPr>
          <w:p w14:paraId="07DD7F26" w14:textId="77777777" w:rsidR="003B3CC7" w:rsidRPr="009F7E24" w:rsidRDefault="003B3CC7" w:rsidP="007B12C8">
            <w:pPr>
              <w:pStyle w:val="NIVtableau"/>
              <w:ind w:right="141"/>
              <w:rPr>
                <w:color w:val="auto"/>
                <w:szCs w:val="18"/>
                <w:lang w:val="de-CH"/>
              </w:rPr>
            </w:pPr>
          </w:p>
        </w:tc>
        <w:tc>
          <w:tcPr>
            <w:tcW w:w="648" w:type="pct"/>
            <w:tcBorders>
              <w:top w:val="single" w:sz="2" w:space="0" w:color="auto"/>
              <w:bottom w:val="single" w:sz="2" w:space="0" w:color="auto"/>
            </w:tcBorders>
          </w:tcPr>
          <w:p w14:paraId="57638FB2" w14:textId="77777777" w:rsidR="003B3CC7" w:rsidRPr="009F7E24" w:rsidRDefault="003B3CC7" w:rsidP="007B12C8">
            <w:pPr>
              <w:pStyle w:val="NIVtableauSoustitrealigndroite"/>
              <w:ind w:left="118" w:right="85"/>
              <w:rPr>
                <w:b/>
                <w:bCs w:val="0"/>
                <w:color w:val="auto"/>
                <w:sz w:val="18"/>
                <w:szCs w:val="18"/>
                <w:lang w:val="de-CH"/>
              </w:rPr>
            </w:pPr>
            <w:r w:rsidRPr="009F7E24">
              <w:rPr>
                <w:b/>
                <w:color w:val="auto"/>
                <w:sz w:val="18"/>
                <w:lang w:val="de-CH"/>
              </w:rPr>
              <w:t>Voranschlag</w:t>
            </w:r>
          </w:p>
          <w:p w14:paraId="218C9707" w14:textId="77777777" w:rsidR="003B3CC7" w:rsidRPr="009F7E24" w:rsidRDefault="003B3CC7" w:rsidP="007B12C8">
            <w:pPr>
              <w:pStyle w:val="NIVtableauSoustitrealigndroite"/>
              <w:ind w:right="85"/>
              <w:rPr>
                <w:b/>
                <w:bCs w:val="0"/>
                <w:color w:val="auto"/>
                <w:sz w:val="18"/>
                <w:szCs w:val="18"/>
                <w:lang w:val="de-CH"/>
              </w:rPr>
            </w:pPr>
            <w:r w:rsidRPr="009F7E24">
              <w:rPr>
                <w:b/>
                <w:color w:val="auto"/>
                <w:sz w:val="18"/>
                <w:lang w:val="de-CH"/>
              </w:rPr>
              <w:t>2025</w:t>
            </w:r>
          </w:p>
        </w:tc>
        <w:tc>
          <w:tcPr>
            <w:tcW w:w="649" w:type="pct"/>
            <w:tcBorders>
              <w:top w:val="single" w:sz="2" w:space="0" w:color="auto"/>
              <w:bottom w:val="single" w:sz="2" w:space="0" w:color="auto"/>
            </w:tcBorders>
          </w:tcPr>
          <w:p w14:paraId="298AA895"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Finanzplan</w:t>
            </w:r>
          </w:p>
          <w:p w14:paraId="47722915"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2026</w:t>
            </w:r>
          </w:p>
        </w:tc>
        <w:tc>
          <w:tcPr>
            <w:tcW w:w="649" w:type="pct"/>
            <w:tcBorders>
              <w:top w:val="single" w:sz="2" w:space="0" w:color="auto"/>
              <w:bottom w:val="single" w:sz="2" w:space="0" w:color="auto"/>
            </w:tcBorders>
          </w:tcPr>
          <w:p w14:paraId="019ED304"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Finanzplan</w:t>
            </w:r>
          </w:p>
          <w:p w14:paraId="4511DF66"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2027</w:t>
            </w:r>
          </w:p>
        </w:tc>
        <w:tc>
          <w:tcPr>
            <w:tcW w:w="649" w:type="pct"/>
            <w:tcBorders>
              <w:top w:val="single" w:sz="2" w:space="0" w:color="auto"/>
              <w:bottom w:val="single" w:sz="2" w:space="0" w:color="auto"/>
            </w:tcBorders>
          </w:tcPr>
          <w:p w14:paraId="59B42691"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 xml:space="preserve">Finanzplan </w:t>
            </w:r>
          </w:p>
          <w:p w14:paraId="6F387E29"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2028</w:t>
            </w:r>
          </w:p>
        </w:tc>
        <w:tc>
          <w:tcPr>
            <w:tcW w:w="649" w:type="pct"/>
            <w:tcBorders>
              <w:top w:val="single" w:sz="2" w:space="0" w:color="auto"/>
              <w:bottom w:val="single" w:sz="2" w:space="0" w:color="auto"/>
            </w:tcBorders>
          </w:tcPr>
          <w:p w14:paraId="654CE3E7" w14:textId="7777777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Zeitraum</w:t>
            </w:r>
          </w:p>
          <w:p w14:paraId="51CFFC3E" w14:textId="65F64B17" w:rsidR="003B3CC7" w:rsidRPr="009F7E24" w:rsidRDefault="003B3CC7" w:rsidP="007B12C8">
            <w:pPr>
              <w:pStyle w:val="NIVtableauSoustitrealigndroite"/>
              <w:ind w:right="171"/>
              <w:rPr>
                <w:b/>
                <w:bCs w:val="0"/>
                <w:color w:val="auto"/>
                <w:sz w:val="18"/>
                <w:szCs w:val="18"/>
                <w:lang w:val="de-CH"/>
              </w:rPr>
            </w:pPr>
            <w:r w:rsidRPr="009F7E24">
              <w:rPr>
                <w:b/>
                <w:color w:val="auto"/>
                <w:sz w:val="18"/>
                <w:lang w:val="de-CH"/>
              </w:rPr>
              <w:t>2025</w:t>
            </w:r>
            <w:r w:rsidR="00F8104B">
              <w:rPr>
                <w:b/>
                <w:color w:val="auto"/>
                <w:sz w:val="18"/>
                <w:lang w:val="de-CH"/>
              </w:rPr>
              <w:t>–</w:t>
            </w:r>
            <w:r w:rsidRPr="009F7E24">
              <w:rPr>
                <w:b/>
                <w:color w:val="auto"/>
                <w:sz w:val="18"/>
                <w:lang w:val="de-CH"/>
              </w:rPr>
              <w:t>2028</w:t>
            </w:r>
          </w:p>
        </w:tc>
      </w:tr>
      <w:tr w:rsidR="003B3CC7" w:rsidRPr="009F7E24" w14:paraId="7407300A" w14:textId="77777777" w:rsidTr="007B12C8">
        <w:trPr>
          <w:trHeight w:val="203"/>
        </w:trPr>
        <w:tc>
          <w:tcPr>
            <w:tcW w:w="1757" w:type="pct"/>
            <w:tcBorders>
              <w:top w:val="single" w:sz="2" w:space="0" w:color="auto"/>
              <w:bottom w:val="single" w:sz="2" w:space="0" w:color="auto"/>
            </w:tcBorders>
          </w:tcPr>
          <w:p w14:paraId="0B9CB184" w14:textId="77777777" w:rsidR="003B3CC7" w:rsidRPr="009F7E24" w:rsidRDefault="003B3CC7" w:rsidP="007B12C8">
            <w:pPr>
              <w:pStyle w:val="NIVtableauunits"/>
              <w:rPr>
                <w:color w:val="auto"/>
                <w:szCs w:val="18"/>
                <w:lang w:val="de-CH"/>
              </w:rPr>
            </w:pPr>
          </w:p>
        </w:tc>
        <w:tc>
          <w:tcPr>
            <w:tcW w:w="648" w:type="pct"/>
            <w:tcBorders>
              <w:top w:val="single" w:sz="2" w:space="0" w:color="auto"/>
              <w:bottom w:val="single" w:sz="2" w:space="0" w:color="auto"/>
            </w:tcBorders>
          </w:tcPr>
          <w:p w14:paraId="1552D9E4" w14:textId="77777777" w:rsidR="003B3CC7" w:rsidRPr="009F7E24" w:rsidRDefault="003B3CC7" w:rsidP="007B12C8">
            <w:pPr>
              <w:pStyle w:val="NIVtableauunits"/>
              <w:ind w:right="85"/>
              <w:rPr>
                <w:color w:val="auto"/>
                <w:szCs w:val="18"/>
                <w:lang w:val="de-CH"/>
              </w:rPr>
            </w:pPr>
            <w:r w:rsidRPr="009F7E24">
              <w:rPr>
                <w:color w:val="auto"/>
                <w:lang w:val="de-CH"/>
              </w:rPr>
              <w:t>Mio.</w:t>
            </w:r>
          </w:p>
        </w:tc>
        <w:tc>
          <w:tcPr>
            <w:tcW w:w="649" w:type="pct"/>
            <w:tcBorders>
              <w:top w:val="single" w:sz="2" w:space="0" w:color="auto"/>
              <w:bottom w:val="single" w:sz="2" w:space="0" w:color="auto"/>
            </w:tcBorders>
          </w:tcPr>
          <w:p w14:paraId="267DB780" w14:textId="77777777" w:rsidR="003B3CC7" w:rsidRPr="009F7E24" w:rsidRDefault="003B3CC7" w:rsidP="007B12C8">
            <w:pPr>
              <w:pStyle w:val="NIVtableauunits"/>
              <w:ind w:right="171"/>
              <w:rPr>
                <w:color w:val="auto"/>
                <w:szCs w:val="18"/>
                <w:lang w:val="de-CH"/>
              </w:rPr>
            </w:pPr>
            <w:r w:rsidRPr="009F7E24">
              <w:rPr>
                <w:color w:val="auto"/>
                <w:lang w:val="de-CH"/>
              </w:rPr>
              <w:t>Mio.</w:t>
            </w:r>
          </w:p>
        </w:tc>
        <w:tc>
          <w:tcPr>
            <w:tcW w:w="649" w:type="pct"/>
            <w:tcBorders>
              <w:top w:val="single" w:sz="2" w:space="0" w:color="auto"/>
              <w:bottom w:val="single" w:sz="2" w:space="0" w:color="auto"/>
            </w:tcBorders>
          </w:tcPr>
          <w:p w14:paraId="3FF581C4" w14:textId="77777777" w:rsidR="003B3CC7" w:rsidRPr="009F7E24" w:rsidRDefault="003B3CC7" w:rsidP="007B12C8">
            <w:pPr>
              <w:pStyle w:val="NIVtableauunits"/>
              <w:ind w:right="171"/>
              <w:rPr>
                <w:color w:val="auto"/>
                <w:szCs w:val="18"/>
                <w:lang w:val="de-CH"/>
              </w:rPr>
            </w:pPr>
            <w:r w:rsidRPr="009F7E24">
              <w:rPr>
                <w:color w:val="auto"/>
                <w:lang w:val="de-CH"/>
              </w:rPr>
              <w:t>Mio.</w:t>
            </w:r>
          </w:p>
        </w:tc>
        <w:tc>
          <w:tcPr>
            <w:tcW w:w="649" w:type="pct"/>
            <w:tcBorders>
              <w:top w:val="single" w:sz="2" w:space="0" w:color="auto"/>
              <w:bottom w:val="single" w:sz="2" w:space="0" w:color="auto"/>
            </w:tcBorders>
          </w:tcPr>
          <w:p w14:paraId="488014FE" w14:textId="77777777" w:rsidR="003B3CC7" w:rsidRPr="009F7E24" w:rsidRDefault="003B3CC7" w:rsidP="007B12C8">
            <w:pPr>
              <w:pStyle w:val="NIVtableauunits"/>
              <w:ind w:right="171"/>
              <w:rPr>
                <w:color w:val="auto"/>
                <w:szCs w:val="18"/>
                <w:lang w:val="de-CH"/>
              </w:rPr>
            </w:pPr>
            <w:r w:rsidRPr="009F7E24">
              <w:rPr>
                <w:color w:val="auto"/>
                <w:lang w:val="de-CH"/>
              </w:rPr>
              <w:t>Mio.</w:t>
            </w:r>
          </w:p>
        </w:tc>
        <w:tc>
          <w:tcPr>
            <w:tcW w:w="649" w:type="pct"/>
            <w:tcBorders>
              <w:top w:val="single" w:sz="2" w:space="0" w:color="auto"/>
              <w:bottom w:val="single" w:sz="2" w:space="0" w:color="auto"/>
            </w:tcBorders>
          </w:tcPr>
          <w:p w14:paraId="74B2377A" w14:textId="77777777" w:rsidR="003B3CC7" w:rsidRPr="009F7E24" w:rsidRDefault="003B3CC7" w:rsidP="007B12C8">
            <w:pPr>
              <w:pStyle w:val="NIVtableauunits"/>
              <w:ind w:right="171"/>
              <w:rPr>
                <w:color w:val="auto"/>
                <w:szCs w:val="18"/>
                <w:lang w:val="de-CH"/>
              </w:rPr>
            </w:pPr>
            <w:r w:rsidRPr="009F7E24">
              <w:rPr>
                <w:color w:val="auto"/>
                <w:lang w:val="de-CH"/>
              </w:rPr>
              <w:t>Mio.</w:t>
            </w:r>
          </w:p>
        </w:tc>
      </w:tr>
      <w:tr w:rsidR="003B3CC7" w:rsidRPr="009F7E24" w14:paraId="5CEE7473" w14:textId="77777777" w:rsidTr="007B12C8">
        <w:tc>
          <w:tcPr>
            <w:tcW w:w="1757" w:type="pct"/>
            <w:tcBorders>
              <w:top w:val="single" w:sz="2" w:space="0" w:color="auto"/>
              <w:bottom w:val="single" w:sz="2" w:space="0" w:color="auto"/>
            </w:tcBorders>
          </w:tcPr>
          <w:p w14:paraId="52CADF0D" w14:textId="77777777" w:rsidR="003B3CC7" w:rsidRPr="009F7E24" w:rsidRDefault="003B3CC7" w:rsidP="007B12C8">
            <w:pPr>
              <w:pStyle w:val="NIVtableau"/>
              <w:rPr>
                <w:b/>
                <w:color w:val="auto"/>
                <w:szCs w:val="18"/>
                <w:lang w:val="de-CH"/>
              </w:rPr>
            </w:pPr>
            <w:r w:rsidRPr="009F7E24">
              <w:rPr>
                <w:color w:val="auto"/>
                <w:lang w:val="de-CH"/>
              </w:rPr>
              <w:t>Überschuss (+) / Defizit (–) Erfolgsrechnung</w:t>
            </w:r>
          </w:p>
        </w:tc>
        <w:tc>
          <w:tcPr>
            <w:tcW w:w="648" w:type="pct"/>
            <w:tcBorders>
              <w:top w:val="single" w:sz="2" w:space="0" w:color="auto"/>
              <w:bottom w:val="single" w:sz="2" w:space="0" w:color="auto"/>
            </w:tcBorders>
            <w:vAlign w:val="center"/>
          </w:tcPr>
          <w:p w14:paraId="4BDBD375" w14:textId="77777777" w:rsidR="003B3CC7" w:rsidRPr="009F7E24" w:rsidRDefault="003B3CC7" w:rsidP="007B12C8">
            <w:pPr>
              <w:pStyle w:val="NIVtableauchiffres"/>
              <w:ind w:right="85"/>
              <w:rPr>
                <w:color w:val="auto"/>
                <w:szCs w:val="18"/>
                <w:lang w:val="de-CH"/>
              </w:rPr>
            </w:pPr>
            <w:r w:rsidRPr="009F7E24">
              <w:rPr>
                <w:color w:val="auto"/>
                <w:lang w:val="de-CH"/>
              </w:rPr>
              <w:t>+ 0,7</w:t>
            </w:r>
          </w:p>
        </w:tc>
        <w:tc>
          <w:tcPr>
            <w:tcW w:w="649" w:type="pct"/>
            <w:tcBorders>
              <w:top w:val="single" w:sz="2" w:space="0" w:color="auto"/>
              <w:bottom w:val="single" w:sz="2" w:space="0" w:color="auto"/>
            </w:tcBorders>
            <w:vAlign w:val="center"/>
          </w:tcPr>
          <w:p w14:paraId="4B4C1242" w14:textId="77777777" w:rsidR="003B3CC7" w:rsidRPr="009F7E24" w:rsidRDefault="003B3CC7" w:rsidP="007B12C8">
            <w:pPr>
              <w:pStyle w:val="NIVtableauchiffres"/>
              <w:ind w:right="171"/>
              <w:rPr>
                <w:color w:val="auto"/>
                <w:szCs w:val="18"/>
                <w:lang w:val="de-CH"/>
              </w:rPr>
            </w:pPr>
            <w:r w:rsidRPr="009F7E24">
              <w:rPr>
                <w:color w:val="auto"/>
                <w:lang w:val="de-CH"/>
              </w:rPr>
              <w:t>– 147,1</w:t>
            </w:r>
          </w:p>
        </w:tc>
        <w:tc>
          <w:tcPr>
            <w:tcW w:w="649" w:type="pct"/>
            <w:tcBorders>
              <w:top w:val="single" w:sz="2" w:space="0" w:color="auto"/>
              <w:bottom w:val="single" w:sz="2" w:space="0" w:color="auto"/>
            </w:tcBorders>
            <w:vAlign w:val="center"/>
          </w:tcPr>
          <w:p w14:paraId="40655740" w14:textId="77777777" w:rsidR="003B3CC7" w:rsidRPr="009F7E24" w:rsidRDefault="003B3CC7" w:rsidP="007B12C8">
            <w:pPr>
              <w:pStyle w:val="NIVtableauchiffres"/>
              <w:ind w:right="171"/>
              <w:rPr>
                <w:color w:val="auto"/>
                <w:szCs w:val="18"/>
                <w:lang w:val="de-CH"/>
              </w:rPr>
            </w:pPr>
            <w:r w:rsidRPr="009F7E24">
              <w:rPr>
                <w:color w:val="auto"/>
                <w:lang w:val="de-CH"/>
              </w:rPr>
              <w:t>– 150,5</w:t>
            </w:r>
          </w:p>
        </w:tc>
        <w:tc>
          <w:tcPr>
            <w:tcW w:w="649" w:type="pct"/>
            <w:tcBorders>
              <w:top w:val="single" w:sz="2" w:space="0" w:color="auto"/>
              <w:bottom w:val="single" w:sz="2" w:space="0" w:color="auto"/>
            </w:tcBorders>
            <w:vAlign w:val="center"/>
          </w:tcPr>
          <w:p w14:paraId="0AD113F6" w14:textId="77777777" w:rsidR="003B3CC7" w:rsidRPr="009F7E24" w:rsidRDefault="003B3CC7" w:rsidP="007B12C8">
            <w:pPr>
              <w:pStyle w:val="NIVtableauchiffres"/>
              <w:ind w:right="171"/>
              <w:rPr>
                <w:color w:val="auto"/>
                <w:szCs w:val="18"/>
                <w:lang w:val="de-CH"/>
              </w:rPr>
            </w:pPr>
            <w:r w:rsidRPr="009F7E24">
              <w:rPr>
                <w:color w:val="auto"/>
                <w:lang w:val="de-CH"/>
              </w:rPr>
              <w:t>– 139,0</w:t>
            </w:r>
          </w:p>
        </w:tc>
        <w:tc>
          <w:tcPr>
            <w:tcW w:w="649" w:type="pct"/>
            <w:tcBorders>
              <w:top w:val="single" w:sz="2" w:space="0" w:color="auto"/>
              <w:bottom w:val="single" w:sz="2" w:space="0" w:color="auto"/>
            </w:tcBorders>
            <w:vAlign w:val="center"/>
          </w:tcPr>
          <w:p w14:paraId="11F77274" w14:textId="77777777" w:rsidR="003B3CC7" w:rsidRPr="009F7E24" w:rsidRDefault="003B3CC7" w:rsidP="007B12C8">
            <w:pPr>
              <w:pStyle w:val="NIVtableauchiffres"/>
              <w:ind w:right="171"/>
              <w:rPr>
                <w:color w:val="auto"/>
                <w:szCs w:val="18"/>
                <w:lang w:val="de-CH"/>
              </w:rPr>
            </w:pPr>
            <w:r w:rsidRPr="009F7E24">
              <w:rPr>
                <w:color w:val="auto"/>
                <w:lang w:val="de-CH"/>
              </w:rPr>
              <w:t>– 435,9</w:t>
            </w:r>
          </w:p>
        </w:tc>
      </w:tr>
      <w:tr w:rsidR="003B3CC7" w:rsidRPr="009F7E24" w14:paraId="030F1208" w14:textId="77777777" w:rsidTr="007B12C8">
        <w:tc>
          <w:tcPr>
            <w:tcW w:w="1757" w:type="pct"/>
            <w:tcBorders>
              <w:top w:val="single" w:sz="2" w:space="0" w:color="auto"/>
              <w:bottom w:val="single" w:sz="2" w:space="0" w:color="auto"/>
            </w:tcBorders>
          </w:tcPr>
          <w:p w14:paraId="42F65557" w14:textId="77777777" w:rsidR="003B3CC7" w:rsidRPr="009F7E24" w:rsidRDefault="003B3CC7" w:rsidP="007B12C8">
            <w:pPr>
              <w:pStyle w:val="NIVtableau"/>
              <w:rPr>
                <w:color w:val="auto"/>
                <w:szCs w:val="18"/>
                <w:lang w:val="de-CH"/>
              </w:rPr>
            </w:pPr>
            <w:r w:rsidRPr="009F7E24">
              <w:rPr>
                <w:color w:val="auto"/>
                <w:lang w:val="de-CH"/>
              </w:rPr>
              <w:t>Ausgabenüberschuss (–) Investitionsrechnung</w:t>
            </w:r>
          </w:p>
        </w:tc>
        <w:tc>
          <w:tcPr>
            <w:tcW w:w="648" w:type="pct"/>
            <w:tcBorders>
              <w:top w:val="single" w:sz="2" w:space="0" w:color="auto"/>
              <w:bottom w:val="single" w:sz="2" w:space="0" w:color="auto"/>
            </w:tcBorders>
            <w:vAlign w:val="center"/>
          </w:tcPr>
          <w:p w14:paraId="7F34C437" w14:textId="77777777" w:rsidR="003B3CC7" w:rsidRPr="009F7E24" w:rsidRDefault="003B3CC7" w:rsidP="007B12C8">
            <w:pPr>
              <w:pStyle w:val="NIVtableauchiffres"/>
              <w:ind w:right="85"/>
              <w:rPr>
                <w:color w:val="auto"/>
                <w:szCs w:val="18"/>
                <w:lang w:val="de-CH"/>
              </w:rPr>
            </w:pPr>
            <w:r w:rsidRPr="009F7E24">
              <w:rPr>
                <w:color w:val="auto"/>
                <w:lang w:val="de-CH"/>
              </w:rPr>
              <w:t>– 209,2</w:t>
            </w:r>
          </w:p>
        </w:tc>
        <w:tc>
          <w:tcPr>
            <w:tcW w:w="649" w:type="pct"/>
            <w:tcBorders>
              <w:top w:val="single" w:sz="2" w:space="0" w:color="auto"/>
              <w:bottom w:val="single" w:sz="2" w:space="0" w:color="auto"/>
            </w:tcBorders>
            <w:vAlign w:val="center"/>
          </w:tcPr>
          <w:p w14:paraId="26587B7A" w14:textId="77777777" w:rsidR="003B3CC7" w:rsidRPr="009F7E24" w:rsidRDefault="003B3CC7" w:rsidP="007B12C8">
            <w:pPr>
              <w:pStyle w:val="NIVtableauchiffres"/>
              <w:ind w:right="171"/>
              <w:rPr>
                <w:color w:val="auto"/>
                <w:szCs w:val="18"/>
                <w:lang w:val="de-CH"/>
              </w:rPr>
            </w:pPr>
            <w:r w:rsidRPr="009F7E24">
              <w:rPr>
                <w:color w:val="auto"/>
                <w:lang w:val="de-CH"/>
              </w:rPr>
              <w:t>– 275,6</w:t>
            </w:r>
          </w:p>
        </w:tc>
        <w:tc>
          <w:tcPr>
            <w:tcW w:w="649" w:type="pct"/>
            <w:tcBorders>
              <w:top w:val="single" w:sz="2" w:space="0" w:color="auto"/>
              <w:bottom w:val="single" w:sz="2" w:space="0" w:color="auto"/>
            </w:tcBorders>
            <w:vAlign w:val="center"/>
          </w:tcPr>
          <w:p w14:paraId="2B85B6C9" w14:textId="77777777" w:rsidR="003B3CC7" w:rsidRPr="009F7E24" w:rsidRDefault="003B3CC7" w:rsidP="007B12C8">
            <w:pPr>
              <w:pStyle w:val="NIVtableauchiffres"/>
              <w:ind w:right="171"/>
              <w:rPr>
                <w:color w:val="auto"/>
                <w:szCs w:val="18"/>
                <w:lang w:val="de-CH"/>
              </w:rPr>
            </w:pPr>
            <w:r w:rsidRPr="009F7E24">
              <w:rPr>
                <w:color w:val="auto"/>
                <w:lang w:val="de-CH"/>
              </w:rPr>
              <w:t>– 248,0</w:t>
            </w:r>
          </w:p>
        </w:tc>
        <w:tc>
          <w:tcPr>
            <w:tcW w:w="649" w:type="pct"/>
            <w:tcBorders>
              <w:top w:val="single" w:sz="2" w:space="0" w:color="auto"/>
              <w:bottom w:val="single" w:sz="2" w:space="0" w:color="auto"/>
            </w:tcBorders>
            <w:vAlign w:val="center"/>
          </w:tcPr>
          <w:p w14:paraId="43C21117" w14:textId="77777777" w:rsidR="003B3CC7" w:rsidRPr="009F7E24" w:rsidRDefault="003B3CC7" w:rsidP="007B12C8">
            <w:pPr>
              <w:pStyle w:val="NIVtableauchiffres"/>
              <w:ind w:right="171"/>
              <w:rPr>
                <w:color w:val="auto"/>
                <w:szCs w:val="18"/>
                <w:lang w:val="de-CH"/>
              </w:rPr>
            </w:pPr>
            <w:r w:rsidRPr="009F7E24">
              <w:rPr>
                <w:color w:val="auto"/>
                <w:lang w:val="de-CH"/>
              </w:rPr>
              <w:t>– 249,5</w:t>
            </w:r>
          </w:p>
        </w:tc>
        <w:tc>
          <w:tcPr>
            <w:tcW w:w="649" w:type="pct"/>
            <w:tcBorders>
              <w:top w:val="single" w:sz="2" w:space="0" w:color="auto"/>
              <w:bottom w:val="single" w:sz="2" w:space="0" w:color="auto"/>
            </w:tcBorders>
            <w:vAlign w:val="center"/>
          </w:tcPr>
          <w:p w14:paraId="0716718E" w14:textId="77777777" w:rsidR="003B3CC7" w:rsidRPr="009F7E24" w:rsidRDefault="003B3CC7" w:rsidP="007B12C8">
            <w:pPr>
              <w:pStyle w:val="NIVtableauchiffres"/>
              <w:ind w:right="171"/>
              <w:rPr>
                <w:color w:val="auto"/>
                <w:szCs w:val="18"/>
                <w:lang w:val="de-CH"/>
              </w:rPr>
            </w:pPr>
            <w:r w:rsidRPr="009F7E24">
              <w:rPr>
                <w:color w:val="auto"/>
                <w:lang w:val="de-CH"/>
              </w:rPr>
              <w:t>– 982,3</w:t>
            </w:r>
          </w:p>
        </w:tc>
      </w:tr>
      <w:tr w:rsidR="003B3CC7" w:rsidRPr="009F7E24" w14:paraId="519D0B58" w14:textId="77777777" w:rsidTr="007B12C8">
        <w:tc>
          <w:tcPr>
            <w:tcW w:w="1757" w:type="pct"/>
            <w:tcBorders>
              <w:top w:val="single" w:sz="2" w:space="0" w:color="auto"/>
              <w:bottom w:val="single" w:sz="2" w:space="0" w:color="auto"/>
            </w:tcBorders>
          </w:tcPr>
          <w:p w14:paraId="74336E48" w14:textId="77777777" w:rsidR="003B3CC7" w:rsidRPr="009F7E24" w:rsidRDefault="003B3CC7" w:rsidP="007B12C8">
            <w:pPr>
              <w:pStyle w:val="NIVtableau"/>
              <w:rPr>
                <w:color w:val="auto"/>
                <w:szCs w:val="18"/>
                <w:lang w:val="de-CH"/>
              </w:rPr>
            </w:pPr>
            <w:r w:rsidRPr="009F7E24">
              <w:rPr>
                <w:color w:val="auto"/>
                <w:lang w:val="de-CH"/>
              </w:rPr>
              <w:t>Selbstfinanzierung</w:t>
            </w:r>
          </w:p>
        </w:tc>
        <w:tc>
          <w:tcPr>
            <w:tcW w:w="648" w:type="pct"/>
            <w:tcBorders>
              <w:top w:val="single" w:sz="2" w:space="0" w:color="auto"/>
              <w:bottom w:val="single" w:sz="2" w:space="0" w:color="auto"/>
            </w:tcBorders>
            <w:vAlign w:val="center"/>
          </w:tcPr>
          <w:p w14:paraId="741AB4E5" w14:textId="77777777" w:rsidR="003B3CC7" w:rsidRPr="009F7E24" w:rsidRDefault="003B3CC7" w:rsidP="007B12C8">
            <w:pPr>
              <w:pStyle w:val="NIVtableauchiffres"/>
              <w:ind w:right="85"/>
              <w:rPr>
                <w:color w:val="auto"/>
                <w:szCs w:val="18"/>
                <w:lang w:val="de-CH"/>
              </w:rPr>
            </w:pPr>
            <w:r w:rsidRPr="009F7E24">
              <w:rPr>
                <w:color w:val="auto"/>
                <w:lang w:val="de-CH"/>
              </w:rPr>
              <w:t>108,6</w:t>
            </w:r>
          </w:p>
        </w:tc>
        <w:tc>
          <w:tcPr>
            <w:tcW w:w="649" w:type="pct"/>
            <w:tcBorders>
              <w:top w:val="single" w:sz="2" w:space="0" w:color="auto"/>
              <w:bottom w:val="single" w:sz="2" w:space="0" w:color="auto"/>
            </w:tcBorders>
            <w:vAlign w:val="center"/>
          </w:tcPr>
          <w:p w14:paraId="3F9AA5F5" w14:textId="77777777" w:rsidR="003B3CC7" w:rsidRPr="009F7E24" w:rsidRDefault="003B3CC7" w:rsidP="007B12C8">
            <w:pPr>
              <w:pStyle w:val="NIVtableauchiffres"/>
              <w:ind w:right="171"/>
              <w:rPr>
                <w:color w:val="auto"/>
                <w:szCs w:val="18"/>
                <w:lang w:val="de-CH"/>
              </w:rPr>
            </w:pPr>
            <w:r w:rsidRPr="009F7E24">
              <w:rPr>
                <w:color w:val="auto"/>
                <w:lang w:val="de-CH"/>
              </w:rPr>
              <w:t>– 32,3</w:t>
            </w:r>
          </w:p>
        </w:tc>
        <w:tc>
          <w:tcPr>
            <w:tcW w:w="649" w:type="pct"/>
            <w:tcBorders>
              <w:top w:val="single" w:sz="2" w:space="0" w:color="auto"/>
              <w:bottom w:val="single" w:sz="2" w:space="0" w:color="auto"/>
            </w:tcBorders>
            <w:vAlign w:val="center"/>
          </w:tcPr>
          <w:p w14:paraId="2ADD9015" w14:textId="77777777" w:rsidR="003B3CC7" w:rsidRPr="009F7E24" w:rsidRDefault="003B3CC7" w:rsidP="007B12C8">
            <w:pPr>
              <w:pStyle w:val="NIVtableauchiffres"/>
              <w:ind w:right="171"/>
              <w:rPr>
                <w:color w:val="auto"/>
                <w:szCs w:val="18"/>
                <w:lang w:val="de-CH"/>
              </w:rPr>
            </w:pPr>
            <w:r w:rsidRPr="009F7E24">
              <w:rPr>
                <w:color w:val="auto"/>
                <w:lang w:val="de-CH"/>
              </w:rPr>
              <w:t>– 15,6</w:t>
            </w:r>
          </w:p>
        </w:tc>
        <w:tc>
          <w:tcPr>
            <w:tcW w:w="649" w:type="pct"/>
            <w:tcBorders>
              <w:top w:val="single" w:sz="2" w:space="0" w:color="auto"/>
              <w:bottom w:val="single" w:sz="2" w:space="0" w:color="auto"/>
            </w:tcBorders>
            <w:vAlign w:val="center"/>
          </w:tcPr>
          <w:p w14:paraId="10ED3492" w14:textId="77777777" w:rsidR="003B3CC7" w:rsidRPr="009F7E24" w:rsidRDefault="003B3CC7" w:rsidP="007B12C8">
            <w:pPr>
              <w:pStyle w:val="NIVtableauchiffres"/>
              <w:ind w:right="171"/>
              <w:rPr>
                <w:color w:val="auto"/>
                <w:szCs w:val="18"/>
                <w:lang w:val="de-CH"/>
              </w:rPr>
            </w:pPr>
            <w:r w:rsidRPr="009F7E24">
              <w:rPr>
                <w:color w:val="auto"/>
                <w:lang w:val="de-CH"/>
              </w:rPr>
              <w:t>– 4,1</w:t>
            </w:r>
          </w:p>
        </w:tc>
        <w:tc>
          <w:tcPr>
            <w:tcW w:w="649" w:type="pct"/>
            <w:tcBorders>
              <w:top w:val="single" w:sz="2" w:space="0" w:color="auto"/>
              <w:bottom w:val="single" w:sz="2" w:space="0" w:color="auto"/>
            </w:tcBorders>
            <w:vAlign w:val="center"/>
          </w:tcPr>
          <w:p w14:paraId="77068EB1" w14:textId="77777777" w:rsidR="003B3CC7" w:rsidRPr="009F7E24" w:rsidRDefault="003B3CC7" w:rsidP="007B12C8">
            <w:pPr>
              <w:pStyle w:val="NIVtableauchiffres"/>
              <w:ind w:right="171"/>
              <w:rPr>
                <w:color w:val="auto"/>
                <w:szCs w:val="18"/>
                <w:lang w:val="de-CH"/>
              </w:rPr>
            </w:pPr>
            <w:r w:rsidRPr="009F7E24">
              <w:rPr>
                <w:color w:val="auto"/>
                <w:lang w:val="de-CH"/>
              </w:rPr>
              <w:t>56,6</w:t>
            </w:r>
          </w:p>
        </w:tc>
      </w:tr>
      <w:tr w:rsidR="003B3CC7" w:rsidRPr="009F7E24" w14:paraId="424603C7" w14:textId="77777777" w:rsidTr="007B12C8">
        <w:tc>
          <w:tcPr>
            <w:tcW w:w="1757" w:type="pct"/>
            <w:tcBorders>
              <w:top w:val="single" w:sz="2" w:space="0" w:color="auto"/>
              <w:bottom w:val="single" w:sz="12" w:space="0" w:color="auto"/>
            </w:tcBorders>
          </w:tcPr>
          <w:p w14:paraId="10C9104E" w14:textId="77777777" w:rsidR="003B3CC7" w:rsidRPr="009F7E24" w:rsidRDefault="003B3CC7" w:rsidP="007B12C8">
            <w:pPr>
              <w:pStyle w:val="NIVtableau"/>
              <w:rPr>
                <w:color w:val="auto"/>
                <w:szCs w:val="18"/>
                <w:lang w:val="de-CH"/>
              </w:rPr>
            </w:pPr>
            <w:r w:rsidRPr="009F7E24">
              <w:rPr>
                <w:color w:val="auto"/>
                <w:lang w:val="de-CH"/>
              </w:rPr>
              <w:t>Finanzierungsfehlbetrag</w:t>
            </w:r>
          </w:p>
        </w:tc>
        <w:tc>
          <w:tcPr>
            <w:tcW w:w="648" w:type="pct"/>
            <w:tcBorders>
              <w:top w:val="single" w:sz="2" w:space="0" w:color="auto"/>
              <w:bottom w:val="single" w:sz="12" w:space="0" w:color="auto"/>
            </w:tcBorders>
            <w:vAlign w:val="center"/>
          </w:tcPr>
          <w:p w14:paraId="0C8331F1" w14:textId="77777777" w:rsidR="003B3CC7" w:rsidRPr="009F7E24" w:rsidRDefault="003B3CC7" w:rsidP="007B12C8">
            <w:pPr>
              <w:pStyle w:val="NIVtableauchiffres"/>
              <w:ind w:right="85"/>
              <w:rPr>
                <w:color w:val="auto"/>
                <w:szCs w:val="18"/>
                <w:lang w:val="de-CH"/>
              </w:rPr>
            </w:pPr>
            <w:r w:rsidRPr="009F7E24">
              <w:rPr>
                <w:color w:val="auto"/>
                <w:lang w:val="de-CH"/>
              </w:rPr>
              <w:t>– 100,6</w:t>
            </w:r>
          </w:p>
        </w:tc>
        <w:tc>
          <w:tcPr>
            <w:tcW w:w="649" w:type="pct"/>
            <w:tcBorders>
              <w:top w:val="single" w:sz="2" w:space="0" w:color="auto"/>
              <w:bottom w:val="single" w:sz="12" w:space="0" w:color="auto"/>
            </w:tcBorders>
            <w:vAlign w:val="center"/>
          </w:tcPr>
          <w:p w14:paraId="201FA778" w14:textId="77777777" w:rsidR="003B3CC7" w:rsidRPr="009F7E24" w:rsidRDefault="003B3CC7" w:rsidP="007B12C8">
            <w:pPr>
              <w:pStyle w:val="NIVtableauchiffres"/>
              <w:ind w:right="171"/>
              <w:rPr>
                <w:color w:val="auto"/>
                <w:szCs w:val="18"/>
                <w:lang w:val="de-CH"/>
              </w:rPr>
            </w:pPr>
            <w:r w:rsidRPr="009F7E24">
              <w:rPr>
                <w:color w:val="auto"/>
                <w:lang w:val="de-CH"/>
              </w:rPr>
              <w:t>– 307,9</w:t>
            </w:r>
          </w:p>
        </w:tc>
        <w:tc>
          <w:tcPr>
            <w:tcW w:w="649" w:type="pct"/>
            <w:tcBorders>
              <w:top w:val="single" w:sz="2" w:space="0" w:color="auto"/>
              <w:bottom w:val="single" w:sz="12" w:space="0" w:color="auto"/>
            </w:tcBorders>
            <w:vAlign w:val="center"/>
          </w:tcPr>
          <w:p w14:paraId="796873EB" w14:textId="77777777" w:rsidR="003B3CC7" w:rsidRPr="009F7E24" w:rsidRDefault="003B3CC7" w:rsidP="007B12C8">
            <w:pPr>
              <w:pStyle w:val="NIVtableauchiffres"/>
              <w:ind w:right="171"/>
              <w:rPr>
                <w:color w:val="auto"/>
                <w:szCs w:val="18"/>
                <w:lang w:val="de-CH"/>
              </w:rPr>
            </w:pPr>
            <w:r w:rsidRPr="009F7E24">
              <w:rPr>
                <w:color w:val="auto"/>
                <w:lang w:val="de-CH"/>
              </w:rPr>
              <w:t>– 263,6</w:t>
            </w:r>
          </w:p>
        </w:tc>
        <w:tc>
          <w:tcPr>
            <w:tcW w:w="649" w:type="pct"/>
            <w:tcBorders>
              <w:top w:val="single" w:sz="2" w:space="0" w:color="auto"/>
              <w:bottom w:val="single" w:sz="12" w:space="0" w:color="auto"/>
            </w:tcBorders>
            <w:vAlign w:val="center"/>
          </w:tcPr>
          <w:p w14:paraId="3733E998" w14:textId="77777777" w:rsidR="003B3CC7" w:rsidRPr="009F7E24" w:rsidRDefault="003B3CC7" w:rsidP="007B12C8">
            <w:pPr>
              <w:pStyle w:val="NIVtableauchiffres"/>
              <w:ind w:right="171"/>
              <w:rPr>
                <w:color w:val="auto"/>
                <w:szCs w:val="18"/>
                <w:lang w:val="de-CH"/>
              </w:rPr>
            </w:pPr>
            <w:r w:rsidRPr="009F7E24">
              <w:rPr>
                <w:color w:val="auto"/>
                <w:lang w:val="de-CH"/>
              </w:rPr>
              <w:t>– 253,6</w:t>
            </w:r>
          </w:p>
        </w:tc>
        <w:tc>
          <w:tcPr>
            <w:tcW w:w="649" w:type="pct"/>
            <w:tcBorders>
              <w:top w:val="single" w:sz="2" w:space="0" w:color="auto"/>
              <w:bottom w:val="single" w:sz="12" w:space="0" w:color="auto"/>
            </w:tcBorders>
            <w:vAlign w:val="center"/>
          </w:tcPr>
          <w:p w14:paraId="5D95435C" w14:textId="77777777" w:rsidR="003B3CC7" w:rsidRPr="009F7E24" w:rsidRDefault="003B3CC7" w:rsidP="007B12C8">
            <w:pPr>
              <w:pStyle w:val="NIVtableauchiffres"/>
              <w:ind w:right="171"/>
              <w:rPr>
                <w:color w:val="auto"/>
                <w:szCs w:val="18"/>
                <w:lang w:val="de-CH"/>
              </w:rPr>
            </w:pPr>
            <w:r w:rsidRPr="009F7E24">
              <w:rPr>
                <w:color w:val="auto"/>
                <w:lang w:val="de-CH"/>
              </w:rPr>
              <w:t>– 925,7</w:t>
            </w:r>
          </w:p>
        </w:tc>
      </w:tr>
    </w:tbl>
    <w:p w14:paraId="130BBD97" w14:textId="77777777" w:rsidR="003B3CC7" w:rsidRPr="009F7E24" w:rsidRDefault="003B3CC7" w:rsidP="003B3CC7">
      <w:pPr>
        <w:pStyle w:val="Corpsdetexte"/>
        <w:rPr>
          <w:lang w:val="de-CH"/>
        </w:rPr>
      </w:pPr>
      <w:r w:rsidRPr="009F7E24">
        <w:rPr>
          <w:lang w:val="de-CH"/>
        </w:rPr>
        <w:t xml:space="preserve">Trotz beträchtlicher Anpassungen, die der Staatsrat bei der Finanzplanaufstellung vorgenommen hat, zeichnet sich im aktualisierten Finanzplan schon ab 2026 eine deutliche Verschlechterung der Kantonsfinanzen ab. Der Hauptgrund liegt in einem in diesem Zeitraum signifikant stärkeren Aufwandwachstum gegenüber dem Ertrag, wie die folgende Tabelle und Grafik zeigen. </w:t>
      </w:r>
    </w:p>
    <w:p w14:paraId="015DCFAF" w14:textId="0A2A7881" w:rsidR="005B2815" w:rsidRPr="003B3CC7" w:rsidRDefault="005B2815" w:rsidP="004230AF">
      <w:pPr>
        <w:pStyle w:val="Corpsdetexte"/>
        <w:rPr>
          <w:lang w:val="de-CH"/>
        </w:rPr>
      </w:pPr>
    </w:p>
    <w:p w14:paraId="5B586B0D" w14:textId="77777777" w:rsidR="003B3CC7" w:rsidRPr="009F7E24" w:rsidRDefault="003B3CC7" w:rsidP="003B3CC7">
      <w:pPr>
        <w:pStyle w:val="Corpsdetexte"/>
        <w:rPr>
          <w:lang w:val="de-CH"/>
        </w:rPr>
      </w:pPr>
    </w:p>
    <w:tbl>
      <w:tblPr>
        <w:tblStyle w:val="EtatFribourg"/>
        <w:tblW w:w="5000"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3485"/>
        <w:gridCol w:w="1285"/>
        <w:gridCol w:w="1288"/>
        <w:gridCol w:w="1288"/>
        <w:gridCol w:w="1288"/>
        <w:gridCol w:w="1286"/>
      </w:tblGrid>
      <w:tr w:rsidR="003B3CC7" w:rsidRPr="009F7E24" w14:paraId="670C31D7" w14:textId="77777777" w:rsidTr="007B12C8">
        <w:trPr>
          <w:cantSplit/>
          <w:trHeight w:val="156"/>
        </w:trPr>
        <w:tc>
          <w:tcPr>
            <w:tcW w:w="1757" w:type="pct"/>
          </w:tcPr>
          <w:p w14:paraId="6A0FC9E8" w14:textId="77777777" w:rsidR="003B3CC7" w:rsidRPr="009F7E24" w:rsidRDefault="003B3CC7" w:rsidP="007B12C8">
            <w:pPr>
              <w:ind w:right="141"/>
              <w:rPr>
                <w:rFonts w:cs="Arial"/>
                <w:bCs/>
                <w:szCs w:val="18"/>
                <w:lang w:val="de-CH"/>
              </w:rPr>
            </w:pPr>
          </w:p>
        </w:tc>
        <w:tc>
          <w:tcPr>
            <w:tcW w:w="648" w:type="pct"/>
          </w:tcPr>
          <w:p w14:paraId="7AC1BC11" w14:textId="77777777" w:rsidR="003B3CC7" w:rsidRPr="009F7E24" w:rsidRDefault="003B3CC7" w:rsidP="007B12C8">
            <w:pPr>
              <w:ind w:left="118" w:right="85"/>
              <w:jc w:val="right"/>
              <w:rPr>
                <w:rFonts w:cs="Arial"/>
                <w:b/>
                <w:szCs w:val="18"/>
                <w:lang w:val="de-CH"/>
              </w:rPr>
            </w:pPr>
            <w:r w:rsidRPr="009F7E24">
              <w:rPr>
                <w:rFonts w:cs="Arial"/>
                <w:b/>
                <w:lang w:val="de-CH"/>
              </w:rPr>
              <w:t>Voranschlag</w:t>
            </w:r>
          </w:p>
          <w:p w14:paraId="7558E2DD" w14:textId="77777777" w:rsidR="003B3CC7" w:rsidRPr="009F7E24" w:rsidRDefault="003B3CC7" w:rsidP="007B12C8">
            <w:pPr>
              <w:ind w:right="85"/>
              <w:jc w:val="right"/>
              <w:rPr>
                <w:rFonts w:cs="Arial"/>
                <w:b/>
                <w:szCs w:val="18"/>
                <w:lang w:val="de-CH"/>
              </w:rPr>
            </w:pPr>
            <w:r w:rsidRPr="009F7E24">
              <w:rPr>
                <w:rFonts w:cs="Arial"/>
                <w:b/>
                <w:lang w:val="de-CH"/>
              </w:rPr>
              <w:t>2025</w:t>
            </w:r>
          </w:p>
        </w:tc>
        <w:tc>
          <w:tcPr>
            <w:tcW w:w="649" w:type="pct"/>
          </w:tcPr>
          <w:p w14:paraId="6E0440E0" w14:textId="77777777" w:rsidR="003B3CC7" w:rsidRPr="009F7E24" w:rsidRDefault="003B3CC7" w:rsidP="007B12C8">
            <w:pPr>
              <w:ind w:right="171"/>
              <w:jc w:val="right"/>
              <w:rPr>
                <w:rFonts w:cs="Arial"/>
                <w:b/>
                <w:szCs w:val="18"/>
                <w:lang w:val="de-CH"/>
              </w:rPr>
            </w:pPr>
            <w:r w:rsidRPr="009F7E24">
              <w:rPr>
                <w:rFonts w:cs="Arial"/>
                <w:b/>
                <w:lang w:val="de-CH"/>
              </w:rPr>
              <w:t>Finanzplan</w:t>
            </w:r>
          </w:p>
          <w:p w14:paraId="3439D6AC" w14:textId="77777777" w:rsidR="003B3CC7" w:rsidRPr="009F7E24" w:rsidRDefault="003B3CC7" w:rsidP="007B12C8">
            <w:pPr>
              <w:ind w:right="171"/>
              <w:jc w:val="right"/>
              <w:rPr>
                <w:rFonts w:cs="Arial"/>
                <w:b/>
                <w:szCs w:val="18"/>
                <w:lang w:val="de-CH"/>
              </w:rPr>
            </w:pPr>
            <w:r w:rsidRPr="009F7E24">
              <w:rPr>
                <w:rFonts w:cs="Arial"/>
                <w:b/>
                <w:lang w:val="de-CH"/>
              </w:rPr>
              <w:t>2026</w:t>
            </w:r>
          </w:p>
        </w:tc>
        <w:tc>
          <w:tcPr>
            <w:tcW w:w="649" w:type="pct"/>
          </w:tcPr>
          <w:p w14:paraId="29ED63B8" w14:textId="77777777" w:rsidR="003B3CC7" w:rsidRPr="009F7E24" w:rsidRDefault="003B3CC7" w:rsidP="007B12C8">
            <w:pPr>
              <w:ind w:right="171"/>
              <w:jc w:val="right"/>
              <w:rPr>
                <w:rFonts w:cs="Arial"/>
                <w:b/>
                <w:szCs w:val="18"/>
                <w:lang w:val="de-CH"/>
              </w:rPr>
            </w:pPr>
            <w:r w:rsidRPr="009F7E24">
              <w:rPr>
                <w:rFonts w:cs="Arial"/>
                <w:b/>
                <w:lang w:val="de-CH"/>
              </w:rPr>
              <w:t>Finanzplan</w:t>
            </w:r>
          </w:p>
          <w:p w14:paraId="13175E84" w14:textId="77777777" w:rsidR="003B3CC7" w:rsidRPr="009F7E24" w:rsidRDefault="003B3CC7" w:rsidP="007B12C8">
            <w:pPr>
              <w:ind w:right="171"/>
              <w:jc w:val="right"/>
              <w:rPr>
                <w:rFonts w:cs="Arial"/>
                <w:b/>
                <w:szCs w:val="18"/>
                <w:lang w:val="de-CH"/>
              </w:rPr>
            </w:pPr>
            <w:r w:rsidRPr="009F7E24">
              <w:rPr>
                <w:rFonts w:cs="Arial"/>
                <w:b/>
                <w:lang w:val="de-CH"/>
              </w:rPr>
              <w:t>2027</w:t>
            </w:r>
          </w:p>
        </w:tc>
        <w:tc>
          <w:tcPr>
            <w:tcW w:w="649" w:type="pct"/>
          </w:tcPr>
          <w:p w14:paraId="0291AB2C" w14:textId="332560D4" w:rsidR="003B3CC7" w:rsidRPr="009F7E24" w:rsidRDefault="003B3CC7" w:rsidP="007B12C8">
            <w:pPr>
              <w:ind w:right="171"/>
              <w:jc w:val="right"/>
              <w:rPr>
                <w:rFonts w:cs="Arial"/>
                <w:b/>
                <w:szCs w:val="18"/>
                <w:lang w:val="de-CH"/>
              </w:rPr>
            </w:pPr>
            <w:r w:rsidRPr="009F7E24">
              <w:rPr>
                <w:rFonts w:cs="Arial"/>
                <w:b/>
                <w:lang w:val="de-CH"/>
              </w:rPr>
              <w:t>Finanzplan</w:t>
            </w:r>
          </w:p>
          <w:p w14:paraId="296079D2" w14:textId="77777777" w:rsidR="003B3CC7" w:rsidRPr="009F7E24" w:rsidRDefault="003B3CC7" w:rsidP="007B12C8">
            <w:pPr>
              <w:ind w:right="171"/>
              <w:jc w:val="right"/>
              <w:rPr>
                <w:rFonts w:cs="Arial"/>
                <w:b/>
                <w:szCs w:val="18"/>
                <w:lang w:val="de-CH"/>
              </w:rPr>
            </w:pPr>
            <w:r w:rsidRPr="009F7E24">
              <w:rPr>
                <w:rFonts w:cs="Arial"/>
                <w:b/>
                <w:lang w:val="de-CH"/>
              </w:rPr>
              <w:t>2028</w:t>
            </w:r>
          </w:p>
        </w:tc>
        <w:tc>
          <w:tcPr>
            <w:tcW w:w="648" w:type="pct"/>
          </w:tcPr>
          <w:p w14:paraId="752E4807" w14:textId="77777777" w:rsidR="003B3CC7" w:rsidRPr="009F7E24" w:rsidRDefault="003B3CC7" w:rsidP="007B12C8">
            <w:pPr>
              <w:ind w:right="171"/>
              <w:jc w:val="right"/>
              <w:rPr>
                <w:rFonts w:cs="Arial"/>
                <w:b/>
                <w:szCs w:val="18"/>
                <w:lang w:val="de-CH"/>
              </w:rPr>
            </w:pPr>
            <w:r w:rsidRPr="009F7E24">
              <w:rPr>
                <w:rFonts w:cs="Arial"/>
                <w:b/>
                <w:lang w:val="de-CH"/>
              </w:rPr>
              <w:t>Differenz</w:t>
            </w:r>
          </w:p>
          <w:p w14:paraId="0B8E241D" w14:textId="38186005" w:rsidR="003B3CC7" w:rsidRPr="009F7E24" w:rsidRDefault="003B3CC7" w:rsidP="007B12C8">
            <w:pPr>
              <w:ind w:right="171"/>
              <w:jc w:val="right"/>
              <w:rPr>
                <w:rFonts w:cs="Arial"/>
                <w:b/>
                <w:szCs w:val="18"/>
                <w:lang w:val="de-CH"/>
              </w:rPr>
            </w:pPr>
            <w:r w:rsidRPr="009F7E24">
              <w:rPr>
                <w:rFonts w:cs="Arial"/>
                <w:b/>
                <w:lang w:val="de-CH"/>
              </w:rPr>
              <w:t>2025</w:t>
            </w:r>
            <w:r w:rsidR="00F8104B">
              <w:rPr>
                <w:rFonts w:cs="Arial"/>
                <w:b/>
                <w:lang w:val="de-CH"/>
              </w:rPr>
              <w:t>–</w:t>
            </w:r>
            <w:r w:rsidRPr="009F7E24">
              <w:rPr>
                <w:rFonts w:cs="Arial"/>
                <w:b/>
                <w:lang w:val="de-CH"/>
              </w:rPr>
              <w:t>2028</w:t>
            </w:r>
          </w:p>
        </w:tc>
      </w:tr>
      <w:tr w:rsidR="003B3CC7" w:rsidRPr="009F7E24" w14:paraId="50E27E6D" w14:textId="77777777" w:rsidTr="007B12C8">
        <w:trPr>
          <w:cantSplit/>
          <w:trHeight w:val="203"/>
        </w:trPr>
        <w:tc>
          <w:tcPr>
            <w:tcW w:w="1757" w:type="pct"/>
            <w:tcBorders>
              <w:bottom w:val="single" w:sz="2" w:space="0" w:color="auto"/>
            </w:tcBorders>
          </w:tcPr>
          <w:p w14:paraId="59E105FB" w14:textId="77777777" w:rsidR="003B3CC7" w:rsidRPr="009F7E24" w:rsidRDefault="003B3CC7" w:rsidP="007B12C8">
            <w:pPr>
              <w:ind w:right="57"/>
              <w:jc w:val="right"/>
              <w:rPr>
                <w:rFonts w:cs="Arial"/>
                <w:bCs/>
                <w:szCs w:val="18"/>
                <w:lang w:val="de-CH"/>
              </w:rPr>
            </w:pPr>
          </w:p>
        </w:tc>
        <w:tc>
          <w:tcPr>
            <w:tcW w:w="648" w:type="pct"/>
            <w:tcBorders>
              <w:bottom w:val="single" w:sz="2" w:space="0" w:color="auto"/>
            </w:tcBorders>
          </w:tcPr>
          <w:p w14:paraId="28AF5835" w14:textId="77777777" w:rsidR="003B3CC7" w:rsidRPr="009F7E24" w:rsidRDefault="003B3CC7" w:rsidP="007B12C8">
            <w:pPr>
              <w:ind w:right="85"/>
              <w:jc w:val="right"/>
              <w:rPr>
                <w:rFonts w:cs="Arial"/>
                <w:bCs/>
                <w:szCs w:val="18"/>
                <w:lang w:val="de-CH"/>
              </w:rPr>
            </w:pPr>
            <w:r w:rsidRPr="009F7E24">
              <w:rPr>
                <w:rFonts w:cs="Arial"/>
                <w:lang w:val="de-CH"/>
              </w:rPr>
              <w:t>Mio.</w:t>
            </w:r>
          </w:p>
        </w:tc>
        <w:tc>
          <w:tcPr>
            <w:tcW w:w="649" w:type="pct"/>
            <w:tcBorders>
              <w:bottom w:val="single" w:sz="2" w:space="0" w:color="auto"/>
            </w:tcBorders>
          </w:tcPr>
          <w:p w14:paraId="69D7C3EA" w14:textId="77777777" w:rsidR="003B3CC7" w:rsidRPr="009F7E24" w:rsidRDefault="003B3CC7" w:rsidP="007B12C8">
            <w:pPr>
              <w:ind w:right="171"/>
              <w:jc w:val="right"/>
              <w:rPr>
                <w:rFonts w:cs="Arial"/>
                <w:bCs/>
                <w:szCs w:val="18"/>
                <w:lang w:val="de-CH"/>
              </w:rPr>
            </w:pPr>
            <w:r w:rsidRPr="009F7E24">
              <w:rPr>
                <w:rFonts w:cs="Arial"/>
                <w:lang w:val="de-CH"/>
              </w:rPr>
              <w:t>Mio.</w:t>
            </w:r>
          </w:p>
        </w:tc>
        <w:tc>
          <w:tcPr>
            <w:tcW w:w="649" w:type="pct"/>
            <w:tcBorders>
              <w:bottom w:val="single" w:sz="2" w:space="0" w:color="auto"/>
            </w:tcBorders>
          </w:tcPr>
          <w:p w14:paraId="1583DFF9" w14:textId="77777777" w:rsidR="003B3CC7" w:rsidRPr="009F7E24" w:rsidRDefault="003B3CC7" w:rsidP="007B12C8">
            <w:pPr>
              <w:ind w:right="171"/>
              <w:jc w:val="right"/>
              <w:rPr>
                <w:rFonts w:cs="Arial"/>
                <w:bCs/>
                <w:szCs w:val="18"/>
                <w:lang w:val="de-CH"/>
              </w:rPr>
            </w:pPr>
            <w:r w:rsidRPr="009F7E24">
              <w:rPr>
                <w:rFonts w:cs="Arial"/>
                <w:lang w:val="de-CH"/>
              </w:rPr>
              <w:t>Mio.</w:t>
            </w:r>
          </w:p>
        </w:tc>
        <w:tc>
          <w:tcPr>
            <w:tcW w:w="649" w:type="pct"/>
            <w:tcBorders>
              <w:bottom w:val="single" w:sz="2" w:space="0" w:color="auto"/>
            </w:tcBorders>
          </w:tcPr>
          <w:p w14:paraId="7F33FF83" w14:textId="77777777" w:rsidR="003B3CC7" w:rsidRPr="009F7E24" w:rsidRDefault="003B3CC7" w:rsidP="007B12C8">
            <w:pPr>
              <w:ind w:right="171"/>
              <w:jc w:val="right"/>
              <w:rPr>
                <w:rFonts w:cs="Arial"/>
                <w:bCs/>
                <w:szCs w:val="18"/>
                <w:lang w:val="de-CH"/>
              </w:rPr>
            </w:pPr>
            <w:r w:rsidRPr="009F7E24">
              <w:rPr>
                <w:rFonts w:cs="Arial"/>
                <w:lang w:val="de-CH"/>
              </w:rPr>
              <w:t>Mio.</w:t>
            </w:r>
          </w:p>
        </w:tc>
        <w:tc>
          <w:tcPr>
            <w:tcW w:w="648" w:type="pct"/>
            <w:tcBorders>
              <w:bottom w:val="single" w:sz="2" w:space="0" w:color="auto"/>
            </w:tcBorders>
          </w:tcPr>
          <w:p w14:paraId="08DE3D4E" w14:textId="77777777" w:rsidR="003B3CC7" w:rsidRPr="009F7E24" w:rsidRDefault="003B3CC7" w:rsidP="007B12C8">
            <w:pPr>
              <w:ind w:right="171"/>
              <w:jc w:val="right"/>
              <w:rPr>
                <w:rFonts w:cs="Arial"/>
                <w:bCs/>
                <w:szCs w:val="18"/>
                <w:lang w:val="de-CH"/>
              </w:rPr>
            </w:pPr>
            <w:r w:rsidRPr="009F7E24">
              <w:rPr>
                <w:rFonts w:cs="Arial"/>
                <w:lang w:val="de-CH"/>
              </w:rPr>
              <w:t>In %</w:t>
            </w:r>
          </w:p>
        </w:tc>
      </w:tr>
      <w:tr w:rsidR="003B3CC7" w:rsidRPr="009F7E24" w14:paraId="5238393B" w14:textId="77777777" w:rsidTr="007B12C8">
        <w:trPr>
          <w:cantSplit/>
        </w:trPr>
        <w:tc>
          <w:tcPr>
            <w:tcW w:w="1757" w:type="pct"/>
            <w:tcBorders>
              <w:top w:val="single" w:sz="2" w:space="0" w:color="auto"/>
              <w:bottom w:val="single" w:sz="2" w:space="0" w:color="auto"/>
            </w:tcBorders>
          </w:tcPr>
          <w:p w14:paraId="1C18F211" w14:textId="77777777" w:rsidR="003B3CC7" w:rsidRPr="009F7E24" w:rsidRDefault="003B3CC7" w:rsidP="007B12C8">
            <w:pPr>
              <w:rPr>
                <w:rFonts w:cs="Arial"/>
                <w:b/>
                <w:bCs/>
                <w:szCs w:val="18"/>
                <w:lang w:val="de-CH"/>
              </w:rPr>
            </w:pPr>
            <w:r w:rsidRPr="009F7E24">
              <w:rPr>
                <w:rFonts w:cs="Arial"/>
                <w:lang w:val="de-CH"/>
              </w:rPr>
              <w:t>Personalaufwand</w:t>
            </w:r>
          </w:p>
        </w:tc>
        <w:tc>
          <w:tcPr>
            <w:tcW w:w="648" w:type="pct"/>
            <w:tcBorders>
              <w:top w:val="single" w:sz="2" w:space="0" w:color="auto"/>
              <w:bottom w:val="single" w:sz="2" w:space="0" w:color="auto"/>
            </w:tcBorders>
            <w:vAlign w:val="center"/>
          </w:tcPr>
          <w:p w14:paraId="040B412F" w14:textId="77777777" w:rsidR="003B3CC7" w:rsidRPr="009F7E24" w:rsidRDefault="003B3CC7" w:rsidP="007B12C8">
            <w:pPr>
              <w:ind w:right="85"/>
              <w:jc w:val="right"/>
              <w:rPr>
                <w:rFonts w:cs="Arial"/>
                <w:bCs/>
                <w:szCs w:val="18"/>
                <w:lang w:val="de-CH"/>
              </w:rPr>
            </w:pPr>
            <w:r w:rsidRPr="009F7E24">
              <w:rPr>
                <w:rFonts w:cs="Arial"/>
                <w:lang w:val="de-CH"/>
              </w:rPr>
              <w:t>1537,0</w:t>
            </w:r>
          </w:p>
        </w:tc>
        <w:tc>
          <w:tcPr>
            <w:tcW w:w="649" w:type="pct"/>
            <w:tcBorders>
              <w:top w:val="single" w:sz="2" w:space="0" w:color="auto"/>
              <w:bottom w:val="single" w:sz="2" w:space="0" w:color="auto"/>
            </w:tcBorders>
            <w:vAlign w:val="center"/>
          </w:tcPr>
          <w:p w14:paraId="3ED054BB" w14:textId="77777777" w:rsidR="003B3CC7" w:rsidRPr="009F7E24" w:rsidRDefault="003B3CC7" w:rsidP="007B12C8">
            <w:pPr>
              <w:ind w:right="171"/>
              <w:jc w:val="right"/>
              <w:rPr>
                <w:rFonts w:cs="Arial"/>
                <w:bCs/>
                <w:szCs w:val="18"/>
                <w:lang w:val="de-CH"/>
              </w:rPr>
            </w:pPr>
            <w:r w:rsidRPr="009F7E24">
              <w:rPr>
                <w:rFonts w:cs="Arial"/>
                <w:lang w:val="de-CH"/>
              </w:rPr>
              <w:t>1599,5</w:t>
            </w:r>
          </w:p>
        </w:tc>
        <w:tc>
          <w:tcPr>
            <w:tcW w:w="649" w:type="pct"/>
            <w:tcBorders>
              <w:top w:val="single" w:sz="2" w:space="0" w:color="auto"/>
              <w:bottom w:val="single" w:sz="2" w:space="0" w:color="auto"/>
            </w:tcBorders>
            <w:vAlign w:val="center"/>
          </w:tcPr>
          <w:p w14:paraId="594F6DA9" w14:textId="77777777" w:rsidR="003B3CC7" w:rsidRPr="009F7E24" w:rsidRDefault="003B3CC7" w:rsidP="007B12C8">
            <w:pPr>
              <w:ind w:right="171"/>
              <w:jc w:val="right"/>
              <w:rPr>
                <w:rFonts w:cs="Arial"/>
                <w:bCs/>
                <w:szCs w:val="18"/>
                <w:lang w:val="de-CH"/>
              </w:rPr>
            </w:pPr>
            <w:r w:rsidRPr="009F7E24">
              <w:rPr>
                <w:rFonts w:cs="Arial"/>
                <w:lang w:val="de-CH"/>
              </w:rPr>
              <w:t>1647,7</w:t>
            </w:r>
          </w:p>
        </w:tc>
        <w:tc>
          <w:tcPr>
            <w:tcW w:w="649" w:type="pct"/>
            <w:tcBorders>
              <w:top w:val="single" w:sz="2" w:space="0" w:color="auto"/>
              <w:bottom w:val="single" w:sz="2" w:space="0" w:color="auto"/>
            </w:tcBorders>
            <w:vAlign w:val="center"/>
          </w:tcPr>
          <w:p w14:paraId="572EE388" w14:textId="77777777" w:rsidR="003B3CC7" w:rsidRPr="009F7E24" w:rsidRDefault="003B3CC7" w:rsidP="007B12C8">
            <w:pPr>
              <w:ind w:right="171"/>
              <w:jc w:val="right"/>
              <w:rPr>
                <w:rFonts w:cs="Arial"/>
                <w:bCs/>
                <w:szCs w:val="18"/>
                <w:lang w:val="de-CH"/>
              </w:rPr>
            </w:pPr>
            <w:r w:rsidRPr="009F7E24">
              <w:rPr>
                <w:rFonts w:cs="Arial"/>
                <w:lang w:val="de-CH"/>
              </w:rPr>
              <w:t>1695,6</w:t>
            </w:r>
          </w:p>
        </w:tc>
        <w:tc>
          <w:tcPr>
            <w:tcW w:w="648" w:type="pct"/>
            <w:tcBorders>
              <w:top w:val="single" w:sz="2" w:space="0" w:color="auto"/>
              <w:bottom w:val="single" w:sz="2" w:space="0" w:color="auto"/>
            </w:tcBorders>
            <w:vAlign w:val="center"/>
          </w:tcPr>
          <w:p w14:paraId="3CDBAAE7" w14:textId="77777777" w:rsidR="003B3CC7" w:rsidRPr="009F7E24" w:rsidRDefault="003B3CC7" w:rsidP="007B12C8">
            <w:pPr>
              <w:ind w:right="171"/>
              <w:jc w:val="right"/>
              <w:rPr>
                <w:rFonts w:cs="Arial"/>
                <w:bCs/>
                <w:szCs w:val="18"/>
                <w:lang w:val="de-CH"/>
              </w:rPr>
            </w:pPr>
            <w:r w:rsidRPr="009F7E24">
              <w:rPr>
                <w:rFonts w:cs="Arial"/>
                <w:lang w:val="de-CH"/>
              </w:rPr>
              <w:t>+ 10,3</w:t>
            </w:r>
          </w:p>
        </w:tc>
      </w:tr>
      <w:tr w:rsidR="003B3CC7" w:rsidRPr="009F7E24" w14:paraId="57F4EDBA" w14:textId="77777777" w:rsidTr="007B12C8">
        <w:trPr>
          <w:cantSplit/>
        </w:trPr>
        <w:tc>
          <w:tcPr>
            <w:tcW w:w="1757" w:type="pct"/>
            <w:tcBorders>
              <w:top w:val="single" w:sz="2" w:space="0" w:color="auto"/>
              <w:bottom w:val="single" w:sz="2" w:space="0" w:color="auto"/>
            </w:tcBorders>
          </w:tcPr>
          <w:p w14:paraId="51F87A0E" w14:textId="77777777" w:rsidR="003B3CC7" w:rsidRPr="009F7E24" w:rsidRDefault="003B3CC7" w:rsidP="007B12C8">
            <w:pPr>
              <w:rPr>
                <w:rFonts w:cs="Arial"/>
                <w:bCs/>
                <w:szCs w:val="18"/>
                <w:lang w:val="de-CH"/>
              </w:rPr>
            </w:pPr>
            <w:r w:rsidRPr="009F7E24">
              <w:rPr>
                <w:rFonts w:cs="Arial"/>
                <w:lang w:val="de-CH"/>
              </w:rPr>
              <w:t>Sachaufwand</w:t>
            </w:r>
          </w:p>
        </w:tc>
        <w:tc>
          <w:tcPr>
            <w:tcW w:w="648" w:type="pct"/>
            <w:tcBorders>
              <w:top w:val="single" w:sz="2" w:space="0" w:color="auto"/>
              <w:bottom w:val="single" w:sz="2" w:space="0" w:color="auto"/>
            </w:tcBorders>
            <w:vAlign w:val="center"/>
          </w:tcPr>
          <w:p w14:paraId="446F3AF6" w14:textId="77777777" w:rsidR="003B3CC7" w:rsidRPr="009F7E24" w:rsidRDefault="003B3CC7" w:rsidP="007B12C8">
            <w:pPr>
              <w:ind w:right="85"/>
              <w:jc w:val="right"/>
              <w:rPr>
                <w:rFonts w:cs="Arial"/>
                <w:bCs/>
                <w:szCs w:val="18"/>
                <w:lang w:val="de-CH"/>
              </w:rPr>
            </w:pPr>
            <w:r w:rsidRPr="009F7E24">
              <w:rPr>
                <w:rFonts w:cs="Arial"/>
                <w:lang w:val="de-CH"/>
              </w:rPr>
              <w:t>450,9</w:t>
            </w:r>
          </w:p>
        </w:tc>
        <w:tc>
          <w:tcPr>
            <w:tcW w:w="649" w:type="pct"/>
            <w:tcBorders>
              <w:top w:val="single" w:sz="2" w:space="0" w:color="auto"/>
              <w:bottom w:val="single" w:sz="2" w:space="0" w:color="auto"/>
            </w:tcBorders>
            <w:vAlign w:val="center"/>
          </w:tcPr>
          <w:p w14:paraId="7A35BAF7" w14:textId="77777777" w:rsidR="003B3CC7" w:rsidRPr="009F7E24" w:rsidRDefault="003B3CC7" w:rsidP="007B12C8">
            <w:pPr>
              <w:ind w:right="171"/>
              <w:jc w:val="right"/>
              <w:rPr>
                <w:rFonts w:cs="Arial"/>
                <w:bCs/>
                <w:szCs w:val="18"/>
                <w:lang w:val="de-CH"/>
              </w:rPr>
            </w:pPr>
            <w:r w:rsidRPr="009F7E24">
              <w:rPr>
                <w:rFonts w:cs="Arial"/>
                <w:lang w:val="de-CH"/>
              </w:rPr>
              <w:t>476,7</w:t>
            </w:r>
          </w:p>
        </w:tc>
        <w:tc>
          <w:tcPr>
            <w:tcW w:w="649" w:type="pct"/>
            <w:tcBorders>
              <w:top w:val="single" w:sz="2" w:space="0" w:color="auto"/>
              <w:bottom w:val="single" w:sz="2" w:space="0" w:color="auto"/>
            </w:tcBorders>
            <w:vAlign w:val="center"/>
          </w:tcPr>
          <w:p w14:paraId="7A52A07F" w14:textId="77777777" w:rsidR="003B3CC7" w:rsidRPr="009F7E24" w:rsidRDefault="003B3CC7" w:rsidP="007B12C8">
            <w:pPr>
              <w:ind w:right="171"/>
              <w:jc w:val="right"/>
              <w:rPr>
                <w:rFonts w:cs="Arial"/>
                <w:bCs/>
                <w:szCs w:val="18"/>
                <w:lang w:val="de-CH"/>
              </w:rPr>
            </w:pPr>
            <w:r w:rsidRPr="009F7E24">
              <w:rPr>
                <w:rFonts w:cs="Arial"/>
                <w:lang w:val="de-CH"/>
              </w:rPr>
              <w:t>491,7</w:t>
            </w:r>
          </w:p>
        </w:tc>
        <w:tc>
          <w:tcPr>
            <w:tcW w:w="649" w:type="pct"/>
            <w:tcBorders>
              <w:top w:val="single" w:sz="2" w:space="0" w:color="auto"/>
              <w:bottom w:val="single" w:sz="2" w:space="0" w:color="auto"/>
            </w:tcBorders>
            <w:vAlign w:val="center"/>
          </w:tcPr>
          <w:p w14:paraId="4EE41143" w14:textId="77777777" w:rsidR="003B3CC7" w:rsidRPr="009F7E24" w:rsidRDefault="003B3CC7" w:rsidP="007B12C8">
            <w:pPr>
              <w:ind w:right="171"/>
              <w:jc w:val="right"/>
              <w:rPr>
                <w:rFonts w:cs="Arial"/>
                <w:bCs/>
                <w:szCs w:val="18"/>
                <w:lang w:val="de-CH"/>
              </w:rPr>
            </w:pPr>
            <w:r w:rsidRPr="009F7E24">
              <w:rPr>
                <w:rFonts w:cs="Arial"/>
                <w:lang w:val="de-CH"/>
              </w:rPr>
              <w:t>524,5</w:t>
            </w:r>
          </w:p>
        </w:tc>
        <w:tc>
          <w:tcPr>
            <w:tcW w:w="648" w:type="pct"/>
            <w:tcBorders>
              <w:top w:val="single" w:sz="2" w:space="0" w:color="auto"/>
              <w:bottom w:val="single" w:sz="2" w:space="0" w:color="auto"/>
            </w:tcBorders>
            <w:vAlign w:val="center"/>
          </w:tcPr>
          <w:p w14:paraId="1E770B30" w14:textId="77777777" w:rsidR="003B3CC7" w:rsidRPr="009F7E24" w:rsidRDefault="003B3CC7" w:rsidP="007B12C8">
            <w:pPr>
              <w:ind w:right="171"/>
              <w:jc w:val="right"/>
              <w:rPr>
                <w:rFonts w:cs="Arial"/>
                <w:bCs/>
                <w:szCs w:val="18"/>
                <w:lang w:val="de-CH"/>
              </w:rPr>
            </w:pPr>
            <w:r w:rsidRPr="009F7E24">
              <w:rPr>
                <w:rFonts w:cs="Arial"/>
                <w:lang w:val="de-CH"/>
              </w:rPr>
              <w:t>+ 16,3</w:t>
            </w:r>
          </w:p>
        </w:tc>
      </w:tr>
      <w:tr w:rsidR="003B3CC7" w:rsidRPr="009F7E24" w14:paraId="7B619287" w14:textId="77777777" w:rsidTr="007B12C8">
        <w:trPr>
          <w:cantSplit/>
        </w:trPr>
        <w:tc>
          <w:tcPr>
            <w:tcW w:w="1757" w:type="pct"/>
            <w:tcBorders>
              <w:top w:val="single" w:sz="2" w:space="0" w:color="auto"/>
              <w:bottom w:val="single" w:sz="2" w:space="0" w:color="auto"/>
            </w:tcBorders>
          </w:tcPr>
          <w:p w14:paraId="6A50E8BC" w14:textId="77777777" w:rsidR="003B3CC7" w:rsidRPr="009F7E24" w:rsidRDefault="003B3CC7" w:rsidP="007B12C8">
            <w:pPr>
              <w:rPr>
                <w:rFonts w:cs="Arial"/>
                <w:bCs/>
                <w:szCs w:val="18"/>
                <w:lang w:val="de-CH"/>
              </w:rPr>
            </w:pPr>
            <w:r w:rsidRPr="009F7E24">
              <w:rPr>
                <w:rFonts w:cs="Arial"/>
                <w:lang w:val="de-CH"/>
              </w:rPr>
              <w:t>Abschreibungsaufwand</w:t>
            </w:r>
          </w:p>
        </w:tc>
        <w:tc>
          <w:tcPr>
            <w:tcW w:w="648" w:type="pct"/>
            <w:tcBorders>
              <w:top w:val="single" w:sz="2" w:space="0" w:color="auto"/>
              <w:bottom w:val="single" w:sz="2" w:space="0" w:color="auto"/>
            </w:tcBorders>
            <w:vAlign w:val="center"/>
          </w:tcPr>
          <w:p w14:paraId="3CFD7147" w14:textId="77777777" w:rsidR="003B3CC7" w:rsidRPr="009F7E24" w:rsidRDefault="003B3CC7" w:rsidP="007B12C8">
            <w:pPr>
              <w:ind w:right="85"/>
              <w:jc w:val="right"/>
              <w:rPr>
                <w:rFonts w:cs="Arial"/>
                <w:bCs/>
                <w:szCs w:val="18"/>
                <w:lang w:val="de-CH"/>
              </w:rPr>
            </w:pPr>
            <w:r w:rsidRPr="009F7E24">
              <w:rPr>
                <w:rFonts w:cs="Arial"/>
                <w:lang w:val="de-CH"/>
              </w:rPr>
              <w:t>131,8</w:t>
            </w:r>
          </w:p>
        </w:tc>
        <w:tc>
          <w:tcPr>
            <w:tcW w:w="649" w:type="pct"/>
            <w:tcBorders>
              <w:top w:val="single" w:sz="2" w:space="0" w:color="auto"/>
              <w:bottom w:val="single" w:sz="2" w:space="0" w:color="auto"/>
            </w:tcBorders>
            <w:vAlign w:val="center"/>
          </w:tcPr>
          <w:p w14:paraId="61EF89BB" w14:textId="77777777" w:rsidR="003B3CC7" w:rsidRPr="009F7E24" w:rsidRDefault="003B3CC7" w:rsidP="007B12C8">
            <w:pPr>
              <w:ind w:right="171"/>
              <w:jc w:val="right"/>
              <w:rPr>
                <w:rFonts w:cs="Arial"/>
                <w:bCs/>
                <w:szCs w:val="18"/>
                <w:lang w:val="de-CH"/>
              </w:rPr>
            </w:pPr>
            <w:r w:rsidRPr="009F7E24">
              <w:rPr>
                <w:rFonts w:cs="Arial"/>
                <w:lang w:val="de-CH"/>
              </w:rPr>
              <w:t>153,0</w:t>
            </w:r>
          </w:p>
        </w:tc>
        <w:tc>
          <w:tcPr>
            <w:tcW w:w="649" w:type="pct"/>
            <w:tcBorders>
              <w:top w:val="single" w:sz="2" w:space="0" w:color="auto"/>
              <w:bottom w:val="single" w:sz="2" w:space="0" w:color="auto"/>
            </w:tcBorders>
            <w:vAlign w:val="center"/>
          </w:tcPr>
          <w:p w14:paraId="3D83BC13" w14:textId="77777777" w:rsidR="003B3CC7" w:rsidRPr="009F7E24" w:rsidRDefault="003B3CC7" w:rsidP="007B12C8">
            <w:pPr>
              <w:ind w:right="171"/>
              <w:jc w:val="right"/>
              <w:rPr>
                <w:rFonts w:cs="Arial"/>
                <w:bCs/>
                <w:szCs w:val="18"/>
                <w:lang w:val="de-CH"/>
              </w:rPr>
            </w:pPr>
            <w:r w:rsidRPr="009F7E24">
              <w:rPr>
                <w:rFonts w:cs="Arial"/>
                <w:lang w:val="de-CH"/>
              </w:rPr>
              <w:t>169,7</w:t>
            </w:r>
          </w:p>
        </w:tc>
        <w:tc>
          <w:tcPr>
            <w:tcW w:w="649" w:type="pct"/>
            <w:tcBorders>
              <w:top w:val="single" w:sz="2" w:space="0" w:color="auto"/>
              <w:bottom w:val="single" w:sz="2" w:space="0" w:color="auto"/>
            </w:tcBorders>
            <w:vAlign w:val="center"/>
          </w:tcPr>
          <w:p w14:paraId="01D30963" w14:textId="77777777" w:rsidR="003B3CC7" w:rsidRPr="009F7E24" w:rsidRDefault="003B3CC7" w:rsidP="007B12C8">
            <w:pPr>
              <w:ind w:right="171"/>
              <w:jc w:val="right"/>
              <w:rPr>
                <w:rFonts w:cs="Arial"/>
                <w:bCs/>
                <w:szCs w:val="18"/>
                <w:lang w:val="de-CH"/>
              </w:rPr>
            </w:pPr>
            <w:r w:rsidRPr="009F7E24">
              <w:rPr>
                <w:rFonts w:cs="Arial"/>
                <w:lang w:val="de-CH"/>
              </w:rPr>
              <w:t>171,2</w:t>
            </w:r>
          </w:p>
        </w:tc>
        <w:tc>
          <w:tcPr>
            <w:tcW w:w="648" w:type="pct"/>
            <w:tcBorders>
              <w:top w:val="single" w:sz="2" w:space="0" w:color="auto"/>
              <w:bottom w:val="single" w:sz="2" w:space="0" w:color="auto"/>
            </w:tcBorders>
            <w:vAlign w:val="center"/>
          </w:tcPr>
          <w:p w14:paraId="181BBE55" w14:textId="77777777" w:rsidR="003B3CC7" w:rsidRPr="009F7E24" w:rsidRDefault="003B3CC7" w:rsidP="007B12C8">
            <w:pPr>
              <w:ind w:right="171"/>
              <w:jc w:val="right"/>
              <w:rPr>
                <w:rFonts w:cs="Arial"/>
                <w:bCs/>
                <w:szCs w:val="18"/>
                <w:lang w:val="de-CH"/>
              </w:rPr>
            </w:pPr>
            <w:r w:rsidRPr="009F7E24">
              <w:rPr>
                <w:rFonts w:cs="Arial"/>
                <w:lang w:val="de-CH"/>
              </w:rPr>
              <w:t>+ 29,9</w:t>
            </w:r>
          </w:p>
        </w:tc>
      </w:tr>
      <w:tr w:rsidR="003B3CC7" w:rsidRPr="009F7E24" w14:paraId="6E43A548" w14:textId="77777777" w:rsidTr="007B12C8">
        <w:trPr>
          <w:cantSplit/>
        </w:trPr>
        <w:tc>
          <w:tcPr>
            <w:tcW w:w="1757" w:type="pct"/>
            <w:tcBorders>
              <w:top w:val="single" w:sz="2" w:space="0" w:color="auto"/>
              <w:bottom w:val="single" w:sz="2" w:space="0" w:color="auto"/>
            </w:tcBorders>
          </w:tcPr>
          <w:p w14:paraId="693F391B" w14:textId="77777777" w:rsidR="003B3CC7" w:rsidRPr="009F7E24" w:rsidRDefault="003B3CC7" w:rsidP="007B12C8">
            <w:pPr>
              <w:rPr>
                <w:rFonts w:cs="Arial"/>
                <w:bCs/>
                <w:szCs w:val="18"/>
                <w:lang w:val="de-CH"/>
              </w:rPr>
            </w:pPr>
            <w:r w:rsidRPr="009F7E24">
              <w:rPr>
                <w:rFonts w:cs="Arial"/>
                <w:lang w:val="de-CH"/>
              </w:rPr>
              <w:t>Transferaufwand</w:t>
            </w:r>
          </w:p>
        </w:tc>
        <w:tc>
          <w:tcPr>
            <w:tcW w:w="648" w:type="pct"/>
            <w:tcBorders>
              <w:top w:val="single" w:sz="2" w:space="0" w:color="auto"/>
              <w:bottom w:val="single" w:sz="2" w:space="0" w:color="auto"/>
            </w:tcBorders>
            <w:vAlign w:val="center"/>
          </w:tcPr>
          <w:p w14:paraId="397EA896" w14:textId="77777777" w:rsidR="003B3CC7" w:rsidRPr="009F7E24" w:rsidRDefault="003B3CC7" w:rsidP="007B12C8">
            <w:pPr>
              <w:ind w:right="85"/>
              <w:jc w:val="right"/>
              <w:rPr>
                <w:rFonts w:cs="Arial"/>
                <w:bCs/>
                <w:szCs w:val="18"/>
                <w:lang w:val="de-CH"/>
              </w:rPr>
            </w:pPr>
            <w:r w:rsidRPr="009F7E24">
              <w:rPr>
                <w:rFonts w:cs="Arial"/>
                <w:lang w:val="de-CH"/>
              </w:rPr>
              <w:t>2076,1</w:t>
            </w:r>
          </w:p>
        </w:tc>
        <w:tc>
          <w:tcPr>
            <w:tcW w:w="649" w:type="pct"/>
            <w:tcBorders>
              <w:top w:val="single" w:sz="2" w:space="0" w:color="auto"/>
              <w:bottom w:val="single" w:sz="2" w:space="0" w:color="auto"/>
            </w:tcBorders>
            <w:vAlign w:val="center"/>
          </w:tcPr>
          <w:p w14:paraId="4B164BEC" w14:textId="77777777" w:rsidR="003B3CC7" w:rsidRPr="009F7E24" w:rsidRDefault="003B3CC7" w:rsidP="007B12C8">
            <w:pPr>
              <w:ind w:right="171"/>
              <w:jc w:val="right"/>
              <w:rPr>
                <w:rFonts w:cs="Arial"/>
                <w:bCs/>
                <w:szCs w:val="18"/>
                <w:lang w:val="de-CH"/>
              </w:rPr>
            </w:pPr>
            <w:r w:rsidRPr="009F7E24">
              <w:rPr>
                <w:rFonts w:cs="Arial"/>
                <w:lang w:val="de-CH"/>
              </w:rPr>
              <w:t>2176,1</w:t>
            </w:r>
          </w:p>
        </w:tc>
        <w:tc>
          <w:tcPr>
            <w:tcW w:w="649" w:type="pct"/>
            <w:tcBorders>
              <w:top w:val="single" w:sz="2" w:space="0" w:color="auto"/>
              <w:bottom w:val="single" w:sz="2" w:space="0" w:color="auto"/>
            </w:tcBorders>
            <w:vAlign w:val="center"/>
          </w:tcPr>
          <w:p w14:paraId="316B76E0" w14:textId="77777777" w:rsidR="003B3CC7" w:rsidRPr="009F7E24" w:rsidRDefault="003B3CC7" w:rsidP="007B12C8">
            <w:pPr>
              <w:ind w:right="171"/>
              <w:jc w:val="right"/>
              <w:rPr>
                <w:rFonts w:cs="Arial"/>
                <w:bCs/>
                <w:szCs w:val="18"/>
                <w:lang w:val="de-CH"/>
              </w:rPr>
            </w:pPr>
            <w:r w:rsidRPr="009F7E24">
              <w:rPr>
                <w:rFonts w:cs="Arial"/>
                <w:lang w:val="de-CH"/>
              </w:rPr>
              <w:t>2201,7</w:t>
            </w:r>
          </w:p>
        </w:tc>
        <w:tc>
          <w:tcPr>
            <w:tcW w:w="649" w:type="pct"/>
            <w:tcBorders>
              <w:top w:val="single" w:sz="2" w:space="0" w:color="auto"/>
              <w:bottom w:val="single" w:sz="2" w:space="0" w:color="auto"/>
            </w:tcBorders>
            <w:vAlign w:val="center"/>
          </w:tcPr>
          <w:p w14:paraId="02BC3690" w14:textId="77777777" w:rsidR="003B3CC7" w:rsidRPr="009F7E24" w:rsidRDefault="003B3CC7" w:rsidP="007B12C8">
            <w:pPr>
              <w:ind w:right="171"/>
              <w:jc w:val="right"/>
              <w:rPr>
                <w:rFonts w:cs="Arial"/>
                <w:bCs/>
                <w:szCs w:val="18"/>
                <w:lang w:val="de-CH"/>
              </w:rPr>
            </w:pPr>
            <w:r w:rsidRPr="009F7E24">
              <w:rPr>
                <w:rFonts w:cs="Arial"/>
                <w:lang w:val="de-CH"/>
              </w:rPr>
              <w:t>2246,7</w:t>
            </w:r>
          </w:p>
        </w:tc>
        <w:tc>
          <w:tcPr>
            <w:tcW w:w="648" w:type="pct"/>
            <w:tcBorders>
              <w:top w:val="single" w:sz="2" w:space="0" w:color="auto"/>
              <w:bottom w:val="single" w:sz="2" w:space="0" w:color="auto"/>
            </w:tcBorders>
            <w:vAlign w:val="center"/>
          </w:tcPr>
          <w:p w14:paraId="0985D4DC" w14:textId="77777777" w:rsidR="003B3CC7" w:rsidRPr="009F7E24" w:rsidRDefault="003B3CC7" w:rsidP="007B12C8">
            <w:pPr>
              <w:ind w:right="171"/>
              <w:jc w:val="right"/>
              <w:rPr>
                <w:rFonts w:cs="Arial"/>
                <w:bCs/>
                <w:szCs w:val="18"/>
                <w:lang w:val="de-CH"/>
              </w:rPr>
            </w:pPr>
            <w:r w:rsidRPr="009F7E24">
              <w:rPr>
                <w:rFonts w:cs="Arial"/>
                <w:lang w:val="de-CH"/>
              </w:rPr>
              <w:t>+ 8,2</w:t>
            </w:r>
          </w:p>
        </w:tc>
      </w:tr>
      <w:tr w:rsidR="003B3CC7" w:rsidRPr="009F7E24" w14:paraId="1C7FDE47" w14:textId="77777777" w:rsidTr="007B12C8">
        <w:trPr>
          <w:cantSplit/>
        </w:trPr>
        <w:tc>
          <w:tcPr>
            <w:tcW w:w="1757" w:type="pct"/>
            <w:tcBorders>
              <w:top w:val="single" w:sz="2" w:space="0" w:color="auto"/>
            </w:tcBorders>
          </w:tcPr>
          <w:p w14:paraId="3428B62E" w14:textId="77777777" w:rsidR="003B3CC7" w:rsidRPr="009F7E24" w:rsidRDefault="003B3CC7" w:rsidP="007B12C8">
            <w:pPr>
              <w:rPr>
                <w:rFonts w:cs="Arial"/>
                <w:bCs/>
                <w:szCs w:val="18"/>
                <w:lang w:val="de-CH"/>
              </w:rPr>
            </w:pPr>
            <w:r w:rsidRPr="009F7E24">
              <w:rPr>
                <w:rFonts w:cs="Arial"/>
                <w:lang w:val="de-CH"/>
              </w:rPr>
              <w:t>Finanz-, Buch- und ausserordentlicher Aufwand</w:t>
            </w:r>
          </w:p>
        </w:tc>
        <w:tc>
          <w:tcPr>
            <w:tcW w:w="648" w:type="pct"/>
            <w:tcBorders>
              <w:top w:val="single" w:sz="2" w:space="0" w:color="auto"/>
            </w:tcBorders>
            <w:vAlign w:val="center"/>
          </w:tcPr>
          <w:p w14:paraId="18E1D728" w14:textId="77777777" w:rsidR="003B3CC7" w:rsidRPr="009F7E24" w:rsidRDefault="003B3CC7" w:rsidP="007B12C8">
            <w:pPr>
              <w:ind w:right="85"/>
              <w:jc w:val="right"/>
              <w:rPr>
                <w:rFonts w:cs="Arial"/>
                <w:bCs/>
                <w:szCs w:val="18"/>
                <w:lang w:val="de-CH"/>
              </w:rPr>
            </w:pPr>
            <w:r w:rsidRPr="009F7E24">
              <w:rPr>
                <w:rFonts w:cs="Arial"/>
                <w:lang w:val="de-CH"/>
              </w:rPr>
              <w:t>130,3</w:t>
            </w:r>
          </w:p>
        </w:tc>
        <w:tc>
          <w:tcPr>
            <w:tcW w:w="649" w:type="pct"/>
            <w:tcBorders>
              <w:top w:val="single" w:sz="2" w:space="0" w:color="auto"/>
            </w:tcBorders>
            <w:vAlign w:val="center"/>
          </w:tcPr>
          <w:p w14:paraId="2B07E835" w14:textId="77777777" w:rsidR="003B3CC7" w:rsidRPr="009F7E24" w:rsidRDefault="003B3CC7" w:rsidP="007B12C8">
            <w:pPr>
              <w:ind w:right="171"/>
              <w:jc w:val="right"/>
              <w:rPr>
                <w:rFonts w:cs="Arial"/>
                <w:bCs/>
                <w:szCs w:val="18"/>
                <w:lang w:val="de-CH"/>
              </w:rPr>
            </w:pPr>
            <w:r w:rsidRPr="009F7E24">
              <w:rPr>
                <w:rFonts w:cs="Arial"/>
                <w:lang w:val="de-CH"/>
              </w:rPr>
              <w:t>151,2</w:t>
            </w:r>
          </w:p>
        </w:tc>
        <w:tc>
          <w:tcPr>
            <w:tcW w:w="649" w:type="pct"/>
            <w:tcBorders>
              <w:top w:val="single" w:sz="2" w:space="0" w:color="auto"/>
            </w:tcBorders>
            <w:vAlign w:val="center"/>
          </w:tcPr>
          <w:p w14:paraId="69640873" w14:textId="77777777" w:rsidR="003B3CC7" w:rsidRPr="009F7E24" w:rsidRDefault="003B3CC7" w:rsidP="007B12C8">
            <w:pPr>
              <w:ind w:right="171"/>
              <w:jc w:val="right"/>
              <w:rPr>
                <w:rFonts w:cs="Arial"/>
                <w:bCs/>
                <w:szCs w:val="18"/>
                <w:lang w:val="de-CH"/>
              </w:rPr>
            </w:pPr>
            <w:r w:rsidRPr="009F7E24">
              <w:rPr>
                <w:rFonts w:cs="Arial"/>
                <w:lang w:val="de-CH"/>
              </w:rPr>
              <w:t>230,1</w:t>
            </w:r>
          </w:p>
        </w:tc>
        <w:tc>
          <w:tcPr>
            <w:tcW w:w="649" w:type="pct"/>
            <w:tcBorders>
              <w:top w:val="single" w:sz="2" w:space="0" w:color="auto"/>
            </w:tcBorders>
            <w:vAlign w:val="center"/>
          </w:tcPr>
          <w:p w14:paraId="3DA523C1" w14:textId="77777777" w:rsidR="003B3CC7" w:rsidRPr="009F7E24" w:rsidRDefault="003B3CC7" w:rsidP="007B12C8">
            <w:pPr>
              <w:ind w:right="171"/>
              <w:jc w:val="right"/>
              <w:rPr>
                <w:rFonts w:cs="Arial"/>
                <w:bCs/>
                <w:szCs w:val="18"/>
                <w:lang w:val="de-CH"/>
              </w:rPr>
            </w:pPr>
            <w:r w:rsidRPr="009F7E24">
              <w:rPr>
                <w:rFonts w:cs="Arial"/>
                <w:lang w:val="de-CH"/>
              </w:rPr>
              <w:t>152,4</w:t>
            </w:r>
          </w:p>
        </w:tc>
        <w:tc>
          <w:tcPr>
            <w:tcW w:w="648" w:type="pct"/>
            <w:tcBorders>
              <w:top w:val="single" w:sz="2" w:space="0" w:color="auto"/>
            </w:tcBorders>
            <w:vAlign w:val="center"/>
          </w:tcPr>
          <w:p w14:paraId="0359863F" w14:textId="77777777" w:rsidR="003B3CC7" w:rsidRPr="009F7E24" w:rsidRDefault="003B3CC7" w:rsidP="007B12C8">
            <w:pPr>
              <w:ind w:right="171"/>
              <w:jc w:val="right"/>
              <w:rPr>
                <w:rFonts w:cs="Arial"/>
                <w:bCs/>
                <w:szCs w:val="18"/>
                <w:lang w:val="de-CH"/>
              </w:rPr>
            </w:pPr>
            <w:r w:rsidRPr="009F7E24">
              <w:rPr>
                <w:rFonts w:cs="Arial"/>
                <w:lang w:val="de-CH"/>
              </w:rPr>
              <w:t>+ 17,0</w:t>
            </w:r>
          </w:p>
        </w:tc>
      </w:tr>
      <w:tr w:rsidR="003B3CC7" w:rsidRPr="009F7E24" w14:paraId="549388CF" w14:textId="77777777" w:rsidTr="007B12C8">
        <w:trPr>
          <w:cantSplit/>
        </w:trPr>
        <w:tc>
          <w:tcPr>
            <w:tcW w:w="1757" w:type="pct"/>
            <w:tcBorders>
              <w:bottom w:val="single" w:sz="2" w:space="0" w:color="auto"/>
            </w:tcBorders>
          </w:tcPr>
          <w:p w14:paraId="707F16E4" w14:textId="77777777" w:rsidR="003B3CC7" w:rsidRPr="009F7E24" w:rsidRDefault="003B3CC7" w:rsidP="007B12C8">
            <w:pPr>
              <w:rPr>
                <w:rFonts w:cs="Arial"/>
                <w:b/>
                <w:szCs w:val="18"/>
                <w:lang w:val="de-CH"/>
              </w:rPr>
            </w:pPr>
            <w:r w:rsidRPr="009F7E24">
              <w:rPr>
                <w:rFonts w:cs="Arial"/>
                <w:b/>
                <w:lang w:val="de-CH"/>
              </w:rPr>
              <w:t>Total Aufwand</w:t>
            </w:r>
          </w:p>
        </w:tc>
        <w:tc>
          <w:tcPr>
            <w:tcW w:w="648" w:type="pct"/>
            <w:tcBorders>
              <w:bottom w:val="single" w:sz="2" w:space="0" w:color="auto"/>
            </w:tcBorders>
            <w:vAlign w:val="center"/>
          </w:tcPr>
          <w:p w14:paraId="569E2582" w14:textId="77777777" w:rsidR="003B3CC7" w:rsidRPr="009F7E24" w:rsidRDefault="003B3CC7" w:rsidP="007B12C8">
            <w:pPr>
              <w:ind w:right="85"/>
              <w:jc w:val="right"/>
              <w:rPr>
                <w:rFonts w:cs="Arial"/>
                <w:b/>
                <w:szCs w:val="18"/>
                <w:lang w:val="de-CH"/>
              </w:rPr>
            </w:pPr>
            <w:r w:rsidRPr="009F7E24">
              <w:rPr>
                <w:rFonts w:cs="Arial"/>
                <w:b/>
                <w:lang w:val="de-CH"/>
              </w:rPr>
              <w:t>4326,1</w:t>
            </w:r>
          </w:p>
        </w:tc>
        <w:tc>
          <w:tcPr>
            <w:tcW w:w="649" w:type="pct"/>
            <w:tcBorders>
              <w:bottom w:val="single" w:sz="2" w:space="0" w:color="auto"/>
            </w:tcBorders>
            <w:vAlign w:val="center"/>
          </w:tcPr>
          <w:p w14:paraId="0C11CFA9" w14:textId="77777777" w:rsidR="003B3CC7" w:rsidRPr="009F7E24" w:rsidRDefault="003B3CC7" w:rsidP="007B12C8">
            <w:pPr>
              <w:ind w:right="171"/>
              <w:jc w:val="right"/>
              <w:rPr>
                <w:rFonts w:cs="Arial"/>
                <w:b/>
                <w:szCs w:val="18"/>
                <w:lang w:val="de-CH"/>
              </w:rPr>
            </w:pPr>
            <w:r w:rsidRPr="009F7E24">
              <w:rPr>
                <w:rFonts w:cs="Arial"/>
                <w:b/>
                <w:lang w:val="de-CH"/>
              </w:rPr>
              <w:t>4556,5</w:t>
            </w:r>
          </w:p>
        </w:tc>
        <w:tc>
          <w:tcPr>
            <w:tcW w:w="649" w:type="pct"/>
            <w:tcBorders>
              <w:bottom w:val="single" w:sz="2" w:space="0" w:color="auto"/>
            </w:tcBorders>
            <w:vAlign w:val="center"/>
          </w:tcPr>
          <w:p w14:paraId="22583B4C" w14:textId="77777777" w:rsidR="003B3CC7" w:rsidRPr="009F7E24" w:rsidRDefault="003B3CC7" w:rsidP="007B12C8">
            <w:pPr>
              <w:ind w:right="171"/>
              <w:jc w:val="right"/>
              <w:rPr>
                <w:rFonts w:cs="Arial"/>
                <w:b/>
                <w:szCs w:val="18"/>
                <w:lang w:val="de-CH"/>
              </w:rPr>
            </w:pPr>
            <w:r w:rsidRPr="009F7E24">
              <w:rPr>
                <w:rFonts w:cs="Arial"/>
                <w:b/>
                <w:lang w:val="de-CH"/>
              </w:rPr>
              <w:t>4740,9</w:t>
            </w:r>
          </w:p>
        </w:tc>
        <w:tc>
          <w:tcPr>
            <w:tcW w:w="649" w:type="pct"/>
            <w:tcBorders>
              <w:bottom w:val="single" w:sz="2" w:space="0" w:color="auto"/>
            </w:tcBorders>
            <w:vAlign w:val="center"/>
          </w:tcPr>
          <w:p w14:paraId="2DE78F3A" w14:textId="77777777" w:rsidR="003B3CC7" w:rsidRPr="009F7E24" w:rsidRDefault="003B3CC7" w:rsidP="007B12C8">
            <w:pPr>
              <w:ind w:right="171"/>
              <w:jc w:val="right"/>
              <w:rPr>
                <w:rFonts w:cs="Arial"/>
                <w:b/>
                <w:szCs w:val="18"/>
                <w:lang w:val="de-CH"/>
              </w:rPr>
            </w:pPr>
            <w:r w:rsidRPr="009F7E24">
              <w:rPr>
                <w:rFonts w:cs="Arial"/>
                <w:b/>
                <w:lang w:val="de-CH"/>
              </w:rPr>
              <w:t>4790,4</w:t>
            </w:r>
          </w:p>
        </w:tc>
        <w:tc>
          <w:tcPr>
            <w:tcW w:w="648" w:type="pct"/>
            <w:tcBorders>
              <w:bottom w:val="single" w:sz="2" w:space="0" w:color="auto"/>
            </w:tcBorders>
            <w:vAlign w:val="center"/>
          </w:tcPr>
          <w:p w14:paraId="276E7BE3" w14:textId="77777777" w:rsidR="003B3CC7" w:rsidRPr="009F7E24" w:rsidRDefault="003B3CC7" w:rsidP="007B12C8">
            <w:pPr>
              <w:ind w:right="171"/>
              <w:jc w:val="right"/>
              <w:rPr>
                <w:rFonts w:cs="Arial"/>
                <w:b/>
                <w:szCs w:val="18"/>
                <w:lang w:val="de-CH"/>
              </w:rPr>
            </w:pPr>
            <w:r w:rsidRPr="009F7E24">
              <w:rPr>
                <w:rFonts w:cs="Arial"/>
                <w:b/>
                <w:lang w:val="de-CH"/>
              </w:rPr>
              <w:t>+ 10,7</w:t>
            </w:r>
          </w:p>
        </w:tc>
      </w:tr>
      <w:tr w:rsidR="003B3CC7" w:rsidRPr="009F7E24" w14:paraId="5FF94F6B" w14:textId="77777777" w:rsidTr="007B12C8">
        <w:trPr>
          <w:cantSplit/>
        </w:trPr>
        <w:tc>
          <w:tcPr>
            <w:tcW w:w="1757" w:type="pct"/>
            <w:tcBorders>
              <w:top w:val="single" w:sz="2" w:space="0" w:color="auto"/>
              <w:bottom w:val="single" w:sz="2" w:space="0" w:color="auto"/>
            </w:tcBorders>
          </w:tcPr>
          <w:p w14:paraId="3AF442C5" w14:textId="77777777" w:rsidR="003B3CC7" w:rsidRPr="009F7E24" w:rsidRDefault="003B3CC7" w:rsidP="007B12C8">
            <w:pPr>
              <w:rPr>
                <w:rFonts w:cs="Arial"/>
                <w:bCs/>
                <w:szCs w:val="18"/>
                <w:lang w:val="de-CH"/>
              </w:rPr>
            </w:pPr>
            <w:r w:rsidRPr="009F7E24">
              <w:rPr>
                <w:rFonts w:cs="Arial"/>
                <w:lang w:val="de-CH"/>
              </w:rPr>
              <w:t>Fiskalertrag</w:t>
            </w:r>
          </w:p>
        </w:tc>
        <w:tc>
          <w:tcPr>
            <w:tcW w:w="648" w:type="pct"/>
            <w:tcBorders>
              <w:top w:val="single" w:sz="2" w:space="0" w:color="auto"/>
              <w:bottom w:val="single" w:sz="2" w:space="0" w:color="auto"/>
            </w:tcBorders>
            <w:vAlign w:val="center"/>
          </w:tcPr>
          <w:p w14:paraId="47B243AD" w14:textId="77777777" w:rsidR="003B3CC7" w:rsidRPr="009F7E24" w:rsidRDefault="003B3CC7" w:rsidP="007B12C8">
            <w:pPr>
              <w:ind w:right="85"/>
              <w:jc w:val="right"/>
              <w:rPr>
                <w:rFonts w:cs="Arial"/>
                <w:bCs/>
                <w:szCs w:val="18"/>
                <w:lang w:val="de-CH"/>
              </w:rPr>
            </w:pPr>
            <w:r w:rsidRPr="009F7E24">
              <w:rPr>
                <w:rFonts w:cs="Arial"/>
                <w:lang w:val="de-CH"/>
              </w:rPr>
              <w:t>1580,3</w:t>
            </w:r>
          </w:p>
        </w:tc>
        <w:tc>
          <w:tcPr>
            <w:tcW w:w="649" w:type="pct"/>
            <w:tcBorders>
              <w:top w:val="single" w:sz="2" w:space="0" w:color="auto"/>
              <w:bottom w:val="single" w:sz="2" w:space="0" w:color="auto"/>
            </w:tcBorders>
            <w:vAlign w:val="center"/>
          </w:tcPr>
          <w:p w14:paraId="1CDB21F6" w14:textId="77777777" w:rsidR="003B3CC7" w:rsidRPr="009F7E24" w:rsidRDefault="003B3CC7" w:rsidP="007B12C8">
            <w:pPr>
              <w:ind w:right="171"/>
              <w:jc w:val="right"/>
              <w:rPr>
                <w:rFonts w:cs="Arial"/>
                <w:bCs/>
                <w:szCs w:val="18"/>
                <w:lang w:val="de-CH"/>
              </w:rPr>
            </w:pPr>
            <w:r w:rsidRPr="009F7E24">
              <w:rPr>
                <w:rFonts w:cs="Arial"/>
                <w:lang w:val="de-CH"/>
              </w:rPr>
              <w:t>1606,3</w:t>
            </w:r>
          </w:p>
        </w:tc>
        <w:tc>
          <w:tcPr>
            <w:tcW w:w="649" w:type="pct"/>
            <w:tcBorders>
              <w:top w:val="single" w:sz="2" w:space="0" w:color="auto"/>
              <w:bottom w:val="single" w:sz="2" w:space="0" w:color="auto"/>
            </w:tcBorders>
            <w:vAlign w:val="center"/>
          </w:tcPr>
          <w:p w14:paraId="1DB2933D" w14:textId="77777777" w:rsidR="003B3CC7" w:rsidRPr="009F7E24" w:rsidRDefault="003B3CC7" w:rsidP="007B12C8">
            <w:pPr>
              <w:ind w:right="171"/>
              <w:jc w:val="right"/>
              <w:rPr>
                <w:rFonts w:cs="Arial"/>
                <w:bCs/>
                <w:szCs w:val="18"/>
                <w:lang w:val="de-CH"/>
              </w:rPr>
            </w:pPr>
            <w:r w:rsidRPr="009F7E24">
              <w:rPr>
                <w:rFonts w:cs="Arial"/>
                <w:lang w:val="de-CH"/>
              </w:rPr>
              <w:t>1657,9</w:t>
            </w:r>
          </w:p>
        </w:tc>
        <w:tc>
          <w:tcPr>
            <w:tcW w:w="649" w:type="pct"/>
            <w:tcBorders>
              <w:top w:val="single" w:sz="2" w:space="0" w:color="auto"/>
              <w:bottom w:val="single" w:sz="2" w:space="0" w:color="auto"/>
            </w:tcBorders>
            <w:vAlign w:val="center"/>
          </w:tcPr>
          <w:p w14:paraId="66C75FD4" w14:textId="77777777" w:rsidR="003B3CC7" w:rsidRPr="009F7E24" w:rsidRDefault="003B3CC7" w:rsidP="007B12C8">
            <w:pPr>
              <w:ind w:right="171"/>
              <w:jc w:val="right"/>
              <w:rPr>
                <w:rFonts w:cs="Arial"/>
                <w:bCs/>
                <w:szCs w:val="18"/>
                <w:lang w:val="de-CH"/>
              </w:rPr>
            </w:pPr>
            <w:r w:rsidRPr="009F7E24">
              <w:rPr>
                <w:rFonts w:cs="Arial"/>
                <w:lang w:val="de-CH"/>
              </w:rPr>
              <w:t>1699,4</w:t>
            </w:r>
          </w:p>
        </w:tc>
        <w:tc>
          <w:tcPr>
            <w:tcW w:w="648" w:type="pct"/>
            <w:tcBorders>
              <w:top w:val="single" w:sz="2" w:space="0" w:color="auto"/>
              <w:bottom w:val="single" w:sz="2" w:space="0" w:color="auto"/>
            </w:tcBorders>
            <w:vAlign w:val="center"/>
          </w:tcPr>
          <w:p w14:paraId="09B42B99" w14:textId="77777777" w:rsidR="003B3CC7" w:rsidRPr="009F7E24" w:rsidRDefault="003B3CC7" w:rsidP="007B12C8">
            <w:pPr>
              <w:ind w:right="171"/>
              <w:jc w:val="right"/>
              <w:rPr>
                <w:rFonts w:cs="Arial"/>
                <w:bCs/>
                <w:szCs w:val="18"/>
                <w:lang w:val="de-CH"/>
              </w:rPr>
            </w:pPr>
            <w:r w:rsidRPr="009F7E24">
              <w:rPr>
                <w:rFonts w:cs="Arial"/>
                <w:lang w:val="de-CH"/>
              </w:rPr>
              <w:t>+ 7,5</w:t>
            </w:r>
          </w:p>
        </w:tc>
      </w:tr>
      <w:tr w:rsidR="003B3CC7" w:rsidRPr="009F7E24" w14:paraId="3B76379C" w14:textId="77777777" w:rsidTr="007B12C8">
        <w:trPr>
          <w:cantSplit/>
        </w:trPr>
        <w:tc>
          <w:tcPr>
            <w:tcW w:w="1757" w:type="pct"/>
            <w:tcBorders>
              <w:top w:val="single" w:sz="2" w:space="0" w:color="auto"/>
              <w:bottom w:val="single" w:sz="2" w:space="0" w:color="auto"/>
            </w:tcBorders>
          </w:tcPr>
          <w:p w14:paraId="7A68969B" w14:textId="77777777" w:rsidR="003B3CC7" w:rsidRPr="009F7E24" w:rsidRDefault="003B3CC7" w:rsidP="007B12C8">
            <w:pPr>
              <w:rPr>
                <w:rFonts w:cs="Arial"/>
                <w:bCs/>
                <w:szCs w:val="18"/>
                <w:lang w:val="de-CH"/>
              </w:rPr>
            </w:pPr>
            <w:r w:rsidRPr="009F7E24">
              <w:rPr>
                <w:rFonts w:cs="Arial"/>
                <w:lang w:val="de-CH"/>
              </w:rPr>
              <w:t>Vermögensertrag, Entgelte</w:t>
            </w:r>
          </w:p>
        </w:tc>
        <w:tc>
          <w:tcPr>
            <w:tcW w:w="648" w:type="pct"/>
            <w:tcBorders>
              <w:top w:val="single" w:sz="2" w:space="0" w:color="auto"/>
              <w:bottom w:val="single" w:sz="2" w:space="0" w:color="auto"/>
            </w:tcBorders>
            <w:vAlign w:val="center"/>
          </w:tcPr>
          <w:p w14:paraId="1966B73D" w14:textId="77777777" w:rsidR="003B3CC7" w:rsidRPr="009F7E24" w:rsidRDefault="003B3CC7" w:rsidP="007B12C8">
            <w:pPr>
              <w:ind w:right="85"/>
              <w:jc w:val="right"/>
              <w:rPr>
                <w:rFonts w:cs="Arial"/>
                <w:bCs/>
                <w:szCs w:val="18"/>
                <w:lang w:val="de-CH"/>
              </w:rPr>
            </w:pPr>
            <w:r w:rsidRPr="009F7E24">
              <w:rPr>
                <w:rFonts w:cs="Arial"/>
                <w:lang w:val="de-CH"/>
              </w:rPr>
              <w:t>408,7</w:t>
            </w:r>
          </w:p>
        </w:tc>
        <w:tc>
          <w:tcPr>
            <w:tcW w:w="649" w:type="pct"/>
            <w:tcBorders>
              <w:top w:val="single" w:sz="2" w:space="0" w:color="auto"/>
              <w:bottom w:val="single" w:sz="2" w:space="0" w:color="auto"/>
            </w:tcBorders>
            <w:vAlign w:val="center"/>
          </w:tcPr>
          <w:p w14:paraId="14906D9D" w14:textId="77777777" w:rsidR="003B3CC7" w:rsidRPr="009F7E24" w:rsidRDefault="003B3CC7" w:rsidP="007B12C8">
            <w:pPr>
              <w:ind w:right="171"/>
              <w:jc w:val="right"/>
              <w:rPr>
                <w:rFonts w:cs="Arial"/>
                <w:bCs/>
                <w:szCs w:val="18"/>
                <w:lang w:val="de-CH"/>
              </w:rPr>
            </w:pPr>
            <w:r w:rsidRPr="009F7E24">
              <w:rPr>
                <w:rFonts w:cs="Arial"/>
                <w:lang w:val="de-CH"/>
              </w:rPr>
              <w:t>441,3</w:t>
            </w:r>
          </w:p>
        </w:tc>
        <w:tc>
          <w:tcPr>
            <w:tcW w:w="649" w:type="pct"/>
            <w:tcBorders>
              <w:top w:val="single" w:sz="2" w:space="0" w:color="auto"/>
              <w:bottom w:val="single" w:sz="2" w:space="0" w:color="auto"/>
            </w:tcBorders>
            <w:vAlign w:val="center"/>
          </w:tcPr>
          <w:p w14:paraId="03C9DA55" w14:textId="77777777" w:rsidR="003B3CC7" w:rsidRPr="009F7E24" w:rsidRDefault="003B3CC7" w:rsidP="007B12C8">
            <w:pPr>
              <w:ind w:right="171"/>
              <w:jc w:val="right"/>
              <w:rPr>
                <w:rFonts w:cs="Arial"/>
                <w:bCs/>
                <w:szCs w:val="18"/>
                <w:lang w:val="de-CH"/>
              </w:rPr>
            </w:pPr>
            <w:r w:rsidRPr="009F7E24">
              <w:rPr>
                <w:rFonts w:cs="Arial"/>
                <w:lang w:val="de-CH"/>
              </w:rPr>
              <w:t>471,0</w:t>
            </w:r>
          </w:p>
        </w:tc>
        <w:tc>
          <w:tcPr>
            <w:tcW w:w="649" w:type="pct"/>
            <w:tcBorders>
              <w:top w:val="single" w:sz="2" w:space="0" w:color="auto"/>
              <w:bottom w:val="single" w:sz="2" w:space="0" w:color="auto"/>
            </w:tcBorders>
            <w:vAlign w:val="center"/>
          </w:tcPr>
          <w:p w14:paraId="71C9AE7E" w14:textId="77777777" w:rsidR="003B3CC7" w:rsidRPr="009F7E24" w:rsidRDefault="003B3CC7" w:rsidP="007B12C8">
            <w:pPr>
              <w:ind w:right="171"/>
              <w:jc w:val="right"/>
              <w:rPr>
                <w:rFonts w:cs="Arial"/>
                <w:bCs/>
                <w:szCs w:val="18"/>
                <w:lang w:val="de-CH"/>
              </w:rPr>
            </w:pPr>
            <w:r w:rsidRPr="009F7E24">
              <w:rPr>
                <w:rFonts w:cs="Arial"/>
                <w:lang w:val="de-CH"/>
              </w:rPr>
              <w:t>484,4</w:t>
            </w:r>
          </w:p>
        </w:tc>
        <w:tc>
          <w:tcPr>
            <w:tcW w:w="648" w:type="pct"/>
            <w:tcBorders>
              <w:top w:val="single" w:sz="2" w:space="0" w:color="auto"/>
              <w:bottom w:val="single" w:sz="2" w:space="0" w:color="auto"/>
            </w:tcBorders>
            <w:vAlign w:val="center"/>
          </w:tcPr>
          <w:p w14:paraId="6137F9C7" w14:textId="77777777" w:rsidR="003B3CC7" w:rsidRPr="009F7E24" w:rsidRDefault="003B3CC7" w:rsidP="007B12C8">
            <w:pPr>
              <w:ind w:right="171"/>
              <w:jc w:val="right"/>
              <w:rPr>
                <w:rFonts w:cs="Arial"/>
                <w:bCs/>
                <w:szCs w:val="18"/>
                <w:lang w:val="de-CH"/>
              </w:rPr>
            </w:pPr>
            <w:r w:rsidRPr="009F7E24">
              <w:rPr>
                <w:rFonts w:cs="Arial"/>
                <w:lang w:val="de-CH"/>
              </w:rPr>
              <w:t>+ 18,5</w:t>
            </w:r>
          </w:p>
        </w:tc>
      </w:tr>
      <w:tr w:rsidR="003B3CC7" w:rsidRPr="009F7E24" w14:paraId="28390821" w14:textId="77777777" w:rsidTr="007B12C8">
        <w:trPr>
          <w:cantSplit/>
        </w:trPr>
        <w:tc>
          <w:tcPr>
            <w:tcW w:w="1757" w:type="pct"/>
            <w:tcBorders>
              <w:top w:val="single" w:sz="2" w:space="0" w:color="auto"/>
              <w:bottom w:val="single" w:sz="2" w:space="0" w:color="auto"/>
            </w:tcBorders>
          </w:tcPr>
          <w:p w14:paraId="4140403A" w14:textId="77777777" w:rsidR="003B3CC7" w:rsidRPr="009F7E24" w:rsidRDefault="003B3CC7" w:rsidP="007B12C8">
            <w:pPr>
              <w:rPr>
                <w:rFonts w:cs="Arial"/>
                <w:bCs/>
                <w:szCs w:val="18"/>
                <w:lang w:val="de-CH"/>
              </w:rPr>
            </w:pPr>
            <w:r w:rsidRPr="009F7E24">
              <w:rPr>
                <w:rFonts w:cs="Arial"/>
                <w:lang w:val="de-CH"/>
              </w:rPr>
              <w:t>Transferertrag</w:t>
            </w:r>
          </w:p>
        </w:tc>
        <w:tc>
          <w:tcPr>
            <w:tcW w:w="648" w:type="pct"/>
            <w:tcBorders>
              <w:top w:val="single" w:sz="2" w:space="0" w:color="auto"/>
              <w:bottom w:val="single" w:sz="2" w:space="0" w:color="auto"/>
            </w:tcBorders>
            <w:vAlign w:val="center"/>
          </w:tcPr>
          <w:p w14:paraId="58ECC1C4" w14:textId="77777777" w:rsidR="003B3CC7" w:rsidRPr="009F7E24" w:rsidRDefault="003B3CC7" w:rsidP="007B12C8">
            <w:pPr>
              <w:ind w:right="85"/>
              <w:jc w:val="right"/>
              <w:rPr>
                <w:rFonts w:cs="Arial"/>
                <w:bCs/>
                <w:szCs w:val="18"/>
                <w:lang w:val="de-CH"/>
              </w:rPr>
            </w:pPr>
            <w:r w:rsidRPr="009F7E24">
              <w:rPr>
                <w:rFonts w:cs="Arial"/>
                <w:lang w:val="de-CH"/>
              </w:rPr>
              <w:t>1537,7</w:t>
            </w:r>
          </w:p>
        </w:tc>
        <w:tc>
          <w:tcPr>
            <w:tcW w:w="649" w:type="pct"/>
            <w:tcBorders>
              <w:top w:val="single" w:sz="2" w:space="0" w:color="auto"/>
              <w:bottom w:val="single" w:sz="2" w:space="0" w:color="auto"/>
            </w:tcBorders>
            <w:vAlign w:val="center"/>
          </w:tcPr>
          <w:p w14:paraId="0DD26E19" w14:textId="77777777" w:rsidR="003B3CC7" w:rsidRPr="009F7E24" w:rsidRDefault="003B3CC7" w:rsidP="007B12C8">
            <w:pPr>
              <w:ind w:right="171"/>
              <w:jc w:val="right"/>
              <w:rPr>
                <w:rFonts w:cs="Arial"/>
                <w:bCs/>
                <w:szCs w:val="18"/>
                <w:lang w:val="de-CH"/>
              </w:rPr>
            </w:pPr>
            <w:r w:rsidRPr="009F7E24">
              <w:rPr>
                <w:rFonts w:cs="Arial"/>
                <w:lang w:val="de-CH"/>
              </w:rPr>
              <w:t>1589,0</w:t>
            </w:r>
          </w:p>
        </w:tc>
        <w:tc>
          <w:tcPr>
            <w:tcW w:w="649" w:type="pct"/>
            <w:tcBorders>
              <w:top w:val="single" w:sz="2" w:space="0" w:color="auto"/>
              <w:bottom w:val="single" w:sz="2" w:space="0" w:color="auto"/>
            </w:tcBorders>
            <w:vAlign w:val="center"/>
          </w:tcPr>
          <w:p w14:paraId="5CD66C27" w14:textId="77777777" w:rsidR="003B3CC7" w:rsidRPr="009F7E24" w:rsidRDefault="003B3CC7" w:rsidP="007B12C8">
            <w:pPr>
              <w:ind w:right="171"/>
              <w:jc w:val="right"/>
              <w:rPr>
                <w:rFonts w:cs="Arial"/>
                <w:bCs/>
                <w:szCs w:val="18"/>
                <w:lang w:val="de-CH"/>
              </w:rPr>
            </w:pPr>
            <w:r w:rsidRPr="009F7E24">
              <w:rPr>
                <w:rFonts w:cs="Arial"/>
                <w:lang w:val="de-CH"/>
              </w:rPr>
              <w:t>1622,2</w:t>
            </w:r>
          </w:p>
        </w:tc>
        <w:tc>
          <w:tcPr>
            <w:tcW w:w="649" w:type="pct"/>
            <w:tcBorders>
              <w:top w:val="single" w:sz="2" w:space="0" w:color="auto"/>
              <w:bottom w:val="single" w:sz="2" w:space="0" w:color="auto"/>
            </w:tcBorders>
            <w:vAlign w:val="center"/>
          </w:tcPr>
          <w:p w14:paraId="2900016A" w14:textId="77777777" w:rsidR="003B3CC7" w:rsidRPr="009F7E24" w:rsidRDefault="003B3CC7" w:rsidP="007B12C8">
            <w:pPr>
              <w:ind w:right="171"/>
              <w:jc w:val="right"/>
              <w:rPr>
                <w:rFonts w:cs="Arial"/>
                <w:bCs/>
                <w:szCs w:val="18"/>
                <w:lang w:val="de-CH"/>
              </w:rPr>
            </w:pPr>
            <w:r w:rsidRPr="009F7E24">
              <w:rPr>
                <w:rFonts w:cs="Arial"/>
                <w:lang w:val="de-CH"/>
              </w:rPr>
              <w:t>1665,3</w:t>
            </w:r>
          </w:p>
        </w:tc>
        <w:tc>
          <w:tcPr>
            <w:tcW w:w="648" w:type="pct"/>
            <w:tcBorders>
              <w:top w:val="single" w:sz="2" w:space="0" w:color="auto"/>
              <w:bottom w:val="single" w:sz="2" w:space="0" w:color="auto"/>
            </w:tcBorders>
            <w:vAlign w:val="center"/>
          </w:tcPr>
          <w:p w14:paraId="004312E8" w14:textId="77777777" w:rsidR="003B3CC7" w:rsidRPr="009F7E24" w:rsidRDefault="003B3CC7" w:rsidP="007B12C8">
            <w:pPr>
              <w:ind w:right="171"/>
              <w:jc w:val="right"/>
              <w:rPr>
                <w:rFonts w:cs="Arial"/>
                <w:bCs/>
                <w:szCs w:val="18"/>
                <w:lang w:val="de-CH"/>
              </w:rPr>
            </w:pPr>
            <w:r w:rsidRPr="009F7E24">
              <w:rPr>
                <w:rFonts w:cs="Arial"/>
                <w:lang w:val="de-CH"/>
              </w:rPr>
              <w:t>+ 8,3</w:t>
            </w:r>
          </w:p>
        </w:tc>
      </w:tr>
      <w:tr w:rsidR="003B3CC7" w:rsidRPr="009F7E24" w14:paraId="6A0EC8F8" w14:textId="77777777" w:rsidTr="007B12C8">
        <w:trPr>
          <w:cantSplit/>
        </w:trPr>
        <w:tc>
          <w:tcPr>
            <w:tcW w:w="1757" w:type="pct"/>
            <w:tcBorders>
              <w:top w:val="single" w:sz="2" w:space="0" w:color="auto"/>
              <w:bottom w:val="single" w:sz="2" w:space="0" w:color="auto"/>
            </w:tcBorders>
          </w:tcPr>
          <w:p w14:paraId="2EF99629" w14:textId="77777777" w:rsidR="003B3CC7" w:rsidRPr="009F7E24" w:rsidRDefault="003B3CC7" w:rsidP="007B12C8">
            <w:pPr>
              <w:rPr>
                <w:rFonts w:cs="Arial"/>
                <w:bCs/>
                <w:szCs w:val="18"/>
                <w:lang w:val="de-CH"/>
              </w:rPr>
            </w:pPr>
            <w:r w:rsidRPr="009F7E24">
              <w:rPr>
                <w:rFonts w:cs="Arial"/>
                <w:lang w:val="de-CH"/>
              </w:rPr>
              <w:t>Finanzausgleich des Bundes</w:t>
            </w:r>
          </w:p>
        </w:tc>
        <w:tc>
          <w:tcPr>
            <w:tcW w:w="648" w:type="pct"/>
            <w:tcBorders>
              <w:top w:val="single" w:sz="2" w:space="0" w:color="auto"/>
              <w:bottom w:val="single" w:sz="2" w:space="0" w:color="auto"/>
            </w:tcBorders>
            <w:vAlign w:val="center"/>
          </w:tcPr>
          <w:p w14:paraId="38025F4A" w14:textId="77777777" w:rsidR="003B3CC7" w:rsidRPr="009F7E24" w:rsidRDefault="003B3CC7" w:rsidP="007B12C8">
            <w:pPr>
              <w:ind w:right="85"/>
              <w:jc w:val="right"/>
              <w:rPr>
                <w:rFonts w:cs="Arial"/>
                <w:bCs/>
                <w:szCs w:val="18"/>
                <w:lang w:val="de-CH"/>
              </w:rPr>
            </w:pPr>
            <w:r w:rsidRPr="009F7E24">
              <w:rPr>
                <w:rFonts w:cs="Arial"/>
                <w:lang w:val="de-CH"/>
              </w:rPr>
              <w:t>606,4</w:t>
            </w:r>
          </w:p>
        </w:tc>
        <w:tc>
          <w:tcPr>
            <w:tcW w:w="649" w:type="pct"/>
            <w:tcBorders>
              <w:top w:val="single" w:sz="2" w:space="0" w:color="auto"/>
              <w:bottom w:val="single" w:sz="2" w:space="0" w:color="auto"/>
            </w:tcBorders>
            <w:vAlign w:val="center"/>
          </w:tcPr>
          <w:p w14:paraId="4E0E5CCB" w14:textId="77777777" w:rsidR="003B3CC7" w:rsidRPr="009F7E24" w:rsidRDefault="003B3CC7" w:rsidP="007B12C8">
            <w:pPr>
              <w:ind w:right="171"/>
              <w:jc w:val="right"/>
              <w:rPr>
                <w:rFonts w:cs="Arial"/>
                <w:bCs/>
                <w:szCs w:val="18"/>
                <w:lang w:val="de-CH"/>
              </w:rPr>
            </w:pPr>
            <w:r w:rsidRPr="009F7E24">
              <w:rPr>
                <w:rFonts w:cs="Arial"/>
                <w:lang w:val="de-CH"/>
              </w:rPr>
              <w:t>585,3</w:t>
            </w:r>
          </w:p>
        </w:tc>
        <w:tc>
          <w:tcPr>
            <w:tcW w:w="649" w:type="pct"/>
            <w:tcBorders>
              <w:top w:val="single" w:sz="2" w:space="0" w:color="auto"/>
              <w:bottom w:val="single" w:sz="2" w:space="0" w:color="auto"/>
            </w:tcBorders>
            <w:vAlign w:val="center"/>
          </w:tcPr>
          <w:p w14:paraId="180AB975" w14:textId="77777777" w:rsidR="003B3CC7" w:rsidRPr="009F7E24" w:rsidRDefault="003B3CC7" w:rsidP="007B12C8">
            <w:pPr>
              <w:ind w:right="171"/>
              <w:jc w:val="right"/>
              <w:rPr>
                <w:rFonts w:cs="Arial"/>
                <w:bCs/>
                <w:szCs w:val="18"/>
                <w:lang w:val="de-CH"/>
              </w:rPr>
            </w:pPr>
            <w:r w:rsidRPr="009F7E24">
              <w:rPr>
                <w:rFonts w:cs="Arial"/>
                <w:lang w:val="de-CH"/>
              </w:rPr>
              <w:t>620,5</w:t>
            </w:r>
          </w:p>
        </w:tc>
        <w:tc>
          <w:tcPr>
            <w:tcW w:w="649" w:type="pct"/>
            <w:tcBorders>
              <w:top w:val="single" w:sz="2" w:space="0" w:color="auto"/>
              <w:bottom w:val="single" w:sz="2" w:space="0" w:color="auto"/>
            </w:tcBorders>
            <w:vAlign w:val="center"/>
          </w:tcPr>
          <w:p w14:paraId="6E796B95" w14:textId="77777777" w:rsidR="003B3CC7" w:rsidRPr="009F7E24" w:rsidRDefault="003B3CC7" w:rsidP="007B12C8">
            <w:pPr>
              <w:ind w:right="171"/>
              <w:jc w:val="right"/>
              <w:rPr>
                <w:rFonts w:cs="Arial"/>
                <w:bCs/>
                <w:szCs w:val="18"/>
                <w:lang w:val="de-CH"/>
              </w:rPr>
            </w:pPr>
            <w:r w:rsidRPr="009F7E24">
              <w:rPr>
                <w:rFonts w:cs="Arial"/>
                <w:lang w:val="de-CH"/>
              </w:rPr>
              <w:t>643,6</w:t>
            </w:r>
          </w:p>
        </w:tc>
        <w:tc>
          <w:tcPr>
            <w:tcW w:w="648" w:type="pct"/>
            <w:tcBorders>
              <w:top w:val="single" w:sz="2" w:space="0" w:color="auto"/>
              <w:bottom w:val="single" w:sz="2" w:space="0" w:color="auto"/>
            </w:tcBorders>
            <w:vAlign w:val="center"/>
          </w:tcPr>
          <w:p w14:paraId="4321282B" w14:textId="77777777" w:rsidR="003B3CC7" w:rsidRPr="009F7E24" w:rsidRDefault="003B3CC7" w:rsidP="007B12C8">
            <w:pPr>
              <w:ind w:right="171"/>
              <w:jc w:val="right"/>
              <w:rPr>
                <w:rFonts w:cs="Arial"/>
                <w:bCs/>
                <w:szCs w:val="18"/>
                <w:lang w:val="de-CH"/>
              </w:rPr>
            </w:pPr>
            <w:r w:rsidRPr="009F7E24">
              <w:rPr>
                <w:rFonts w:cs="Arial"/>
                <w:lang w:val="de-CH"/>
              </w:rPr>
              <w:t>+ 6,1</w:t>
            </w:r>
          </w:p>
        </w:tc>
      </w:tr>
      <w:tr w:rsidR="003B3CC7" w:rsidRPr="009F7E24" w14:paraId="3848D726" w14:textId="77777777" w:rsidTr="007B12C8">
        <w:trPr>
          <w:cantSplit/>
        </w:trPr>
        <w:tc>
          <w:tcPr>
            <w:tcW w:w="1757" w:type="pct"/>
            <w:tcBorders>
              <w:top w:val="single" w:sz="2" w:space="0" w:color="auto"/>
              <w:bottom w:val="single" w:sz="8" w:space="0" w:color="auto"/>
            </w:tcBorders>
          </w:tcPr>
          <w:p w14:paraId="5440B9A5" w14:textId="77777777" w:rsidR="003B3CC7" w:rsidRPr="009F7E24" w:rsidRDefault="003B3CC7" w:rsidP="007B12C8">
            <w:pPr>
              <w:rPr>
                <w:rFonts w:cs="Arial"/>
                <w:b/>
                <w:szCs w:val="18"/>
                <w:lang w:val="de-CH"/>
              </w:rPr>
            </w:pPr>
            <w:r w:rsidRPr="009F7E24">
              <w:rPr>
                <w:rFonts w:cs="Arial"/>
                <w:lang w:val="de-CH"/>
              </w:rPr>
              <w:t>Spezialfinanzierungen und Buchertrag</w:t>
            </w:r>
          </w:p>
        </w:tc>
        <w:tc>
          <w:tcPr>
            <w:tcW w:w="648" w:type="pct"/>
            <w:tcBorders>
              <w:top w:val="single" w:sz="2" w:space="0" w:color="auto"/>
              <w:bottom w:val="single" w:sz="8" w:space="0" w:color="auto"/>
            </w:tcBorders>
            <w:vAlign w:val="center"/>
          </w:tcPr>
          <w:p w14:paraId="521EC9D4" w14:textId="77777777" w:rsidR="003B3CC7" w:rsidRPr="009F7E24" w:rsidRDefault="003B3CC7" w:rsidP="007B12C8">
            <w:pPr>
              <w:ind w:right="85"/>
              <w:jc w:val="right"/>
              <w:rPr>
                <w:rFonts w:cs="Arial"/>
                <w:bCs/>
                <w:szCs w:val="18"/>
                <w:lang w:val="de-CH"/>
              </w:rPr>
            </w:pPr>
            <w:r w:rsidRPr="009F7E24">
              <w:rPr>
                <w:rFonts w:cs="Arial"/>
                <w:lang w:val="de-CH"/>
              </w:rPr>
              <w:t>193,7</w:t>
            </w:r>
          </w:p>
        </w:tc>
        <w:tc>
          <w:tcPr>
            <w:tcW w:w="649" w:type="pct"/>
            <w:tcBorders>
              <w:top w:val="single" w:sz="2" w:space="0" w:color="auto"/>
              <w:bottom w:val="single" w:sz="8" w:space="0" w:color="auto"/>
            </w:tcBorders>
            <w:vAlign w:val="center"/>
          </w:tcPr>
          <w:p w14:paraId="0231B086" w14:textId="77777777" w:rsidR="003B3CC7" w:rsidRPr="009F7E24" w:rsidRDefault="003B3CC7" w:rsidP="007B12C8">
            <w:pPr>
              <w:ind w:right="171"/>
              <w:jc w:val="right"/>
              <w:rPr>
                <w:rFonts w:cs="Arial"/>
                <w:bCs/>
                <w:szCs w:val="18"/>
                <w:lang w:val="de-CH"/>
              </w:rPr>
            </w:pPr>
            <w:r w:rsidRPr="009F7E24">
              <w:rPr>
                <w:rFonts w:cs="Arial"/>
                <w:lang w:val="de-CH"/>
              </w:rPr>
              <w:t>187,5</w:t>
            </w:r>
          </w:p>
        </w:tc>
        <w:tc>
          <w:tcPr>
            <w:tcW w:w="649" w:type="pct"/>
            <w:tcBorders>
              <w:top w:val="single" w:sz="2" w:space="0" w:color="auto"/>
              <w:bottom w:val="single" w:sz="8" w:space="0" w:color="auto"/>
            </w:tcBorders>
            <w:vAlign w:val="center"/>
          </w:tcPr>
          <w:p w14:paraId="474DA460" w14:textId="77777777" w:rsidR="003B3CC7" w:rsidRPr="009F7E24" w:rsidRDefault="003B3CC7" w:rsidP="007B12C8">
            <w:pPr>
              <w:ind w:right="171"/>
              <w:jc w:val="right"/>
              <w:rPr>
                <w:rFonts w:cs="Arial"/>
                <w:bCs/>
                <w:szCs w:val="18"/>
                <w:lang w:val="de-CH"/>
              </w:rPr>
            </w:pPr>
            <w:r w:rsidRPr="009F7E24">
              <w:rPr>
                <w:rFonts w:cs="Arial"/>
                <w:lang w:val="de-CH"/>
              </w:rPr>
              <w:t>218,8</w:t>
            </w:r>
          </w:p>
        </w:tc>
        <w:tc>
          <w:tcPr>
            <w:tcW w:w="649" w:type="pct"/>
            <w:tcBorders>
              <w:top w:val="single" w:sz="2" w:space="0" w:color="auto"/>
              <w:bottom w:val="single" w:sz="8" w:space="0" w:color="auto"/>
            </w:tcBorders>
            <w:vAlign w:val="center"/>
          </w:tcPr>
          <w:p w14:paraId="08A7CA5A" w14:textId="77777777" w:rsidR="003B3CC7" w:rsidRPr="009F7E24" w:rsidRDefault="003B3CC7" w:rsidP="007B12C8">
            <w:pPr>
              <w:ind w:right="171"/>
              <w:jc w:val="right"/>
              <w:rPr>
                <w:rFonts w:cs="Arial"/>
                <w:bCs/>
                <w:szCs w:val="18"/>
                <w:lang w:val="de-CH"/>
              </w:rPr>
            </w:pPr>
            <w:r w:rsidRPr="009F7E24">
              <w:rPr>
                <w:rFonts w:cs="Arial"/>
                <w:lang w:val="de-CH"/>
              </w:rPr>
              <w:t>158,7</w:t>
            </w:r>
          </w:p>
        </w:tc>
        <w:tc>
          <w:tcPr>
            <w:tcW w:w="648" w:type="pct"/>
            <w:tcBorders>
              <w:top w:val="single" w:sz="2" w:space="0" w:color="auto"/>
              <w:bottom w:val="single" w:sz="8" w:space="0" w:color="auto"/>
            </w:tcBorders>
            <w:vAlign w:val="center"/>
          </w:tcPr>
          <w:p w14:paraId="280A9026" w14:textId="77777777" w:rsidR="003B3CC7" w:rsidRPr="009F7E24" w:rsidRDefault="003B3CC7" w:rsidP="007B12C8">
            <w:pPr>
              <w:ind w:right="171"/>
              <w:jc w:val="right"/>
              <w:rPr>
                <w:rFonts w:cs="Arial"/>
                <w:bCs/>
                <w:szCs w:val="18"/>
                <w:lang w:val="de-CH"/>
              </w:rPr>
            </w:pPr>
            <w:r w:rsidRPr="009F7E24">
              <w:rPr>
                <w:rFonts w:cs="Arial"/>
                <w:lang w:val="de-CH"/>
              </w:rPr>
              <w:t>– 18,1</w:t>
            </w:r>
          </w:p>
        </w:tc>
      </w:tr>
      <w:tr w:rsidR="003B3CC7" w:rsidRPr="009F7E24" w14:paraId="1B85958F" w14:textId="77777777" w:rsidTr="007B12C8">
        <w:trPr>
          <w:cantSplit/>
        </w:trPr>
        <w:tc>
          <w:tcPr>
            <w:tcW w:w="1757" w:type="pct"/>
            <w:tcBorders>
              <w:top w:val="single" w:sz="8" w:space="0" w:color="auto"/>
            </w:tcBorders>
          </w:tcPr>
          <w:p w14:paraId="5D72A25F" w14:textId="77777777" w:rsidR="003B3CC7" w:rsidRPr="009F7E24" w:rsidRDefault="003B3CC7" w:rsidP="007B12C8">
            <w:pPr>
              <w:rPr>
                <w:rFonts w:cs="Arial"/>
                <w:b/>
                <w:szCs w:val="18"/>
                <w:lang w:val="de-CH"/>
              </w:rPr>
            </w:pPr>
            <w:r w:rsidRPr="009F7E24">
              <w:rPr>
                <w:rFonts w:cs="Arial"/>
                <w:b/>
                <w:lang w:val="de-CH"/>
              </w:rPr>
              <w:t>Total Einnahmen</w:t>
            </w:r>
          </w:p>
        </w:tc>
        <w:tc>
          <w:tcPr>
            <w:tcW w:w="648" w:type="pct"/>
            <w:tcBorders>
              <w:top w:val="single" w:sz="8" w:space="0" w:color="auto"/>
            </w:tcBorders>
            <w:vAlign w:val="center"/>
          </w:tcPr>
          <w:p w14:paraId="11CC00FD" w14:textId="77777777" w:rsidR="003B3CC7" w:rsidRPr="009F7E24" w:rsidRDefault="003B3CC7" w:rsidP="007B12C8">
            <w:pPr>
              <w:ind w:right="85"/>
              <w:jc w:val="right"/>
              <w:rPr>
                <w:rFonts w:cs="Arial"/>
                <w:b/>
                <w:szCs w:val="18"/>
                <w:lang w:val="de-CH"/>
              </w:rPr>
            </w:pPr>
            <w:r w:rsidRPr="009F7E24">
              <w:rPr>
                <w:rFonts w:cs="Arial"/>
                <w:b/>
                <w:lang w:val="de-CH"/>
              </w:rPr>
              <w:t>4326,8</w:t>
            </w:r>
          </w:p>
        </w:tc>
        <w:tc>
          <w:tcPr>
            <w:tcW w:w="649" w:type="pct"/>
            <w:tcBorders>
              <w:top w:val="single" w:sz="8" w:space="0" w:color="auto"/>
            </w:tcBorders>
            <w:vAlign w:val="center"/>
          </w:tcPr>
          <w:p w14:paraId="5A4EA1A8" w14:textId="77777777" w:rsidR="003B3CC7" w:rsidRPr="009F7E24" w:rsidRDefault="003B3CC7" w:rsidP="007B12C8">
            <w:pPr>
              <w:ind w:right="171"/>
              <w:jc w:val="right"/>
              <w:rPr>
                <w:rFonts w:cs="Arial"/>
                <w:b/>
                <w:szCs w:val="18"/>
                <w:lang w:val="de-CH"/>
              </w:rPr>
            </w:pPr>
            <w:r w:rsidRPr="009F7E24">
              <w:rPr>
                <w:rFonts w:cs="Arial"/>
                <w:b/>
                <w:lang w:val="de-CH"/>
              </w:rPr>
              <w:t>4409,4</w:t>
            </w:r>
          </w:p>
        </w:tc>
        <w:tc>
          <w:tcPr>
            <w:tcW w:w="649" w:type="pct"/>
            <w:tcBorders>
              <w:top w:val="single" w:sz="8" w:space="0" w:color="auto"/>
            </w:tcBorders>
            <w:vAlign w:val="center"/>
          </w:tcPr>
          <w:p w14:paraId="159C8945" w14:textId="77777777" w:rsidR="003B3CC7" w:rsidRPr="009F7E24" w:rsidRDefault="003B3CC7" w:rsidP="007B12C8">
            <w:pPr>
              <w:ind w:right="171"/>
              <w:jc w:val="right"/>
              <w:rPr>
                <w:rFonts w:cs="Arial"/>
                <w:b/>
                <w:szCs w:val="18"/>
                <w:lang w:val="de-CH"/>
              </w:rPr>
            </w:pPr>
            <w:r w:rsidRPr="009F7E24">
              <w:rPr>
                <w:rFonts w:cs="Arial"/>
                <w:b/>
                <w:lang w:val="de-CH"/>
              </w:rPr>
              <w:t>4590,4</w:t>
            </w:r>
          </w:p>
        </w:tc>
        <w:tc>
          <w:tcPr>
            <w:tcW w:w="649" w:type="pct"/>
            <w:tcBorders>
              <w:top w:val="single" w:sz="8" w:space="0" w:color="auto"/>
            </w:tcBorders>
            <w:vAlign w:val="center"/>
          </w:tcPr>
          <w:p w14:paraId="314ACA60" w14:textId="77777777" w:rsidR="003B3CC7" w:rsidRPr="009F7E24" w:rsidRDefault="003B3CC7" w:rsidP="007B12C8">
            <w:pPr>
              <w:ind w:right="171"/>
              <w:jc w:val="right"/>
              <w:rPr>
                <w:rFonts w:cs="Arial"/>
                <w:b/>
                <w:szCs w:val="18"/>
                <w:lang w:val="de-CH"/>
              </w:rPr>
            </w:pPr>
            <w:r w:rsidRPr="009F7E24">
              <w:rPr>
                <w:rFonts w:cs="Arial"/>
                <w:b/>
                <w:lang w:val="de-CH"/>
              </w:rPr>
              <w:t>4651,4</w:t>
            </w:r>
          </w:p>
        </w:tc>
        <w:tc>
          <w:tcPr>
            <w:tcW w:w="648" w:type="pct"/>
            <w:tcBorders>
              <w:top w:val="single" w:sz="8" w:space="0" w:color="auto"/>
            </w:tcBorders>
            <w:vAlign w:val="center"/>
          </w:tcPr>
          <w:p w14:paraId="1D428218" w14:textId="77777777" w:rsidR="003B3CC7" w:rsidRPr="009F7E24" w:rsidRDefault="003B3CC7" w:rsidP="007B12C8">
            <w:pPr>
              <w:ind w:right="171"/>
              <w:jc w:val="right"/>
              <w:rPr>
                <w:rFonts w:cs="Arial"/>
                <w:b/>
                <w:szCs w:val="18"/>
                <w:lang w:val="de-CH"/>
              </w:rPr>
            </w:pPr>
            <w:r w:rsidRPr="009F7E24">
              <w:rPr>
                <w:rFonts w:cs="Arial"/>
                <w:b/>
                <w:lang w:val="de-CH"/>
              </w:rPr>
              <w:t>+ 7,5</w:t>
            </w:r>
          </w:p>
        </w:tc>
      </w:tr>
    </w:tbl>
    <w:p w14:paraId="6EC74352" w14:textId="77777777" w:rsidR="003B3CC7" w:rsidRPr="009F7E24" w:rsidRDefault="003B3CC7" w:rsidP="003B3CC7">
      <w:pPr>
        <w:pStyle w:val="Corpsdetexte"/>
        <w:rPr>
          <w:lang w:val="de-CH"/>
        </w:rPr>
      </w:pPr>
    </w:p>
    <w:p w14:paraId="4901969D" w14:textId="2104C9F8" w:rsidR="00826D85" w:rsidRDefault="003B3CC7" w:rsidP="004230AF">
      <w:pPr>
        <w:pStyle w:val="Corpsdetexte"/>
        <w:rPr>
          <w:noProof/>
        </w:rPr>
      </w:pPr>
      <w:r w:rsidRPr="009F7E24">
        <w:rPr>
          <w:noProof/>
          <w:lang w:val="de-CH"/>
        </w:rPr>
        <w:drawing>
          <wp:inline distT="0" distB="0" distL="0" distR="0" wp14:anchorId="4FC503FD" wp14:editId="64F8A403">
            <wp:extent cx="6299200" cy="3779520"/>
            <wp:effectExtent l="0" t="0" r="6350" b="0"/>
            <wp:docPr id="1783915790" name="Graphique 1">
              <a:extLst xmlns:a="http://schemas.openxmlformats.org/drawingml/2006/main">
                <a:ext uri="{FF2B5EF4-FFF2-40B4-BE49-F238E27FC236}">
                  <a16:creationId xmlns:a16="http://schemas.microsoft.com/office/drawing/2014/main" id="{B181C4F2-BFDE-41C6-8B17-61766A787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53B294" w14:textId="77777777" w:rsidR="003B3CC7" w:rsidRPr="00FE3A13" w:rsidRDefault="003B3CC7" w:rsidP="004230AF">
      <w:pPr>
        <w:pStyle w:val="Corpsdetexte"/>
      </w:pPr>
    </w:p>
    <w:p w14:paraId="74D9640C" w14:textId="5D3F8B2E" w:rsidR="00826D85" w:rsidRDefault="003B3CC7" w:rsidP="004230AF">
      <w:pPr>
        <w:pStyle w:val="Corpsdetexte"/>
        <w:rPr>
          <w:lang w:val="de-CH"/>
        </w:rPr>
      </w:pPr>
      <w:r w:rsidRPr="009F7E24">
        <w:rPr>
          <w:lang w:val="de-CH"/>
        </w:rPr>
        <w:t>Diese negativen Aussichten haben bestätigt, dass es nachdrückliche und entschlossene Massnahmen sowohl auf der Ebene des Staatsrats als auch des Grossen Rates braucht, um die Kantonsfinanzen im Griff zu behalten und dem Staat wieder die Handhabe zur Bewältigung der grossen Herausforderungen der kommenden Jahre zu geben.</w:t>
      </w:r>
    </w:p>
    <w:p w14:paraId="31306D29" w14:textId="053D6E77" w:rsidR="004F774F" w:rsidRPr="00EB6310" w:rsidRDefault="004F774F" w:rsidP="007E4628">
      <w:pPr>
        <w:pStyle w:val="Titre2"/>
        <w:rPr>
          <w:lang w:val="de-CH"/>
        </w:rPr>
      </w:pPr>
      <w:bookmarkStart w:id="4" w:name="_Toc196226195"/>
      <w:r w:rsidRPr="00EB6310">
        <w:rPr>
          <w:lang w:val="de-CH"/>
        </w:rPr>
        <w:lastRenderedPageBreak/>
        <w:t xml:space="preserve">Ungewissheit </w:t>
      </w:r>
      <w:r w:rsidRPr="002A5240">
        <w:rPr>
          <w:lang w:val="de-CH"/>
        </w:rPr>
        <w:t>über die Entwicklung der</w:t>
      </w:r>
      <w:r w:rsidRPr="00EB6310">
        <w:rPr>
          <w:lang w:val="de-CH"/>
        </w:rPr>
        <w:t xml:space="preserve"> externen Einnahmen</w:t>
      </w:r>
      <w:bookmarkEnd w:id="4"/>
    </w:p>
    <w:p w14:paraId="29D8877A" w14:textId="24EC22D8" w:rsidR="004F774F" w:rsidRPr="00EB6310" w:rsidRDefault="00C53327" w:rsidP="004F774F">
      <w:pPr>
        <w:pStyle w:val="Corpsdetexte"/>
        <w:rPr>
          <w:lang w:val="de-CH"/>
        </w:rPr>
      </w:pPr>
      <w:r>
        <w:rPr>
          <w:lang w:val="de-CH"/>
        </w:rPr>
        <w:t>Über</w:t>
      </w:r>
      <w:r w:rsidR="004F774F" w:rsidRPr="00EB6310">
        <w:rPr>
          <w:lang w:val="de-CH"/>
        </w:rPr>
        <w:t xml:space="preserve"> den Finanzplanzeitraum hinaus ist der Staatsrat besorgt darüber, dass ein immer grö</w:t>
      </w:r>
      <w:r w:rsidR="004F774F">
        <w:rPr>
          <w:lang w:val="de-CH"/>
        </w:rPr>
        <w:t>ss</w:t>
      </w:r>
      <w:r w:rsidR="004F774F" w:rsidRPr="00EB6310">
        <w:rPr>
          <w:lang w:val="de-CH"/>
        </w:rPr>
        <w:t xml:space="preserve">erer Teil der Einnahmen des Staates Freiburg aus externen Quellen stammt, auf die er nur sehr wenig Einfluss hat. </w:t>
      </w:r>
      <w:r w:rsidR="00B36017" w:rsidRPr="00EB6310">
        <w:rPr>
          <w:lang w:val="de-CH"/>
        </w:rPr>
        <w:t>Dies gilt insbesondere für den Finanzausgleich zwischen Bund und Kantonen</w:t>
      </w:r>
      <w:r w:rsidR="004F774F" w:rsidRPr="00EB6310">
        <w:rPr>
          <w:lang w:val="de-CH"/>
        </w:rPr>
        <w:t>. 2024</w:t>
      </w:r>
      <w:r w:rsidR="00B36017" w:rsidRPr="00EB6310">
        <w:rPr>
          <w:lang w:val="de-CH"/>
        </w:rPr>
        <w:t xml:space="preserve"> erhielt der Staat Freiburg rund</w:t>
      </w:r>
      <w:r w:rsidR="004F774F" w:rsidRPr="00EB6310">
        <w:rPr>
          <w:lang w:val="de-CH"/>
        </w:rPr>
        <w:t xml:space="preserve"> 617</w:t>
      </w:r>
      <w:r>
        <w:rPr>
          <w:lang w:val="de-CH"/>
        </w:rPr>
        <w:t> </w:t>
      </w:r>
      <w:r w:rsidR="00B36017">
        <w:rPr>
          <w:lang w:val="de-CH"/>
        </w:rPr>
        <w:t>Millionen Franken aus dem Finanzausgleich</w:t>
      </w:r>
      <w:r w:rsidR="004F774F" w:rsidRPr="00EB6310">
        <w:rPr>
          <w:lang w:val="de-CH"/>
        </w:rPr>
        <w:t xml:space="preserve">. </w:t>
      </w:r>
      <w:r w:rsidR="00B36017" w:rsidRPr="00B36017">
        <w:rPr>
          <w:lang w:val="de-CH"/>
        </w:rPr>
        <w:t>Der A</w:t>
      </w:r>
      <w:r w:rsidR="00B36017" w:rsidRPr="00EB6310">
        <w:rPr>
          <w:lang w:val="de-CH"/>
        </w:rPr>
        <w:t>nteil des Finanzausgleichs an den Gesamteinnahmen des Staates hat sich in den letzten zehn Jahren immer weiter erhöht un</w:t>
      </w:r>
      <w:r w:rsidR="00B36017">
        <w:rPr>
          <w:lang w:val="de-CH"/>
        </w:rPr>
        <w:t xml:space="preserve">d ist von </w:t>
      </w:r>
      <w:r w:rsidR="004F774F" w:rsidRPr="00EB6310">
        <w:rPr>
          <w:lang w:val="de-CH"/>
        </w:rPr>
        <w:t>12</w:t>
      </w:r>
      <w:r w:rsidR="00B36017">
        <w:rPr>
          <w:lang w:val="de-CH"/>
        </w:rPr>
        <w:t>,</w:t>
      </w:r>
      <w:r w:rsidR="004F774F" w:rsidRPr="00EB6310">
        <w:rPr>
          <w:lang w:val="de-CH"/>
        </w:rPr>
        <w:t>3</w:t>
      </w:r>
      <w:r w:rsidR="006F6302">
        <w:rPr>
          <w:lang w:val="de-CH"/>
        </w:rPr>
        <w:t> </w:t>
      </w:r>
      <w:r w:rsidR="004F774F" w:rsidRPr="00EB6310">
        <w:rPr>
          <w:lang w:val="de-CH"/>
        </w:rPr>
        <w:t xml:space="preserve">% </w:t>
      </w:r>
      <w:r w:rsidR="00B36017">
        <w:rPr>
          <w:lang w:val="de-CH"/>
        </w:rPr>
        <w:t>im Jahr</w:t>
      </w:r>
      <w:r w:rsidR="004F774F" w:rsidRPr="00EB6310">
        <w:rPr>
          <w:lang w:val="de-CH"/>
        </w:rPr>
        <w:t xml:space="preserve"> 2015 </w:t>
      </w:r>
      <w:r w:rsidR="00B36017">
        <w:rPr>
          <w:lang w:val="de-CH"/>
        </w:rPr>
        <w:t xml:space="preserve">auf </w:t>
      </w:r>
      <w:r w:rsidR="004F774F" w:rsidRPr="00EB6310">
        <w:rPr>
          <w:lang w:val="de-CH"/>
        </w:rPr>
        <w:t>14</w:t>
      </w:r>
      <w:r w:rsidR="00B36017">
        <w:rPr>
          <w:lang w:val="de-CH"/>
        </w:rPr>
        <w:t>,</w:t>
      </w:r>
      <w:r w:rsidR="004F774F" w:rsidRPr="00EB6310">
        <w:rPr>
          <w:lang w:val="de-CH"/>
        </w:rPr>
        <w:t>2</w:t>
      </w:r>
      <w:r w:rsidR="006F6302">
        <w:rPr>
          <w:lang w:val="de-CH"/>
        </w:rPr>
        <w:t> </w:t>
      </w:r>
      <w:r w:rsidR="004F774F" w:rsidRPr="00EB6310">
        <w:rPr>
          <w:lang w:val="de-CH"/>
        </w:rPr>
        <w:t xml:space="preserve">% </w:t>
      </w:r>
      <w:r w:rsidR="00B36017">
        <w:rPr>
          <w:lang w:val="de-CH"/>
        </w:rPr>
        <w:t xml:space="preserve">im Jahr </w:t>
      </w:r>
      <w:r w:rsidR="004F774F" w:rsidRPr="00EB6310">
        <w:rPr>
          <w:lang w:val="de-CH"/>
        </w:rPr>
        <w:t>2024</w:t>
      </w:r>
      <w:r w:rsidR="00B36017">
        <w:rPr>
          <w:lang w:val="de-CH"/>
        </w:rPr>
        <w:t xml:space="preserve"> gestiegen</w:t>
      </w:r>
      <w:r w:rsidR="004F774F" w:rsidRPr="00EB6310">
        <w:rPr>
          <w:lang w:val="de-CH"/>
        </w:rPr>
        <w:t xml:space="preserve">. </w:t>
      </w:r>
      <w:r w:rsidR="00B36017" w:rsidRPr="00EB6310">
        <w:rPr>
          <w:lang w:val="de-CH"/>
        </w:rPr>
        <w:t xml:space="preserve">Dadurch steigt das Risiko für den Staat, in einen finanziellen Engpass zu geraten, wenn die Ausgleichszahlungen </w:t>
      </w:r>
      <w:r w:rsidR="00B746D3">
        <w:rPr>
          <w:lang w:val="de-CH"/>
        </w:rPr>
        <w:t>zurückgehen</w:t>
      </w:r>
      <w:r w:rsidR="004F774F" w:rsidRPr="00EB6310">
        <w:rPr>
          <w:lang w:val="de-CH"/>
        </w:rPr>
        <w:t xml:space="preserve">. </w:t>
      </w:r>
    </w:p>
    <w:p w14:paraId="72D21508" w14:textId="12018845" w:rsidR="004F774F" w:rsidRPr="00EB6310" w:rsidRDefault="00B36017" w:rsidP="004F774F">
      <w:pPr>
        <w:pStyle w:val="Corpsdetexte"/>
        <w:rPr>
          <w:lang w:val="de-CH"/>
        </w:rPr>
      </w:pPr>
      <w:r w:rsidRPr="00EB6310">
        <w:rPr>
          <w:lang w:val="de-CH"/>
        </w:rPr>
        <w:t xml:space="preserve">Der Finanzausgleich setzt sich aus verschiedenen </w:t>
      </w:r>
      <w:r w:rsidR="00B7031A">
        <w:rPr>
          <w:lang w:val="de-CH"/>
        </w:rPr>
        <w:t>Gefässen</w:t>
      </w:r>
      <w:r w:rsidRPr="00EB6310">
        <w:rPr>
          <w:lang w:val="de-CH"/>
        </w:rPr>
        <w:t xml:space="preserve"> zusamm</w:t>
      </w:r>
      <w:r>
        <w:rPr>
          <w:lang w:val="de-CH"/>
        </w:rPr>
        <w:t xml:space="preserve">en, die für 2024 folgende </w:t>
      </w:r>
      <w:r w:rsidR="00B746D3">
        <w:rPr>
          <w:lang w:val="de-CH"/>
        </w:rPr>
        <w:t>Ausgleichsb</w:t>
      </w:r>
      <w:r>
        <w:rPr>
          <w:lang w:val="de-CH"/>
        </w:rPr>
        <w:t>eträge ergaben</w:t>
      </w:r>
      <w:r w:rsidR="004F774F" w:rsidRPr="00EB6310">
        <w:rPr>
          <w:lang w:val="de-CH"/>
        </w:rPr>
        <w:t xml:space="preserve">: </w:t>
      </w:r>
    </w:p>
    <w:tbl>
      <w:tblPr>
        <w:tblStyle w:val="EtatFribourg"/>
        <w:tblW w:w="4644"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4821"/>
        <w:gridCol w:w="4393"/>
      </w:tblGrid>
      <w:tr w:rsidR="004F774F" w:rsidRPr="005B3823" w14:paraId="72371645" w14:textId="77777777" w:rsidTr="000600DC">
        <w:trPr>
          <w:trHeight w:val="156"/>
        </w:trPr>
        <w:tc>
          <w:tcPr>
            <w:tcW w:w="5000" w:type="pct"/>
            <w:gridSpan w:val="2"/>
            <w:tcBorders>
              <w:bottom w:val="single" w:sz="2" w:space="0" w:color="auto"/>
            </w:tcBorders>
          </w:tcPr>
          <w:p w14:paraId="007DB937" w14:textId="2681A822" w:rsidR="004F774F" w:rsidRPr="00EB6310" w:rsidRDefault="00B36017" w:rsidP="000600DC">
            <w:pPr>
              <w:ind w:right="85"/>
              <w:rPr>
                <w:rFonts w:cs="Arial"/>
                <w:bCs/>
                <w:color w:val="777777" w:themeColor="text2"/>
                <w:szCs w:val="18"/>
                <w:lang w:val="de-CH"/>
              </w:rPr>
            </w:pPr>
            <w:r w:rsidRPr="00EB6310">
              <w:rPr>
                <w:rFonts w:cs="Arial"/>
                <w:b/>
                <w:szCs w:val="18"/>
                <w:lang w:val="de-CH"/>
              </w:rPr>
              <w:t>Erhaltene Zahlungen im Rahmen des eidgenössischen Finanzausgleichs, 2024</w:t>
            </w:r>
          </w:p>
        </w:tc>
      </w:tr>
      <w:tr w:rsidR="004F774F" w:rsidRPr="00FE3A13" w14:paraId="0F12642D" w14:textId="77777777" w:rsidTr="000600DC">
        <w:trPr>
          <w:trHeight w:val="156"/>
        </w:trPr>
        <w:tc>
          <w:tcPr>
            <w:tcW w:w="2616" w:type="pct"/>
            <w:tcBorders>
              <w:top w:val="single" w:sz="2" w:space="0" w:color="auto"/>
              <w:bottom w:val="single" w:sz="2" w:space="0" w:color="auto"/>
            </w:tcBorders>
          </w:tcPr>
          <w:p w14:paraId="465E441C" w14:textId="76966669" w:rsidR="004F774F" w:rsidRPr="00EB6310" w:rsidRDefault="00B36017" w:rsidP="000600DC">
            <w:pPr>
              <w:ind w:right="141"/>
              <w:rPr>
                <w:rFonts w:cs="Arial"/>
                <w:b/>
                <w:szCs w:val="18"/>
                <w:lang w:val="de-CH"/>
              </w:rPr>
            </w:pPr>
            <w:r w:rsidRPr="00EB6310">
              <w:rPr>
                <w:rFonts w:cs="Arial"/>
                <w:b/>
                <w:szCs w:val="18"/>
                <w:lang w:val="de-CH"/>
              </w:rPr>
              <w:t>Ausgleichs</w:t>
            </w:r>
            <w:r w:rsidR="00B7031A" w:rsidRPr="00EB6310">
              <w:rPr>
                <w:rFonts w:cs="Arial"/>
                <w:b/>
                <w:szCs w:val="18"/>
                <w:lang w:val="de-CH"/>
              </w:rPr>
              <w:t>gefässe</w:t>
            </w:r>
          </w:p>
        </w:tc>
        <w:tc>
          <w:tcPr>
            <w:tcW w:w="2384" w:type="pct"/>
            <w:tcBorders>
              <w:top w:val="single" w:sz="2" w:space="0" w:color="auto"/>
              <w:bottom w:val="single" w:sz="2" w:space="0" w:color="auto"/>
            </w:tcBorders>
          </w:tcPr>
          <w:p w14:paraId="2967D2E5" w14:textId="36B91E31" w:rsidR="004F774F" w:rsidRPr="00EB6310" w:rsidRDefault="00B36017" w:rsidP="000600DC">
            <w:pPr>
              <w:ind w:right="85"/>
              <w:jc w:val="right"/>
              <w:rPr>
                <w:rFonts w:cs="Arial"/>
                <w:b/>
                <w:szCs w:val="18"/>
                <w:lang w:val="de-CH"/>
              </w:rPr>
            </w:pPr>
            <w:r w:rsidRPr="00EB6310">
              <w:rPr>
                <w:rFonts w:cs="Arial"/>
                <w:b/>
                <w:szCs w:val="18"/>
                <w:lang w:val="de-CH"/>
              </w:rPr>
              <w:t>Betrag</w:t>
            </w:r>
            <w:r w:rsidR="004F774F" w:rsidRPr="00EB6310">
              <w:rPr>
                <w:rFonts w:cs="Arial"/>
                <w:b/>
                <w:szCs w:val="18"/>
                <w:lang w:val="de-CH"/>
              </w:rPr>
              <w:t xml:space="preserve">, </w:t>
            </w:r>
            <w:r w:rsidRPr="00EB6310">
              <w:rPr>
                <w:rFonts w:cs="Arial"/>
                <w:b/>
                <w:szCs w:val="18"/>
                <w:lang w:val="de-CH"/>
              </w:rPr>
              <w:t>in Tausend Franken</w:t>
            </w:r>
          </w:p>
        </w:tc>
      </w:tr>
      <w:tr w:rsidR="004F774F" w:rsidRPr="00FE3A13" w14:paraId="7C7D4721" w14:textId="77777777" w:rsidTr="000600DC">
        <w:trPr>
          <w:trHeight w:val="203"/>
        </w:trPr>
        <w:tc>
          <w:tcPr>
            <w:tcW w:w="2616" w:type="pct"/>
            <w:tcBorders>
              <w:top w:val="single" w:sz="2" w:space="0" w:color="auto"/>
              <w:bottom w:val="single" w:sz="2" w:space="0" w:color="auto"/>
            </w:tcBorders>
          </w:tcPr>
          <w:p w14:paraId="4F99C2AD" w14:textId="55F09A86" w:rsidR="004F774F" w:rsidRPr="00EB6310" w:rsidRDefault="00B36017" w:rsidP="000600DC">
            <w:pPr>
              <w:ind w:right="57"/>
              <w:rPr>
                <w:rFonts w:cs="Arial"/>
                <w:bCs/>
                <w:szCs w:val="18"/>
                <w:lang w:val="de-CH"/>
              </w:rPr>
            </w:pPr>
            <w:r w:rsidRPr="00EB6310">
              <w:rPr>
                <w:rFonts w:cs="Arial"/>
                <w:bCs/>
                <w:szCs w:val="18"/>
                <w:lang w:val="de-CH"/>
              </w:rPr>
              <w:t>Ressourcenausgleich</w:t>
            </w:r>
          </w:p>
        </w:tc>
        <w:tc>
          <w:tcPr>
            <w:tcW w:w="2384" w:type="pct"/>
            <w:tcBorders>
              <w:top w:val="single" w:sz="2" w:space="0" w:color="auto"/>
              <w:bottom w:val="single" w:sz="2" w:space="0" w:color="auto"/>
            </w:tcBorders>
          </w:tcPr>
          <w:p w14:paraId="58CE46C1" w14:textId="4BE86E8C" w:rsidR="004F774F" w:rsidRPr="00FE3A13" w:rsidRDefault="004F774F" w:rsidP="000600DC">
            <w:pPr>
              <w:ind w:right="85"/>
              <w:jc w:val="right"/>
              <w:rPr>
                <w:rFonts w:cs="Arial"/>
                <w:bCs/>
                <w:szCs w:val="18"/>
              </w:rPr>
            </w:pPr>
            <w:r>
              <w:rPr>
                <w:rFonts w:cs="Arial"/>
                <w:bCs/>
                <w:szCs w:val="18"/>
              </w:rPr>
              <w:t>465</w:t>
            </w:r>
            <w:r w:rsidR="00B746D3">
              <w:rPr>
                <w:rFonts w:cs="Arial"/>
                <w:bCs/>
                <w:szCs w:val="18"/>
              </w:rPr>
              <w:t> </w:t>
            </w:r>
            <w:r>
              <w:rPr>
                <w:rFonts w:cs="Arial"/>
                <w:bCs/>
                <w:szCs w:val="18"/>
              </w:rPr>
              <w:t>153</w:t>
            </w:r>
          </w:p>
        </w:tc>
      </w:tr>
      <w:tr w:rsidR="004F774F" w:rsidRPr="00FE3A13" w14:paraId="23A7D318" w14:textId="77777777" w:rsidTr="000600DC">
        <w:trPr>
          <w:trHeight w:val="203"/>
        </w:trPr>
        <w:tc>
          <w:tcPr>
            <w:tcW w:w="2616" w:type="pct"/>
            <w:tcBorders>
              <w:top w:val="single" w:sz="2" w:space="0" w:color="auto"/>
              <w:bottom w:val="single" w:sz="2" w:space="0" w:color="auto"/>
            </w:tcBorders>
          </w:tcPr>
          <w:p w14:paraId="6D1EC834" w14:textId="6F586C96" w:rsidR="004F774F" w:rsidRPr="00EB6310" w:rsidRDefault="00B36017" w:rsidP="000600DC">
            <w:pPr>
              <w:ind w:right="57"/>
              <w:rPr>
                <w:rFonts w:cs="Arial"/>
                <w:bCs/>
                <w:szCs w:val="18"/>
                <w:lang w:val="de-CH"/>
              </w:rPr>
            </w:pPr>
            <w:r w:rsidRPr="00EB6310">
              <w:rPr>
                <w:rFonts w:cs="Arial"/>
                <w:bCs/>
                <w:szCs w:val="18"/>
                <w:lang w:val="de-CH"/>
              </w:rPr>
              <w:t>Geografisch-topografischer Lastenausgleich</w:t>
            </w:r>
          </w:p>
        </w:tc>
        <w:tc>
          <w:tcPr>
            <w:tcW w:w="2384" w:type="pct"/>
            <w:tcBorders>
              <w:top w:val="single" w:sz="2" w:space="0" w:color="auto"/>
              <w:bottom w:val="single" w:sz="2" w:space="0" w:color="auto"/>
            </w:tcBorders>
          </w:tcPr>
          <w:p w14:paraId="50F35F9C" w14:textId="41ADC47C" w:rsidR="004F774F" w:rsidRPr="00FE3A13" w:rsidRDefault="004F774F" w:rsidP="000600DC">
            <w:pPr>
              <w:ind w:right="85"/>
              <w:jc w:val="right"/>
              <w:rPr>
                <w:rFonts w:cs="Arial"/>
                <w:bCs/>
                <w:szCs w:val="18"/>
              </w:rPr>
            </w:pPr>
            <w:r>
              <w:rPr>
                <w:rFonts w:cs="Arial"/>
                <w:bCs/>
                <w:szCs w:val="18"/>
              </w:rPr>
              <w:t>9</w:t>
            </w:r>
            <w:r w:rsidR="00B746D3">
              <w:rPr>
                <w:rFonts w:cs="Arial"/>
                <w:bCs/>
                <w:szCs w:val="18"/>
              </w:rPr>
              <w:t> </w:t>
            </w:r>
            <w:r>
              <w:rPr>
                <w:rFonts w:cs="Arial"/>
                <w:bCs/>
                <w:szCs w:val="18"/>
              </w:rPr>
              <w:t>476</w:t>
            </w:r>
          </w:p>
        </w:tc>
      </w:tr>
      <w:tr w:rsidR="004F774F" w:rsidRPr="00FE3A13" w14:paraId="215581A2" w14:textId="77777777" w:rsidTr="000600DC">
        <w:tc>
          <w:tcPr>
            <w:tcW w:w="2616" w:type="pct"/>
            <w:tcBorders>
              <w:top w:val="single" w:sz="2" w:space="0" w:color="auto"/>
              <w:bottom w:val="single" w:sz="2" w:space="0" w:color="auto"/>
            </w:tcBorders>
          </w:tcPr>
          <w:p w14:paraId="7859F703" w14:textId="601D71DC" w:rsidR="004F774F" w:rsidRPr="00EB6310" w:rsidRDefault="00B36017" w:rsidP="000600DC">
            <w:pPr>
              <w:rPr>
                <w:rFonts w:cs="Arial"/>
                <w:bCs/>
                <w:szCs w:val="18"/>
                <w:lang w:val="de-CH"/>
              </w:rPr>
            </w:pPr>
            <w:r w:rsidRPr="00EB6310">
              <w:rPr>
                <w:rFonts w:cs="Arial"/>
                <w:bCs/>
                <w:szCs w:val="18"/>
                <w:lang w:val="de-CH"/>
              </w:rPr>
              <w:t>Soziodemografischer Lastenausgleich</w:t>
            </w:r>
          </w:p>
        </w:tc>
        <w:tc>
          <w:tcPr>
            <w:tcW w:w="2384" w:type="pct"/>
            <w:tcBorders>
              <w:top w:val="single" w:sz="2" w:space="0" w:color="auto"/>
              <w:bottom w:val="single" w:sz="2" w:space="0" w:color="auto"/>
            </w:tcBorders>
            <w:vAlign w:val="center"/>
          </w:tcPr>
          <w:p w14:paraId="2E66303E" w14:textId="77777777" w:rsidR="004F774F" w:rsidRPr="00FE3A13" w:rsidRDefault="004F774F" w:rsidP="000600DC">
            <w:pPr>
              <w:ind w:right="85"/>
              <w:jc w:val="right"/>
              <w:rPr>
                <w:rFonts w:cs="Arial"/>
                <w:bCs/>
                <w:szCs w:val="18"/>
              </w:rPr>
            </w:pPr>
            <w:r>
              <w:rPr>
                <w:rFonts w:cs="Arial"/>
                <w:bCs/>
                <w:szCs w:val="18"/>
              </w:rPr>
              <w:t xml:space="preserve">511 </w:t>
            </w:r>
          </w:p>
        </w:tc>
      </w:tr>
      <w:tr w:rsidR="004F774F" w:rsidRPr="00FE3A13" w14:paraId="44E276BA" w14:textId="77777777" w:rsidTr="000600DC">
        <w:tc>
          <w:tcPr>
            <w:tcW w:w="2616" w:type="pct"/>
            <w:tcBorders>
              <w:top w:val="single" w:sz="2" w:space="0" w:color="auto"/>
              <w:bottom w:val="single" w:sz="2" w:space="0" w:color="auto"/>
            </w:tcBorders>
          </w:tcPr>
          <w:p w14:paraId="685AE5C9" w14:textId="2B71B3A4" w:rsidR="004F774F" w:rsidRPr="00EB6310" w:rsidRDefault="00B36017" w:rsidP="000600DC">
            <w:pPr>
              <w:rPr>
                <w:rFonts w:cs="Arial"/>
                <w:bCs/>
                <w:szCs w:val="18"/>
                <w:lang w:val="de-CH"/>
              </w:rPr>
            </w:pPr>
            <w:r w:rsidRPr="00EB6310">
              <w:rPr>
                <w:rFonts w:cs="Arial"/>
                <w:bCs/>
                <w:szCs w:val="18"/>
                <w:lang w:val="de-CH"/>
              </w:rPr>
              <w:t xml:space="preserve">Härteausgleich (netto) </w:t>
            </w:r>
          </w:p>
        </w:tc>
        <w:tc>
          <w:tcPr>
            <w:tcW w:w="2384" w:type="pct"/>
            <w:tcBorders>
              <w:top w:val="single" w:sz="2" w:space="0" w:color="auto"/>
              <w:bottom w:val="single" w:sz="2" w:space="0" w:color="auto"/>
            </w:tcBorders>
            <w:vAlign w:val="center"/>
          </w:tcPr>
          <w:p w14:paraId="022E4A3B" w14:textId="1B1AE2F8" w:rsidR="004F774F" w:rsidRPr="00FE3A13" w:rsidRDefault="004F774F" w:rsidP="000600DC">
            <w:pPr>
              <w:ind w:right="85"/>
              <w:jc w:val="right"/>
              <w:rPr>
                <w:rFonts w:cs="Arial"/>
                <w:bCs/>
                <w:szCs w:val="18"/>
              </w:rPr>
            </w:pPr>
            <w:r>
              <w:rPr>
                <w:rFonts w:cs="Arial"/>
                <w:bCs/>
                <w:szCs w:val="18"/>
              </w:rPr>
              <w:t>73</w:t>
            </w:r>
            <w:r w:rsidR="00B746D3">
              <w:rPr>
                <w:rFonts w:cs="Arial"/>
                <w:bCs/>
                <w:szCs w:val="18"/>
              </w:rPr>
              <w:t> </w:t>
            </w:r>
            <w:r>
              <w:rPr>
                <w:rFonts w:cs="Arial"/>
                <w:bCs/>
                <w:szCs w:val="18"/>
              </w:rPr>
              <w:t>397</w:t>
            </w:r>
          </w:p>
        </w:tc>
      </w:tr>
      <w:tr w:rsidR="004F774F" w:rsidRPr="00FE3A13" w14:paraId="7739E702" w14:textId="77777777" w:rsidTr="000600DC">
        <w:tc>
          <w:tcPr>
            <w:tcW w:w="2616" w:type="pct"/>
            <w:tcBorders>
              <w:top w:val="single" w:sz="2" w:space="0" w:color="auto"/>
              <w:bottom w:val="single" w:sz="2" w:space="0" w:color="auto"/>
            </w:tcBorders>
          </w:tcPr>
          <w:p w14:paraId="3EF18761" w14:textId="5AA14FDD" w:rsidR="004F774F" w:rsidRPr="00EB6310" w:rsidRDefault="00B7031A" w:rsidP="000600DC">
            <w:pPr>
              <w:rPr>
                <w:rFonts w:cs="Arial"/>
                <w:bCs/>
                <w:szCs w:val="18"/>
                <w:lang w:val="de-CH"/>
              </w:rPr>
            </w:pPr>
            <w:r w:rsidRPr="00EB6310">
              <w:rPr>
                <w:rFonts w:cs="Arial"/>
                <w:bCs/>
                <w:szCs w:val="18"/>
                <w:lang w:val="de-CH"/>
              </w:rPr>
              <w:t>Abfederungsmassnahmen</w:t>
            </w:r>
          </w:p>
        </w:tc>
        <w:tc>
          <w:tcPr>
            <w:tcW w:w="2384" w:type="pct"/>
            <w:tcBorders>
              <w:top w:val="single" w:sz="2" w:space="0" w:color="auto"/>
              <w:bottom w:val="single" w:sz="2" w:space="0" w:color="auto"/>
            </w:tcBorders>
            <w:vAlign w:val="center"/>
          </w:tcPr>
          <w:p w14:paraId="52E35B7F" w14:textId="738DEADE" w:rsidR="004F774F" w:rsidRPr="00FE3A13" w:rsidRDefault="004F774F" w:rsidP="000600DC">
            <w:pPr>
              <w:ind w:right="85"/>
              <w:jc w:val="right"/>
              <w:rPr>
                <w:rFonts w:cs="Arial"/>
                <w:bCs/>
                <w:szCs w:val="18"/>
              </w:rPr>
            </w:pPr>
            <w:r>
              <w:rPr>
                <w:rFonts w:cs="Arial"/>
                <w:bCs/>
                <w:szCs w:val="18"/>
              </w:rPr>
              <w:t>7</w:t>
            </w:r>
            <w:r w:rsidR="00B746D3">
              <w:rPr>
                <w:rFonts w:cs="Arial"/>
                <w:bCs/>
                <w:szCs w:val="18"/>
              </w:rPr>
              <w:t> </w:t>
            </w:r>
            <w:r>
              <w:rPr>
                <w:rFonts w:cs="Arial"/>
                <w:bCs/>
                <w:szCs w:val="18"/>
              </w:rPr>
              <w:t>421</w:t>
            </w:r>
          </w:p>
        </w:tc>
      </w:tr>
      <w:tr w:rsidR="004F774F" w:rsidRPr="00FE3A13" w14:paraId="0DFD7564" w14:textId="77777777" w:rsidTr="000600DC">
        <w:tc>
          <w:tcPr>
            <w:tcW w:w="2616" w:type="pct"/>
            <w:tcBorders>
              <w:top w:val="single" w:sz="2" w:space="0" w:color="auto"/>
              <w:bottom w:val="single" w:sz="2" w:space="0" w:color="auto"/>
            </w:tcBorders>
          </w:tcPr>
          <w:p w14:paraId="036029B2" w14:textId="790BABA8" w:rsidR="004F774F" w:rsidRPr="00EB6310" w:rsidRDefault="00B7031A" w:rsidP="000600DC">
            <w:pPr>
              <w:rPr>
                <w:rFonts w:cs="Arial"/>
                <w:bCs/>
                <w:szCs w:val="18"/>
                <w:lang w:val="de-CH"/>
              </w:rPr>
            </w:pPr>
            <w:r w:rsidRPr="00EB6310">
              <w:rPr>
                <w:rFonts w:cs="Arial"/>
                <w:bCs/>
                <w:szCs w:val="18"/>
                <w:lang w:val="de-CH"/>
              </w:rPr>
              <w:t>Ergänzungsbeiträge</w:t>
            </w:r>
          </w:p>
        </w:tc>
        <w:tc>
          <w:tcPr>
            <w:tcW w:w="2384" w:type="pct"/>
            <w:tcBorders>
              <w:top w:val="single" w:sz="2" w:space="0" w:color="auto"/>
              <w:bottom w:val="single" w:sz="2" w:space="0" w:color="auto"/>
            </w:tcBorders>
            <w:vAlign w:val="center"/>
          </w:tcPr>
          <w:p w14:paraId="1B2C4FC8" w14:textId="6E2DA401" w:rsidR="004F774F" w:rsidRPr="00FE3A13" w:rsidRDefault="004F774F" w:rsidP="000600DC">
            <w:pPr>
              <w:ind w:right="85"/>
              <w:jc w:val="right"/>
              <w:rPr>
                <w:rFonts w:cs="Arial"/>
                <w:bCs/>
                <w:szCs w:val="18"/>
              </w:rPr>
            </w:pPr>
            <w:r>
              <w:rPr>
                <w:rFonts w:cs="Arial"/>
                <w:bCs/>
                <w:szCs w:val="18"/>
              </w:rPr>
              <w:t>61</w:t>
            </w:r>
            <w:r w:rsidR="00B746D3">
              <w:rPr>
                <w:rFonts w:cs="Arial"/>
                <w:bCs/>
                <w:szCs w:val="18"/>
              </w:rPr>
              <w:t> </w:t>
            </w:r>
            <w:r>
              <w:rPr>
                <w:rFonts w:cs="Arial"/>
                <w:bCs/>
                <w:szCs w:val="18"/>
              </w:rPr>
              <w:t>109</w:t>
            </w:r>
          </w:p>
        </w:tc>
      </w:tr>
      <w:tr w:rsidR="004F774F" w:rsidRPr="00FE3A13" w14:paraId="6301B37C" w14:textId="77777777" w:rsidTr="000600DC">
        <w:tc>
          <w:tcPr>
            <w:tcW w:w="2616" w:type="pct"/>
            <w:tcBorders>
              <w:top w:val="single" w:sz="2" w:space="0" w:color="auto"/>
            </w:tcBorders>
          </w:tcPr>
          <w:p w14:paraId="4F8D269D" w14:textId="77777777" w:rsidR="004F774F" w:rsidRPr="00EB6310" w:rsidRDefault="004F774F" w:rsidP="000600DC">
            <w:pPr>
              <w:rPr>
                <w:rFonts w:cs="Arial"/>
                <w:b/>
                <w:szCs w:val="18"/>
                <w:lang w:val="de-CH"/>
              </w:rPr>
            </w:pPr>
            <w:r w:rsidRPr="00EB6310">
              <w:rPr>
                <w:rFonts w:cs="Arial"/>
                <w:b/>
                <w:szCs w:val="18"/>
                <w:lang w:val="de-CH"/>
              </w:rPr>
              <w:t>Total</w:t>
            </w:r>
          </w:p>
        </w:tc>
        <w:tc>
          <w:tcPr>
            <w:tcW w:w="2384" w:type="pct"/>
            <w:tcBorders>
              <w:top w:val="single" w:sz="2" w:space="0" w:color="auto"/>
            </w:tcBorders>
            <w:vAlign w:val="center"/>
          </w:tcPr>
          <w:p w14:paraId="750F3218" w14:textId="0AC6C268" w:rsidR="004F774F" w:rsidRPr="00FE3A13" w:rsidRDefault="004F774F" w:rsidP="000600DC">
            <w:pPr>
              <w:ind w:right="85"/>
              <w:jc w:val="right"/>
              <w:rPr>
                <w:rFonts w:cs="Arial"/>
                <w:b/>
                <w:szCs w:val="18"/>
              </w:rPr>
            </w:pPr>
            <w:r>
              <w:rPr>
                <w:rFonts w:cs="Arial"/>
                <w:b/>
                <w:szCs w:val="18"/>
              </w:rPr>
              <w:t>617</w:t>
            </w:r>
            <w:r w:rsidR="00B746D3">
              <w:rPr>
                <w:rFonts w:cs="Arial"/>
                <w:b/>
                <w:szCs w:val="18"/>
              </w:rPr>
              <w:t> </w:t>
            </w:r>
            <w:r>
              <w:rPr>
                <w:rFonts w:cs="Arial"/>
                <w:b/>
                <w:szCs w:val="18"/>
              </w:rPr>
              <w:t>067</w:t>
            </w:r>
          </w:p>
        </w:tc>
      </w:tr>
    </w:tbl>
    <w:p w14:paraId="534F841F" w14:textId="5FD583B3" w:rsidR="004F774F" w:rsidRPr="00EB6310" w:rsidRDefault="00B7031A" w:rsidP="004F774F">
      <w:pPr>
        <w:pStyle w:val="Corpsdetexte"/>
        <w:rPr>
          <w:lang w:val="de-CH"/>
        </w:rPr>
      </w:pPr>
      <w:r w:rsidRPr="00EB6310">
        <w:rPr>
          <w:lang w:val="de-CH"/>
        </w:rPr>
        <w:t>Mittelfristig, basierend auf den derzeit verfügbaren Informationen und unter Berücksichtigung der</w:t>
      </w:r>
      <w:r w:rsidR="00343F44">
        <w:rPr>
          <w:lang w:val="de-CH"/>
        </w:rPr>
        <w:t xml:space="preserve"> bekanntermassen</w:t>
      </w:r>
      <w:r w:rsidRPr="00EB6310">
        <w:rPr>
          <w:lang w:val="de-CH"/>
        </w:rPr>
        <w:t xml:space="preserve"> relativ hohen Volatilität beim Finanzausgleich, sieht die Entwicklung der sogenannten temporären </w:t>
      </w:r>
      <w:r>
        <w:rPr>
          <w:lang w:val="de-CH"/>
        </w:rPr>
        <w:t>Ausgleichsgefässe</w:t>
      </w:r>
      <w:r w:rsidRPr="00EB6310">
        <w:rPr>
          <w:lang w:val="de-CH"/>
        </w:rPr>
        <w:t xml:space="preserve"> für den Staat Freiburg weitgehend ungünstig aus:</w:t>
      </w:r>
      <w:r w:rsidR="004F774F" w:rsidRPr="00EB6310">
        <w:rPr>
          <w:lang w:val="de-CH"/>
        </w:rPr>
        <w:t xml:space="preserve"> </w:t>
      </w:r>
    </w:p>
    <w:p w14:paraId="2C8C7E91" w14:textId="0A33CCCB" w:rsidR="004F774F" w:rsidRPr="00EB6310" w:rsidRDefault="00357952" w:rsidP="004F774F">
      <w:pPr>
        <w:pStyle w:val="08puces"/>
        <w:rPr>
          <w:sz w:val="21"/>
          <w:szCs w:val="21"/>
          <w:lang w:val="de-CH"/>
        </w:rPr>
      </w:pPr>
      <w:r w:rsidRPr="00EB6310">
        <w:rPr>
          <w:sz w:val="21"/>
          <w:szCs w:val="21"/>
          <w:lang w:val="de-CH"/>
        </w:rPr>
        <w:t>Die Ergänzungsbeiträge sind ein Instrument, um die Auswirkungen der STAF auf den Finanzausgleich abzumildern. Sie wurden 2024 eingeführt und werden über einen Zeitraum von 7 Jahren gezahlt (letzte Zahlung im Jahr 2030). Freiburg ist einer der grössten Nutzniesser. Im Vergleich zu den im Jahr 2024 erhaltenen Beträgen würde die Einstellung dieser Massnahme im Jahr 2031 ein</w:t>
      </w:r>
      <w:r>
        <w:rPr>
          <w:sz w:val="21"/>
          <w:szCs w:val="21"/>
          <w:lang w:val="de-CH"/>
        </w:rPr>
        <w:t xml:space="preserve"> Minus von</w:t>
      </w:r>
      <w:r w:rsidRPr="00EB6310">
        <w:rPr>
          <w:sz w:val="21"/>
          <w:szCs w:val="21"/>
          <w:lang w:val="de-CH"/>
        </w:rPr>
        <w:t xml:space="preserve"> fast 61 Millionen Franken gegenüber dem aktuellen Stand bedeuten.</w:t>
      </w:r>
      <w:r w:rsidR="004F774F" w:rsidRPr="00EB6310">
        <w:rPr>
          <w:sz w:val="21"/>
          <w:szCs w:val="21"/>
          <w:lang w:val="de-CH"/>
        </w:rPr>
        <w:t xml:space="preserve"> </w:t>
      </w:r>
    </w:p>
    <w:p w14:paraId="24E04A55" w14:textId="4155C375" w:rsidR="004F774F" w:rsidRPr="00EB6310" w:rsidRDefault="00357952" w:rsidP="004F774F">
      <w:pPr>
        <w:pStyle w:val="08puces"/>
        <w:rPr>
          <w:sz w:val="21"/>
          <w:szCs w:val="21"/>
          <w:lang w:val="de-CH"/>
        </w:rPr>
      </w:pPr>
      <w:r w:rsidRPr="00EB6310">
        <w:rPr>
          <w:sz w:val="21"/>
          <w:szCs w:val="21"/>
          <w:lang w:val="de-CH"/>
        </w:rPr>
        <w:t>Die Abfederungsmassnahmen</w:t>
      </w:r>
      <w:r>
        <w:rPr>
          <w:sz w:val="21"/>
          <w:szCs w:val="21"/>
          <w:lang w:val="de-CH"/>
        </w:rPr>
        <w:t xml:space="preserve"> sollen die </w:t>
      </w:r>
      <w:r w:rsidRPr="00357952">
        <w:rPr>
          <w:sz w:val="21"/>
          <w:szCs w:val="21"/>
          <w:lang w:val="de-CH"/>
        </w:rPr>
        <w:t xml:space="preserve">finanziellen Auswirkungen der Finanzausgleichsreform 2020 </w:t>
      </w:r>
      <w:r>
        <w:rPr>
          <w:sz w:val="21"/>
          <w:szCs w:val="21"/>
          <w:lang w:val="de-CH"/>
        </w:rPr>
        <w:t xml:space="preserve">mildern und </w:t>
      </w:r>
      <w:r w:rsidRPr="00EB6310">
        <w:rPr>
          <w:sz w:val="21"/>
          <w:szCs w:val="21"/>
          <w:lang w:val="de-CH"/>
        </w:rPr>
        <w:t>werden von 2021 bis 2025 gezahlt. Ab 2026 wird der Kanton diesen Beitrag, der 2024 7,4 Millionen Franken betrug, daher nicht mehr erhalten</w:t>
      </w:r>
      <w:r w:rsidR="004F774F" w:rsidRPr="00EB6310">
        <w:rPr>
          <w:sz w:val="21"/>
          <w:szCs w:val="21"/>
          <w:lang w:val="de-CH"/>
        </w:rPr>
        <w:t xml:space="preserve">. </w:t>
      </w:r>
    </w:p>
    <w:p w14:paraId="4B90678F" w14:textId="1E656CFB" w:rsidR="004F774F" w:rsidRPr="00EB6310" w:rsidRDefault="00357952" w:rsidP="004F774F">
      <w:pPr>
        <w:pStyle w:val="08puces"/>
        <w:rPr>
          <w:sz w:val="21"/>
          <w:szCs w:val="21"/>
          <w:lang w:val="de-CH"/>
        </w:rPr>
      </w:pPr>
      <w:r w:rsidRPr="00EB6310">
        <w:rPr>
          <w:sz w:val="21"/>
          <w:szCs w:val="21"/>
          <w:lang w:val="de-CH"/>
        </w:rPr>
        <w:t>Der Härteausgleich wurde 2008 mit der Einführung des aktuellen Finanzausgleichssystems eingeführt. Er wird bis spätestens 2034 gezahlt</w:t>
      </w:r>
      <w:r w:rsidR="00C11EE0">
        <w:rPr>
          <w:sz w:val="21"/>
          <w:szCs w:val="21"/>
          <w:lang w:val="de-CH"/>
        </w:rPr>
        <w:t>,</w:t>
      </w:r>
      <w:r w:rsidRPr="00EB6310">
        <w:rPr>
          <w:sz w:val="21"/>
          <w:szCs w:val="21"/>
          <w:lang w:val="de-CH"/>
        </w:rPr>
        <w:t xml:space="preserve"> und der Beitrag sinkt jährlich um 5</w:t>
      </w:r>
      <w:r w:rsidR="00B746D3">
        <w:rPr>
          <w:sz w:val="21"/>
          <w:szCs w:val="21"/>
          <w:lang w:val="de-CH"/>
        </w:rPr>
        <w:t> </w:t>
      </w:r>
      <w:r w:rsidRPr="00EB6310">
        <w:rPr>
          <w:sz w:val="21"/>
          <w:szCs w:val="21"/>
          <w:lang w:val="de-CH"/>
        </w:rPr>
        <w:t>% im Vergleich zum ursprünglichen Betrag. Für Freiburg bedeutet dies ein fortlaufendes jährliches Minus von fast 6,7 Millionen Franken</w:t>
      </w:r>
      <w:r w:rsidR="004F774F" w:rsidRPr="00EB6310">
        <w:rPr>
          <w:sz w:val="21"/>
          <w:szCs w:val="21"/>
          <w:lang w:val="de-CH"/>
        </w:rPr>
        <w:t xml:space="preserve">. </w:t>
      </w:r>
      <w:r w:rsidRPr="00EB6310">
        <w:rPr>
          <w:sz w:val="21"/>
          <w:szCs w:val="21"/>
          <w:lang w:val="de-CH"/>
        </w:rPr>
        <w:t>Das Finanzausgleichsgesetz sieht au</w:t>
      </w:r>
      <w:r>
        <w:rPr>
          <w:sz w:val="21"/>
          <w:szCs w:val="21"/>
          <w:lang w:val="de-CH"/>
        </w:rPr>
        <w:t>ss</w:t>
      </w:r>
      <w:r w:rsidRPr="00EB6310">
        <w:rPr>
          <w:sz w:val="21"/>
          <w:szCs w:val="21"/>
          <w:lang w:val="de-CH"/>
        </w:rPr>
        <w:t>erdem vor, dass die Notwendigkeit dieser Ma</w:t>
      </w:r>
      <w:r>
        <w:rPr>
          <w:sz w:val="21"/>
          <w:szCs w:val="21"/>
          <w:lang w:val="de-CH"/>
        </w:rPr>
        <w:t>ss</w:t>
      </w:r>
      <w:r w:rsidRPr="00EB6310">
        <w:rPr>
          <w:sz w:val="21"/>
          <w:szCs w:val="21"/>
          <w:lang w:val="de-CH"/>
        </w:rPr>
        <w:t>nahme regelmä</w:t>
      </w:r>
      <w:r>
        <w:rPr>
          <w:sz w:val="21"/>
          <w:szCs w:val="21"/>
          <w:lang w:val="de-CH"/>
        </w:rPr>
        <w:t>ss</w:t>
      </w:r>
      <w:r w:rsidRPr="00EB6310">
        <w:rPr>
          <w:sz w:val="21"/>
          <w:szCs w:val="21"/>
          <w:lang w:val="de-CH"/>
        </w:rPr>
        <w:t>ig neu bewertet wird, sodass sie vor 2034 aufgehoben werden könnte. Für den Zeitraum von 2026</w:t>
      </w:r>
      <w:r w:rsidR="00C11EE0" w:rsidRPr="009F7E24">
        <w:rPr>
          <w:lang w:val="de-CH"/>
        </w:rPr>
        <w:t>–</w:t>
      </w:r>
      <w:r w:rsidRPr="00EB6310">
        <w:rPr>
          <w:sz w:val="21"/>
          <w:szCs w:val="21"/>
          <w:lang w:val="de-CH"/>
        </w:rPr>
        <w:t>2029 wurde die Beibehaltung der Ma</w:t>
      </w:r>
      <w:r>
        <w:rPr>
          <w:sz w:val="21"/>
          <w:szCs w:val="21"/>
          <w:lang w:val="de-CH"/>
        </w:rPr>
        <w:t>ss</w:t>
      </w:r>
      <w:r w:rsidRPr="00EB6310">
        <w:rPr>
          <w:sz w:val="21"/>
          <w:szCs w:val="21"/>
          <w:lang w:val="de-CH"/>
        </w:rPr>
        <w:t>nahme bestätigt</w:t>
      </w:r>
      <w:r w:rsidR="004F774F" w:rsidRPr="00EB6310">
        <w:rPr>
          <w:sz w:val="21"/>
          <w:szCs w:val="21"/>
          <w:lang w:val="de-CH"/>
        </w:rPr>
        <w:t xml:space="preserve">. </w:t>
      </w:r>
    </w:p>
    <w:p w14:paraId="7DE1BA21" w14:textId="459D7767" w:rsidR="004F774F" w:rsidRPr="00EB6310" w:rsidRDefault="00C11EE0" w:rsidP="004F774F">
      <w:pPr>
        <w:pStyle w:val="Corpsdetexte"/>
        <w:rPr>
          <w:lang w:val="de-CH"/>
        </w:rPr>
      </w:pPr>
      <w:r>
        <w:rPr>
          <w:lang w:val="de-CH"/>
        </w:rPr>
        <w:t>Die Beiträge aus diesen Übergangsmassnahmen</w:t>
      </w:r>
      <w:r w:rsidR="001E61DA" w:rsidRPr="00EB6310">
        <w:rPr>
          <w:lang w:val="de-CH"/>
        </w:rPr>
        <w:t xml:space="preserve"> werden unweigerlich zurückgehen. Während sie in der Jahresrechnung 2024 insgesamt 141,9</w:t>
      </w:r>
      <w:r>
        <w:rPr>
          <w:lang w:val="de-CH"/>
        </w:rPr>
        <w:t> </w:t>
      </w:r>
      <w:r w:rsidR="001E61DA" w:rsidRPr="00EB6310">
        <w:rPr>
          <w:lang w:val="de-CH"/>
        </w:rPr>
        <w:t>Millionen Franken ausmachen, werden sie im Jahr 2031 nur noch 26,7</w:t>
      </w:r>
      <w:r>
        <w:rPr>
          <w:lang w:val="de-CH"/>
        </w:rPr>
        <w:t> </w:t>
      </w:r>
      <w:r w:rsidR="001E61DA" w:rsidRPr="00EB6310">
        <w:rPr>
          <w:lang w:val="de-CH"/>
        </w:rPr>
        <w:t xml:space="preserve">Millionen Franken (nur Härteausgleich) bzw. im Jahr 2035 </w:t>
      </w:r>
      <w:r w:rsidR="009312ED">
        <w:rPr>
          <w:lang w:val="de-CH"/>
        </w:rPr>
        <w:t xml:space="preserve">null </w:t>
      </w:r>
      <w:r w:rsidR="001E61DA" w:rsidRPr="00EB6310">
        <w:rPr>
          <w:lang w:val="de-CH"/>
        </w:rPr>
        <w:t>Franken betragen</w:t>
      </w:r>
      <w:r w:rsidR="004F774F" w:rsidRPr="00EB6310">
        <w:rPr>
          <w:lang w:val="de-CH"/>
        </w:rPr>
        <w:t xml:space="preserve">. </w:t>
      </w:r>
    </w:p>
    <w:p w14:paraId="5AB398C2" w14:textId="6CFF339E" w:rsidR="004F774F" w:rsidRPr="00EB6310" w:rsidRDefault="001E61DA" w:rsidP="004F774F">
      <w:pPr>
        <w:pStyle w:val="Corpsdetexte"/>
        <w:rPr>
          <w:lang w:val="de-CH"/>
        </w:rPr>
      </w:pPr>
      <w:r w:rsidRPr="00EB6310">
        <w:rPr>
          <w:lang w:val="de-CH"/>
        </w:rPr>
        <w:t>Diese</w:t>
      </w:r>
      <w:r>
        <w:rPr>
          <w:lang w:val="de-CH"/>
        </w:rPr>
        <w:t xml:space="preserve"> Einbusse</w:t>
      </w:r>
      <w:r w:rsidRPr="00EB6310">
        <w:rPr>
          <w:lang w:val="de-CH"/>
        </w:rPr>
        <w:t xml:space="preserve"> könnte möglicherweise zumindest teilweise durch </w:t>
      </w:r>
      <w:r>
        <w:rPr>
          <w:lang w:val="de-CH"/>
        </w:rPr>
        <w:t>höhere</w:t>
      </w:r>
      <w:r w:rsidRPr="00EB6310">
        <w:rPr>
          <w:lang w:val="de-CH"/>
        </w:rPr>
        <w:t xml:space="preserve"> Zahlungen aus dem Ressourcenausgleich ausgeglichen werden. Die Entwicklung dieses </w:t>
      </w:r>
      <w:r>
        <w:rPr>
          <w:lang w:val="de-CH"/>
        </w:rPr>
        <w:t>Gefässes</w:t>
      </w:r>
      <w:r w:rsidRPr="00EB6310">
        <w:rPr>
          <w:lang w:val="de-CH"/>
        </w:rPr>
        <w:t xml:space="preserve"> ist jedoch </w:t>
      </w:r>
      <w:r>
        <w:rPr>
          <w:lang w:val="de-CH"/>
        </w:rPr>
        <w:t>aufgrund der zahlreichen Variablen des Berechnungsmodells weitaus</w:t>
      </w:r>
      <w:r w:rsidRPr="00EB6310">
        <w:rPr>
          <w:lang w:val="de-CH"/>
        </w:rPr>
        <w:t xml:space="preserve"> schwieriger abzuschätzen (Entwicklung des Steuerpotenzials für die 26 Kantone). Auf dieser Grundlage hat der Staatsrat bereits Ma</w:t>
      </w:r>
      <w:r>
        <w:rPr>
          <w:lang w:val="de-CH"/>
        </w:rPr>
        <w:t>ss</w:t>
      </w:r>
      <w:r w:rsidRPr="00EB6310">
        <w:rPr>
          <w:lang w:val="de-CH"/>
        </w:rPr>
        <w:t xml:space="preserve">nahmen </w:t>
      </w:r>
      <w:r>
        <w:rPr>
          <w:lang w:val="de-CH"/>
        </w:rPr>
        <w:t>zur Bildung einer</w:t>
      </w:r>
      <w:r w:rsidRPr="00EB6310">
        <w:rPr>
          <w:lang w:val="de-CH"/>
        </w:rPr>
        <w:t xml:space="preserve"> Rückstellung </w:t>
      </w:r>
      <w:r>
        <w:rPr>
          <w:lang w:val="de-CH"/>
        </w:rPr>
        <w:t>ergriffen</w:t>
      </w:r>
      <w:r w:rsidRPr="00EB6310">
        <w:rPr>
          <w:lang w:val="de-CH"/>
        </w:rPr>
        <w:t>, um die Schwankungen im Zusammenhang mit den Ausgleichszahlungen teilweise abzufedern</w:t>
      </w:r>
      <w:r w:rsidR="004F774F" w:rsidRPr="00EB6310">
        <w:rPr>
          <w:lang w:val="de-CH"/>
        </w:rPr>
        <w:t>.</w:t>
      </w:r>
    </w:p>
    <w:p w14:paraId="509CB638" w14:textId="2EF664F6" w:rsidR="00425C87" w:rsidRPr="00C804AE" w:rsidRDefault="003B3CC7" w:rsidP="00425C87">
      <w:pPr>
        <w:pStyle w:val="Titre2"/>
        <w:rPr>
          <w:lang w:val="de-CH"/>
        </w:rPr>
      </w:pPr>
      <w:bookmarkStart w:id="5" w:name="_Toc196226196"/>
      <w:r w:rsidRPr="00AC17DA">
        <w:rPr>
          <w:lang w:val="de-CH"/>
        </w:rPr>
        <w:lastRenderedPageBreak/>
        <w:t>Auswirkungen des Entlastungspakets 2027 des Bundes</w:t>
      </w:r>
      <w:bookmarkEnd w:id="5"/>
    </w:p>
    <w:p w14:paraId="3C8D89E1" w14:textId="7D7F8A20" w:rsidR="003B3CC7" w:rsidRPr="009F7E24" w:rsidRDefault="003B3CC7" w:rsidP="003B3CC7">
      <w:pPr>
        <w:rPr>
          <w:lang w:val="de-CH"/>
        </w:rPr>
      </w:pPr>
      <w:r w:rsidRPr="009F7E24">
        <w:rPr>
          <w:lang w:val="de-CH"/>
        </w:rPr>
        <w:t>Gestützt auf den am 5. September 2024 veröffentlichten Bericht der Expertengruppe «Aufgaben- und Subventionsüberprüfung» gab der Bundesrat am 20. September 2024 die Eckwerte eines Entlastungspakets von rund sechzig Massnahmen bekannt, die teilweise ab 2026 in Kraft treten sollen und deren geschätzte Entlastung sich für den Bundeshaushalt gemäss einer Medienmitteilung für 2027 insgesamt auf 3,6 Milliarden Franken, für 2028 auf 4,3</w:t>
      </w:r>
      <w:r w:rsidR="00B64C9E">
        <w:rPr>
          <w:lang w:val="de-CH"/>
        </w:rPr>
        <w:t> </w:t>
      </w:r>
      <w:r w:rsidRPr="009F7E24">
        <w:rPr>
          <w:lang w:val="de-CH"/>
        </w:rPr>
        <w:t>Milliarden Franken, für 2029 auf 4,6 Milliarden Franken und für 2030 auf 4,6 Milliarden Franken beziffern lässt. Erste Analysen und Berechnungen der Kantonsverwaltung im Oktober 2024 ergaben, dass rund dreissig der Massnahmen des damals geplanten Entlastungspakets die Freiburger Kantonsfinanzen belasten könnten, und zwar mit schätzungsweise insgesamt netto 50 Millionen Franken im Jahr 2026, 71 Millionen Franken im Jahr 2027 und 72</w:t>
      </w:r>
      <w:r w:rsidR="00B64C9E">
        <w:rPr>
          <w:lang w:val="de-CH"/>
        </w:rPr>
        <w:t> </w:t>
      </w:r>
      <w:r w:rsidRPr="009F7E24">
        <w:rPr>
          <w:lang w:val="de-CH"/>
        </w:rPr>
        <w:t>Millionen Franken im Jahr 2028. Für die Jahre 2029</w:t>
      </w:r>
      <w:r w:rsidR="00EB6310">
        <w:rPr>
          <w:rFonts w:cstheme="minorHAnsi"/>
          <w:lang w:val="de-CH"/>
        </w:rPr>
        <w:t>–</w:t>
      </w:r>
      <w:r w:rsidRPr="009F7E24">
        <w:rPr>
          <w:lang w:val="de-CH"/>
        </w:rPr>
        <w:t>2032 ergab sich eine Belastung zwischen 71 und 77</w:t>
      </w:r>
      <w:r w:rsidR="00B64C9E">
        <w:rPr>
          <w:lang w:val="de-CH"/>
        </w:rPr>
        <w:t> </w:t>
      </w:r>
      <w:r w:rsidRPr="009F7E24">
        <w:rPr>
          <w:lang w:val="de-CH"/>
        </w:rPr>
        <w:t xml:space="preserve">Millionen Franken. </w:t>
      </w:r>
    </w:p>
    <w:p w14:paraId="1CEF4F9D" w14:textId="4AE7FCAA" w:rsidR="003B3CC7" w:rsidRPr="009F7E24" w:rsidRDefault="003B3CC7" w:rsidP="003B3CC7">
      <w:pPr>
        <w:rPr>
          <w:lang w:val="de-CH"/>
        </w:rPr>
      </w:pPr>
      <w:r w:rsidRPr="009F7E24">
        <w:rPr>
          <w:lang w:val="de-CH"/>
        </w:rPr>
        <w:t>Die vom Bund ins Auge gefassten Massnahmen wurden anschliessend leicht angepasst und am 2</w:t>
      </w:r>
      <w:r w:rsidR="009370DF">
        <w:rPr>
          <w:lang w:val="de-CH"/>
        </w:rPr>
        <w:t>9</w:t>
      </w:r>
      <w:r w:rsidRPr="009F7E24">
        <w:rPr>
          <w:lang w:val="de-CH"/>
        </w:rPr>
        <w:t>. Januar 202</w:t>
      </w:r>
      <w:r w:rsidR="009370DF">
        <w:rPr>
          <w:lang w:val="de-CH"/>
        </w:rPr>
        <w:t>5</w:t>
      </w:r>
      <w:r w:rsidRPr="009F7E24">
        <w:rPr>
          <w:lang w:val="de-CH"/>
        </w:rPr>
        <w:t xml:space="preserve"> als Entlastungspaket 2027 für den Bundeshaushalt vom Bundesrat in die Vernehmlassung geschickt. Dieses Paket umfasst 59 Massnahmen (wovon 36 Massnahmen, für deren Umsetzung es Gesetzesanpassungen braucht) mit einem Entlastungsvolumen für den Bund von 2,7 Milliarden Franken für 2027 und von 3,6 Milliarden Franken für 2028. Für 2026 werden keinerlei Zahlen angegeben. In den Vernehmlassungsunterlagen wird jedoch darauf hingewiesen, dass der Bundesrat im Rahmen der laufenden Budgetarbeiten 2026 entscheiden wird, ob eine Vorverlegung der Umsetzung gewisser Massnahmen, die keine Gesetzesänderung erfordern, auf 2026 sinnvoll ist. Die Konferenz der Kantonsregierungen hat diesbezüglich Klarstellungen eingefordert, damit die Kantone für die Aufstellung ihrer Voranschläge 2026 über die notwendigen Informationen verfügen, diese haben aber bisher noch keine solchen Informationen erhalten. Der erläuternde Bericht zum Entlastungspaket 2027 enthält auch keine Angaben über mögliche Auswirkungen auf die Jahre 2029 und darüber hinaus. </w:t>
      </w:r>
    </w:p>
    <w:p w14:paraId="211EE98E" w14:textId="5896F652" w:rsidR="004D2246" w:rsidRPr="003B3CC7" w:rsidRDefault="003B3CC7" w:rsidP="003B3CC7">
      <w:pPr>
        <w:pStyle w:val="Corpsdetexte"/>
        <w:rPr>
          <w:lang w:val="de-CH"/>
        </w:rPr>
      </w:pPr>
      <w:r w:rsidRPr="009F7E24">
        <w:rPr>
          <w:lang w:val="de-CH"/>
        </w:rPr>
        <w:t xml:space="preserve">Die aktualisierten Analysen und Schätzungen der Kantonsverwaltung rechnen mit möglichen negativen Auswirkungen des Entlastungspakets 27 des Bundes für den Kanton Freiburg von netto 41,2 Millionen Franken im Jahr 2027 und </w:t>
      </w:r>
      <w:r w:rsidR="001E61DA">
        <w:rPr>
          <w:lang w:val="de-CH"/>
        </w:rPr>
        <w:t>62,2</w:t>
      </w:r>
      <w:r w:rsidRPr="009F7E24">
        <w:rPr>
          <w:lang w:val="de-CH"/>
        </w:rPr>
        <w:t xml:space="preserve"> Millionen Franken im Jahr 2028. Die Auswirkungen für 2026 werden zu einem späteren Zeitpunkt basierend auf den Zahlen des vom Bund Anfang Juni veröffentlichen Budgetentwurfs geschätzt. In der folgenden Tabelle sind die voraussichtlichen Ergebnisse der Aufsummierung der Auswirkungen des Entlastungspakets des Bundes mit den Finanzplanergebnissen 2025-2028 dargestellt. Sie bestätigen, dass ein Programm zur Sanierung der Kantonsfinanzen dringend notwendig ist.</w:t>
      </w:r>
    </w:p>
    <w:p w14:paraId="6E168DB5" w14:textId="77777777" w:rsidR="003B3CC7" w:rsidRPr="009F7E24" w:rsidRDefault="003B3CC7" w:rsidP="003B3CC7">
      <w:pPr>
        <w:pStyle w:val="Corpsdetexte"/>
        <w:rPr>
          <w:lang w:val="de-CH"/>
        </w:rPr>
      </w:pPr>
    </w:p>
    <w:tbl>
      <w:tblPr>
        <w:tblStyle w:val="EtatFribourg"/>
        <w:tblW w:w="5000"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3485"/>
        <w:gridCol w:w="1285"/>
        <w:gridCol w:w="1288"/>
        <w:gridCol w:w="1288"/>
        <w:gridCol w:w="1288"/>
        <w:gridCol w:w="1286"/>
      </w:tblGrid>
      <w:tr w:rsidR="003B3CC7" w:rsidRPr="009F7E24" w14:paraId="1B434791" w14:textId="77777777" w:rsidTr="007B12C8">
        <w:trPr>
          <w:trHeight w:val="156"/>
        </w:trPr>
        <w:tc>
          <w:tcPr>
            <w:tcW w:w="1757" w:type="pct"/>
            <w:tcBorders>
              <w:bottom w:val="single" w:sz="2" w:space="0" w:color="auto"/>
            </w:tcBorders>
          </w:tcPr>
          <w:p w14:paraId="72474F36" w14:textId="77777777" w:rsidR="003B3CC7" w:rsidRPr="009F7E24" w:rsidRDefault="003B3CC7" w:rsidP="007B12C8">
            <w:pPr>
              <w:rPr>
                <w:rFonts w:cs="Arial"/>
                <w:b/>
                <w:szCs w:val="18"/>
                <w:lang w:val="de-CH"/>
              </w:rPr>
            </w:pPr>
            <w:r w:rsidRPr="009F7E24">
              <w:rPr>
                <w:rFonts w:cs="Arial"/>
                <w:b/>
                <w:lang w:val="de-CH"/>
              </w:rPr>
              <w:t xml:space="preserve">Finanzplan für </w:t>
            </w:r>
          </w:p>
          <w:p w14:paraId="34B6D190" w14:textId="77777777" w:rsidR="003B3CC7" w:rsidRPr="009F7E24" w:rsidRDefault="003B3CC7" w:rsidP="007B12C8">
            <w:pPr>
              <w:rPr>
                <w:rFonts w:cs="Arial"/>
                <w:bCs/>
                <w:color w:val="777777" w:themeColor="text2"/>
                <w:szCs w:val="18"/>
                <w:lang w:val="de-CH"/>
              </w:rPr>
            </w:pPr>
            <w:r w:rsidRPr="009F7E24">
              <w:rPr>
                <w:rFonts w:cs="Arial"/>
                <w:b/>
                <w:lang w:val="de-CH"/>
              </w:rPr>
              <w:t>2025-2028</w:t>
            </w:r>
          </w:p>
        </w:tc>
        <w:tc>
          <w:tcPr>
            <w:tcW w:w="648" w:type="pct"/>
            <w:tcBorders>
              <w:bottom w:val="single" w:sz="2" w:space="0" w:color="auto"/>
            </w:tcBorders>
          </w:tcPr>
          <w:p w14:paraId="64926065" w14:textId="77777777" w:rsidR="003B3CC7" w:rsidRPr="009F7E24" w:rsidRDefault="003B3CC7" w:rsidP="007B12C8">
            <w:pPr>
              <w:ind w:right="85"/>
              <w:rPr>
                <w:rFonts w:cs="Arial"/>
                <w:bCs/>
                <w:color w:val="777777" w:themeColor="text2"/>
                <w:szCs w:val="18"/>
                <w:lang w:val="de-CH"/>
              </w:rPr>
            </w:pPr>
          </w:p>
        </w:tc>
        <w:tc>
          <w:tcPr>
            <w:tcW w:w="649" w:type="pct"/>
            <w:tcBorders>
              <w:bottom w:val="single" w:sz="2" w:space="0" w:color="auto"/>
            </w:tcBorders>
          </w:tcPr>
          <w:p w14:paraId="5E88EFC9" w14:textId="77777777" w:rsidR="003B3CC7" w:rsidRPr="009F7E24" w:rsidRDefault="003B3CC7" w:rsidP="007B12C8">
            <w:pPr>
              <w:ind w:right="171"/>
              <w:rPr>
                <w:rFonts w:cs="Arial"/>
                <w:bCs/>
                <w:color w:val="777777" w:themeColor="text2"/>
                <w:szCs w:val="18"/>
                <w:lang w:val="de-CH"/>
              </w:rPr>
            </w:pPr>
          </w:p>
        </w:tc>
        <w:tc>
          <w:tcPr>
            <w:tcW w:w="649" w:type="pct"/>
            <w:tcBorders>
              <w:bottom w:val="single" w:sz="2" w:space="0" w:color="auto"/>
            </w:tcBorders>
          </w:tcPr>
          <w:p w14:paraId="4663DDD7" w14:textId="77777777" w:rsidR="003B3CC7" w:rsidRPr="009F7E24" w:rsidRDefault="003B3CC7" w:rsidP="007B12C8">
            <w:pPr>
              <w:ind w:right="171"/>
              <w:rPr>
                <w:rFonts w:cs="Arial"/>
                <w:bCs/>
                <w:color w:val="777777" w:themeColor="text2"/>
                <w:szCs w:val="18"/>
                <w:lang w:val="de-CH"/>
              </w:rPr>
            </w:pPr>
          </w:p>
        </w:tc>
        <w:tc>
          <w:tcPr>
            <w:tcW w:w="649" w:type="pct"/>
            <w:tcBorders>
              <w:bottom w:val="single" w:sz="2" w:space="0" w:color="auto"/>
            </w:tcBorders>
          </w:tcPr>
          <w:p w14:paraId="0042698F" w14:textId="77777777" w:rsidR="003B3CC7" w:rsidRPr="009F7E24" w:rsidRDefault="003B3CC7" w:rsidP="007B12C8">
            <w:pPr>
              <w:ind w:right="171"/>
              <w:rPr>
                <w:rFonts w:cs="Arial"/>
                <w:bCs/>
                <w:color w:val="777777" w:themeColor="text2"/>
                <w:szCs w:val="18"/>
                <w:lang w:val="de-CH"/>
              </w:rPr>
            </w:pPr>
          </w:p>
        </w:tc>
        <w:tc>
          <w:tcPr>
            <w:tcW w:w="648" w:type="pct"/>
            <w:tcBorders>
              <w:bottom w:val="single" w:sz="2" w:space="0" w:color="auto"/>
            </w:tcBorders>
          </w:tcPr>
          <w:p w14:paraId="0ED84E5F" w14:textId="77777777" w:rsidR="003B3CC7" w:rsidRPr="009F7E24" w:rsidRDefault="003B3CC7" w:rsidP="007B12C8">
            <w:pPr>
              <w:ind w:right="171"/>
              <w:rPr>
                <w:rFonts w:cs="Arial"/>
                <w:bCs/>
                <w:color w:val="777777" w:themeColor="text2"/>
                <w:szCs w:val="18"/>
                <w:lang w:val="de-CH"/>
              </w:rPr>
            </w:pPr>
          </w:p>
        </w:tc>
      </w:tr>
      <w:tr w:rsidR="003B3CC7" w:rsidRPr="009F7E24" w14:paraId="598BF994" w14:textId="77777777" w:rsidTr="007B12C8">
        <w:trPr>
          <w:trHeight w:val="156"/>
        </w:trPr>
        <w:tc>
          <w:tcPr>
            <w:tcW w:w="1757" w:type="pct"/>
            <w:tcBorders>
              <w:top w:val="single" w:sz="2" w:space="0" w:color="auto"/>
              <w:bottom w:val="single" w:sz="2" w:space="0" w:color="auto"/>
            </w:tcBorders>
          </w:tcPr>
          <w:p w14:paraId="7F1D383B" w14:textId="77777777" w:rsidR="003B3CC7" w:rsidRPr="009F7E24" w:rsidRDefault="003B3CC7" w:rsidP="007B12C8">
            <w:pPr>
              <w:ind w:right="141"/>
              <w:rPr>
                <w:rFonts w:cs="Arial"/>
                <w:bCs/>
                <w:szCs w:val="18"/>
                <w:lang w:val="de-CH"/>
              </w:rPr>
            </w:pPr>
          </w:p>
        </w:tc>
        <w:tc>
          <w:tcPr>
            <w:tcW w:w="648" w:type="pct"/>
            <w:tcBorders>
              <w:top w:val="single" w:sz="2" w:space="0" w:color="auto"/>
              <w:bottom w:val="single" w:sz="2" w:space="0" w:color="auto"/>
            </w:tcBorders>
          </w:tcPr>
          <w:p w14:paraId="1F032872" w14:textId="77777777" w:rsidR="003B3CC7" w:rsidRPr="009F7E24" w:rsidRDefault="003B3CC7" w:rsidP="007B12C8">
            <w:pPr>
              <w:ind w:left="118" w:right="85"/>
              <w:jc w:val="right"/>
              <w:rPr>
                <w:rFonts w:cs="Arial"/>
                <w:b/>
                <w:szCs w:val="18"/>
                <w:lang w:val="de-CH"/>
              </w:rPr>
            </w:pPr>
            <w:r w:rsidRPr="009F7E24">
              <w:rPr>
                <w:rFonts w:cs="Arial"/>
                <w:b/>
                <w:lang w:val="de-CH"/>
              </w:rPr>
              <w:t>Voranschlag</w:t>
            </w:r>
          </w:p>
          <w:p w14:paraId="57335E60" w14:textId="77777777" w:rsidR="003B3CC7" w:rsidRPr="009F7E24" w:rsidRDefault="003B3CC7" w:rsidP="007B12C8">
            <w:pPr>
              <w:ind w:right="85"/>
              <w:jc w:val="right"/>
              <w:rPr>
                <w:rFonts w:cs="Arial"/>
                <w:b/>
                <w:szCs w:val="18"/>
                <w:lang w:val="de-CH"/>
              </w:rPr>
            </w:pPr>
            <w:r w:rsidRPr="009F7E24">
              <w:rPr>
                <w:rFonts w:cs="Arial"/>
                <w:b/>
                <w:lang w:val="de-CH"/>
              </w:rPr>
              <w:t>2025</w:t>
            </w:r>
          </w:p>
        </w:tc>
        <w:tc>
          <w:tcPr>
            <w:tcW w:w="649" w:type="pct"/>
            <w:tcBorders>
              <w:top w:val="single" w:sz="2" w:space="0" w:color="auto"/>
              <w:bottom w:val="single" w:sz="2" w:space="0" w:color="auto"/>
            </w:tcBorders>
          </w:tcPr>
          <w:p w14:paraId="68B87538" w14:textId="77777777" w:rsidR="003B3CC7" w:rsidRPr="009F7E24" w:rsidRDefault="003B3CC7" w:rsidP="007B12C8">
            <w:pPr>
              <w:ind w:right="171"/>
              <w:jc w:val="right"/>
              <w:rPr>
                <w:rFonts w:cs="Arial"/>
                <w:b/>
                <w:szCs w:val="18"/>
                <w:lang w:val="de-CH"/>
              </w:rPr>
            </w:pPr>
            <w:r w:rsidRPr="009F7E24">
              <w:rPr>
                <w:rFonts w:cs="Arial"/>
                <w:b/>
                <w:lang w:val="de-CH"/>
              </w:rPr>
              <w:t>Finanzplan</w:t>
            </w:r>
          </w:p>
          <w:p w14:paraId="0775D836" w14:textId="77777777" w:rsidR="003B3CC7" w:rsidRPr="009F7E24" w:rsidRDefault="003B3CC7" w:rsidP="007B12C8">
            <w:pPr>
              <w:ind w:right="171"/>
              <w:jc w:val="right"/>
              <w:rPr>
                <w:rFonts w:cs="Arial"/>
                <w:b/>
                <w:szCs w:val="18"/>
                <w:lang w:val="de-CH"/>
              </w:rPr>
            </w:pPr>
            <w:r w:rsidRPr="009F7E24">
              <w:rPr>
                <w:rFonts w:cs="Arial"/>
                <w:b/>
                <w:lang w:val="de-CH"/>
              </w:rPr>
              <w:t>2026</w:t>
            </w:r>
          </w:p>
        </w:tc>
        <w:tc>
          <w:tcPr>
            <w:tcW w:w="649" w:type="pct"/>
            <w:tcBorders>
              <w:top w:val="single" w:sz="2" w:space="0" w:color="auto"/>
              <w:bottom w:val="single" w:sz="2" w:space="0" w:color="auto"/>
            </w:tcBorders>
          </w:tcPr>
          <w:p w14:paraId="4EF4548D" w14:textId="77777777" w:rsidR="003B3CC7" w:rsidRPr="009F7E24" w:rsidRDefault="003B3CC7" w:rsidP="007B12C8">
            <w:pPr>
              <w:ind w:right="171"/>
              <w:jc w:val="right"/>
              <w:rPr>
                <w:rFonts w:cs="Arial"/>
                <w:b/>
                <w:szCs w:val="18"/>
                <w:lang w:val="de-CH"/>
              </w:rPr>
            </w:pPr>
            <w:r w:rsidRPr="009F7E24">
              <w:rPr>
                <w:rFonts w:cs="Arial"/>
                <w:b/>
                <w:lang w:val="de-CH"/>
              </w:rPr>
              <w:t>Finanzplan</w:t>
            </w:r>
          </w:p>
          <w:p w14:paraId="0E5C8343" w14:textId="77777777" w:rsidR="003B3CC7" w:rsidRPr="009F7E24" w:rsidRDefault="003B3CC7" w:rsidP="007B12C8">
            <w:pPr>
              <w:ind w:right="171"/>
              <w:jc w:val="right"/>
              <w:rPr>
                <w:rFonts w:cs="Arial"/>
                <w:b/>
                <w:szCs w:val="18"/>
                <w:lang w:val="de-CH"/>
              </w:rPr>
            </w:pPr>
            <w:r w:rsidRPr="009F7E24">
              <w:rPr>
                <w:rFonts w:cs="Arial"/>
                <w:b/>
                <w:lang w:val="de-CH"/>
              </w:rPr>
              <w:t>2027</w:t>
            </w:r>
          </w:p>
        </w:tc>
        <w:tc>
          <w:tcPr>
            <w:tcW w:w="649" w:type="pct"/>
            <w:tcBorders>
              <w:top w:val="single" w:sz="2" w:space="0" w:color="auto"/>
              <w:bottom w:val="single" w:sz="2" w:space="0" w:color="auto"/>
            </w:tcBorders>
          </w:tcPr>
          <w:p w14:paraId="0E24533F" w14:textId="77777777" w:rsidR="003B3CC7" w:rsidRPr="009F7E24" w:rsidRDefault="003B3CC7" w:rsidP="007B12C8">
            <w:pPr>
              <w:ind w:right="171"/>
              <w:jc w:val="right"/>
              <w:rPr>
                <w:rFonts w:cs="Arial"/>
                <w:b/>
                <w:szCs w:val="18"/>
                <w:lang w:val="de-CH"/>
              </w:rPr>
            </w:pPr>
            <w:r w:rsidRPr="009F7E24">
              <w:rPr>
                <w:rFonts w:cs="Arial"/>
                <w:b/>
                <w:lang w:val="de-CH"/>
              </w:rPr>
              <w:t xml:space="preserve">Finanzplan </w:t>
            </w:r>
          </w:p>
          <w:p w14:paraId="229A4A51" w14:textId="77777777" w:rsidR="003B3CC7" w:rsidRPr="009F7E24" w:rsidRDefault="003B3CC7" w:rsidP="007B12C8">
            <w:pPr>
              <w:ind w:right="171"/>
              <w:jc w:val="right"/>
              <w:rPr>
                <w:rFonts w:cs="Arial"/>
                <w:b/>
                <w:szCs w:val="18"/>
                <w:lang w:val="de-CH"/>
              </w:rPr>
            </w:pPr>
            <w:r w:rsidRPr="009F7E24">
              <w:rPr>
                <w:rFonts w:cs="Arial"/>
                <w:b/>
                <w:lang w:val="de-CH"/>
              </w:rPr>
              <w:t>2028</w:t>
            </w:r>
          </w:p>
        </w:tc>
        <w:tc>
          <w:tcPr>
            <w:tcW w:w="648" w:type="pct"/>
            <w:tcBorders>
              <w:top w:val="single" w:sz="2" w:space="0" w:color="auto"/>
              <w:bottom w:val="single" w:sz="2" w:space="0" w:color="auto"/>
            </w:tcBorders>
          </w:tcPr>
          <w:p w14:paraId="1421C245" w14:textId="77777777" w:rsidR="003B3CC7" w:rsidRPr="009F7E24" w:rsidRDefault="003B3CC7" w:rsidP="007B12C8">
            <w:pPr>
              <w:ind w:right="171"/>
              <w:jc w:val="right"/>
              <w:rPr>
                <w:rFonts w:cs="Arial"/>
                <w:b/>
                <w:szCs w:val="18"/>
                <w:lang w:val="de-CH"/>
              </w:rPr>
            </w:pPr>
            <w:r w:rsidRPr="009F7E24">
              <w:rPr>
                <w:rFonts w:cs="Arial"/>
                <w:b/>
                <w:lang w:val="de-CH"/>
              </w:rPr>
              <w:t>Zeitraum</w:t>
            </w:r>
          </w:p>
          <w:p w14:paraId="6E26976C" w14:textId="77777777" w:rsidR="003B3CC7" w:rsidRPr="009F7E24" w:rsidRDefault="003B3CC7" w:rsidP="007B12C8">
            <w:pPr>
              <w:ind w:right="171"/>
              <w:jc w:val="right"/>
              <w:rPr>
                <w:rFonts w:cs="Arial"/>
                <w:b/>
                <w:szCs w:val="18"/>
                <w:lang w:val="de-CH"/>
              </w:rPr>
            </w:pPr>
            <w:r w:rsidRPr="009F7E24">
              <w:rPr>
                <w:rFonts w:cs="Arial"/>
                <w:b/>
                <w:lang w:val="de-CH"/>
              </w:rPr>
              <w:t>2025-2028</w:t>
            </w:r>
          </w:p>
        </w:tc>
      </w:tr>
      <w:tr w:rsidR="003B3CC7" w:rsidRPr="009F7E24" w14:paraId="0F081D35" w14:textId="77777777" w:rsidTr="007B12C8">
        <w:trPr>
          <w:trHeight w:val="203"/>
        </w:trPr>
        <w:tc>
          <w:tcPr>
            <w:tcW w:w="1757" w:type="pct"/>
            <w:tcBorders>
              <w:top w:val="single" w:sz="2" w:space="0" w:color="auto"/>
              <w:bottom w:val="single" w:sz="2" w:space="0" w:color="auto"/>
            </w:tcBorders>
          </w:tcPr>
          <w:p w14:paraId="69F2799B" w14:textId="77777777" w:rsidR="003B3CC7" w:rsidRPr="009F7E24" w:rsidRDefault="003B3CC7" w:rsidP="007B12C8">
            <w:pPr>
              <w:ind w:right="57"/>
              <w:jc w:val="right"/>
              <w:rPr>
                <w:rFonts w:cs="Arial"/>
                <w:bCs/>
                <w:szCs w:val="18"/>
                <w:lang w:val="de-CH"/>
              </w:rPr>
            </w:pPr>
          </w:p>
        </w:tc>
        <w:tc>
          <w:tcPr>
            <w:tcW w:w="648" w:type="pct"/>
            <w:tcBorders>
              <w:top w:val="single" w:sz="2" w:space="0" w:color="auto"/>
              <w:bottom w:val="single" w:sz="2" w:space="0" w:color="auto"/>
            </w:tcBorders>
          </w:tcPr>
          <w:p w14:paraId="16301D28" w14:textId="77777777" w:rsidR="003B3CC7" w:rsidRPr="009F7E24" w:rsidRDefault="003B3CC7" w:rsidP="007B12C8">
            <w:pPr>
              <w:ind w:right="85"/>
              <w:jc w:val="right"/>
              <w:rPr>
                <w:rFonts w:cs="Arial"/>
                <w:bCs/>
                <w:szCs w:val="18"/>
                <w:lang w:val="de-CH"/>
              </w:rPr>
            </w:pPr>
            <w:r w:rsidRPr="009F7E24">
              <w:rPr>
                <w:rFonts w:cs="Arial"/>
                <w:lang w:val="de-CH"/>
              </w:rPr>
              <w:t>Mio.</w:t>
            </w:r>
          </w:p>
        </w:tc>
        <w:tc>
          <w:tcPr>
            <w:tcW w:w="649" w:type="pct"/>
            <w:tcBorders>
              <w:top w:val="single" w:sz="2" w:space="0" w:color="auto"/>
              <w:bottom w:val="single" w:sz="2" w:space="0" w:color="auto"/>
            </w:tcBorders>
          </w:tcPr>
          <w:p w14:paraId="4EDB45F2" w14:textId="77777777" w:rsidR="003B3CC7" w:rsidRPr="009F7E24" w:rsidRDefault="003B3CC7" w:rsidP="007B12C8">
            <w:pPr>
              <w:ind w:right="171"/>
              <w:jc w:val="right"/>
              <w:rPr>
                <w:rFonts w:cs="Arial"/>
                <w:bCs/>
                <w:szCs w:val="18"/>
                <w:lang w:val="de-CH"/>
              </w:rPr>
            </w:pPr>
            <w:r w:rsidRPr="009F7E24">
              <w:rPr>
                <w:rFonts w:cs="Arial"/>
                <w:lang w:val="de-CH"/>
              </w:rPr>
              <w:t>Mio.</w:t>
            </w:r>
          </w:p>
        </w:tc>
        <w:tc>
          <w:tcPr>
            <w:tcW w:w="649" w:type="pct"/>
            <w:tcBorders>
              <w:top w:val="single" w:sz="2" w:space="0" w:color="auto"/>
              <w:bottom w:val="single" w:sz="2" w:space="0" w:color="auto"/>
            </w:tcBorders>
          </w:tcPr>
          <w:p w14:paraId="4D173A84" w14:textId="77777777" w:rsidR="003B3CC7" w:rsidRPr="009F7E24" w:rsidRDefault="003B3CC7" w:rsidP="007B12C8">
            <w:pPr>
              <w:ind w:right="171"/>
              <w:jc w:val="right"/>
              <w:rPr>
                <w:rFonts w:cs="Arial"/>
                <w:bCs/>
                <w:szCs w:val="18"/>
                <w:lang w:val="de-CH"/>
              </w:rPr>
            </w:pPr>
            <w:r w:rsidRPr="009F7E24">
              <w:rPr>
                <w:rFonts w:cs="Arial"/>
                <w:lang w:val="de-CH"/>
              </w:rPr>
              <w:t>Mio.</w:t>
            </w:r>
          </w:p>
        </w:tc>
        <w:tc>
          <w:tcPr>
            <w:tcW w:w="649" w:type="pct"/>
            <w:tcBorders>
              <w:top w:val="single" w:sz="2" w:space="0" w:color="auto"/>
              <w:bottom w:val="single" w:sz="2" w:space="0" w:color="auto"/>
            </w:tcBorders>
          </w:tcPr>
          <w:p w14:paraId="0F2CBF7C" w14:textId="77777777" w:rsidR="003B3CC7" w:rsidRPr="009F7E24" w:rsidRDefault="003B3CC7" w:rsidP="007B12C8">
            <w:pPr>
              <w:ind w:right="171"/>
              <w:jc w:val="right"/>
              <w:rPr>
                <w:rFonts w:cs="Arial"/>
                <w:bCs/>
                <w:szCs w:val="18"/>
                <w:lang w:val="de-CH"/>
              </w:rPr>
            </w:pPr>
            <w:r w:rsidRPr="009F7E24">
              <w:rPr>
                <w:rFonts w:cs="Arial"/>
                <w:lang w:val="de-CH"/>
              </w:rPr>
              <w:t>Mio.</w:t>
            </w:r>
          </w:p>
        </w:tc>
        <w:tc>
          <w:tcPr>
            <w:tcW w:w="648" w:type="pct"/>
            <w:tcBorders>
              <w:top w:val="single" w:sz="2" w:space="0" w:color="auto"/>
              <w:bottom w:val="single" w:sz="2" w:space="0" w:color="auto"/>
            </w:tcBorders>
          </w:tcPr>
          <w:p w14:paraId="42BAB03E" w14:textId="77777777" w:rsidR="003B3CC7" w:rsidRPr="009F7E24" w:rsidRDefault="003B3CC7" w:rsidP="007B12C8">
            <w:pPr>
              <w:ind w:right="171"/>
              <w:jc w:val="right"/>
              <w:rPr>
                <w:rFonts w:cs="Arial"/>
                <w:bCs/>
                <w:szCs w:val="18"/>
                <w:lang w:val="de-CH"/>
              </w:rPr>
            </w:pPr>
            <w:r w:rsidRPr="009F7E24">
              <w:rPr>
                <w:rFonts w:cs="Arial"/>
                <w:lang w:val="de-CH"/>
              </w:rPr>
              <w:t>Mio.</w:t>
            </w:r>
          </w:p>
        </w:tc>
      </w:tr>
      <w:tr w:rsidR="003B3CC7" w:rsidRPr="009F7E24" w14:paraId="4734E15E" w14:textId="77777777" w:rsidTr="007B12C8">
        <w:tc>
          <w:tcPr>
            <w:tcW w:w="1757" w:type="pct"/>
            <w:tcBorders>
              <w:top w:val="single" w:sz="2" w:space="0" w:color="auto"/>
              <w:bottom w:val="single" w:sz="2" w:space="0" w:color="auto"/>
            </w:tcBorders>
          </w:tcPr>
          <w:p w14:paraId="45553632" w14:textId="77777777" w:rsidR="003B3CC7" w:rsidRPr="009F7E24" w:rsidRDefault="003B3CC7" w:rsidP="007B12C8">
            <w:pPr>
              <w:rPr>
                <w:rFonts w:cs="Arial"/>
                <w:b/>
                <w:bCs/>
                <w:szCs w:val="18"/>
                <w:lang w:val="de-CH"/>
              </w:rPr>
            </w:pPr>
            <w:r w:rsidRPr="009F7E24">
              <w:rPr>
                <w:rFonts w:cs="Arial"/>
                <w:lang w:val="de-CH"/>
              </w:rPr>
              <w:t>Überschuss (+) / Defizit (–) Erfolgsrechnung</w:t>
            </w:r>
          </w:p>
        </w:tc>
        <w:tc>
          <w:tcPr>
            <w:tcW w:w="648" w:type="pct"/>
            <w:tcBorders>
              <w:top w:val="single" w:sz="2" w:space="0" w:color="auto"/>
              <w:bottom w:val="single" w:sz="2" w:space="0" w:color="auto"/>
            </w:tcBorders>
            <w:vAlign w:val="center"/>
          </w:tcPr>
          <w:p w14:paraId="710D01FD" w14:textId="77777777" w:rsidR="003B3CC7" w:rsidRPr="009F7E24" w:rsidRDefault="003B3CC7" w:rsidP="007B12C8">
            <w:pPr>
              <w:ind w:right="85"/>
              <w:jc w:val="right"/>
              <w:rPr>
                <w:rFonts w:cs="Arial"/>
                <w:bCs/>
                <w:szCs w:val="18"/>
                <w:lang w:val="de-CH"/>
              </w:rPr>
            </w:pPr>
            <w:r w:rsidRPr="009F7E24">
              <w:rPr>
                <w:rFonts w:cs="Arial"/>
                <w:lang w:val="de-CH"/>
              </w:rPr>
              <w:t>+ 0,7</w:t>
            </w:r>
          </w:p>
        </w:tc>
        <w:tc>
          <w:tcPr>
            <w:tcW w:w="649" w:type="pct"/>
            <w:tcBorders>
              <w:top w:val="single" w:sz="2" w:space="0" w:color="auto"/>
              <w:bottom w:val="single" w:sz="2" w:space="0" w:color="auto"/>
            </w:tcBorders>
            <w:vAlign w:val="center"/>
          </w:tcPr>
          <w:p w14:paraId="1B124158" w14:textId="77777777" w:rsidR="003B3CC7" w:rsidRPr="009F7E24" w:rsidRDefault="003B3CC7" w:rsidP="007B12C8">
            <w:pPr>
              <w:ind w:right="171"/>
              <w:jc w:val="right"/>
              <w:rPr>
                <w:rFonts w:cs="Arial"/>
                <w:bCs/>
                <w:szCs w:val="18"/>
                <w:lang w:val="de-CH"/>
              </w:rPr>
            </w:pPr>
            <w:r w:rsidRPr="009F7E24">
              <w:rPr>
                <w:rFonts w:cs="Arial"/>
                <w:lang w:val="de-CH"/>
              </w:rPr>
              <w:t>– 147,1</w:t>
            </w:r>
          </w:p>
        </w:tc>
        <w:tc>
          <w:tcPr>
            <w:tcW w:w="649" w:type="pct"/>
            <w:tcBorders>
              <w:top w:val="single" w:sz="2" w:space="0" w:color="auto"/>
              <w:bottom w:val="single" w:sz="2" w:space="0" w:color="auto"/>
            </w:tcBorders>
            <w:vAlign w:val="center"/>
          </w:tcPr>
          <w:p w14:paraId="26619F51" w14:textId="77777777" w:rsidR="003B3CC7" w:rsidRPr="009F7E24" w:rsidRDefault="003B3CC7" w:rsidP="007B12C8">
            <w:pPr>
              <w:ind w:right="171"/>
              <w:jc w:val="right"/>
              <w:rPr>
                <w:rFonts w:cs="Arial"/>
                <w:bCs/>
                <w:szCs w:val="18"/>
                <w:lang w:val="de-CH"/>
              </w:rPr>
            </w:pPr>
            <w:r w:rsidRPr="009F7E24">
              <w:rPr>
                <w:rFonts w:cs="Arial"/>
                <w:lang w:val="de-CH"/>
              </w:rPr>
              <w:t>– 150,5</w:t>
            </w:r>
          </w:p>
        </w:tc>
        <w:tc>
          <w:tcPr>
            <w:tcW w:w="649" w:type="pct"/>
            <w:tcBorders>
              <w:top w:val="single" w:sz="2" w:space="0" w:color="auto"/>
              <w:bottom w:val="single" w:sz="2" w:space="0" w:color="auto"/>
            </w:tcBorders>
            <w:vAlign w:val="center"/>
          </w:tcPr>
          <w:p w14:paraId="0A29B1CF" w14:textId="77777777" w:rsidR="003B3CC7" w:rsidRPr="009F7E24" w:rsidRDefault="003B3CC7" w:rsidP="007B12C8">
            <w:pPr>
              <w:ind w:right="171"/>
              <w:jc w:val="right"/>
              <w:rPr>
                <w:rFonts w:cs="Arial"/>
                <w:bCs/>
                <w:szCs w:val="18"/>
                <w:lang w:val="de-CH"/>
              </w:rPr>
            </w:pPr>
            <w:r w:rsidRPr="009F7E24">
              <w:rPr>
                <w:rFonts w:cs="Arial"/>
                <w:lang w:val="de-CH"/>
              </w:rPr>
              <w:t>– 139,0</w:t>
            </w:r>
          </w:p>
        </w:tc>
        <w:tc>
          <w:tcPr>
            <w:tcW w:w="648" w:type="pct"/>
            <w:tcBorders>
              <w:top w:val="single" w:sz="2" w:space="0" w:color="auto"/>
              <w:bottom w:val="single" w:sz="2" w:space="0" w:color="auto"/>
            </w:tcBorders>
            <w:vAlign w:val="center"/>
          </w:tcPr>
          <w:p w14:paraId="7C96FB55" w14:textId="77777777" w:rsidR="003B3CC7" w:rsidRPr="009F7E24" w:rsidRDefault="003B3CC7" w:rsidP="007B12C8">
            <w:pPr>
              <w:ind w:right="171"/>
              <w:jc w:val="right"/>
              <w:rPr>
                <w:rFonts w:cs="Arial"/>
                <w:bCs/>
                <w:szCs w:val="18"/>
                <w:lang w:val="de-CH"/>
              </w:rPr>
            </w:pPr>
            <w:r w:rsidRPr="009F7E24">
              <w:rPr>
                <w:rFonts w:cs="Arial"/>
                <w:lang w:val="de-CH"/>
              </w:rPr>
              <w:t>– 435,9</w:t>
            </w:r>
          </w:p>
        </w:tc>
      </w:tr>
      <w:tr w:rsidR="003B3CC7" w:rsidRPr="009F7E24" w14:paraId="7FE06E1F" w14:textId="77777777" w:rsidTr="007B12C8">
        <w:tc>
          <w:tcPr>
            <w:tcW w:w="1757" w:type="pct"/>
            <w:tcBorders>
              <w:top w:val="single" w:sz="2" w:space="0" w:color="auto"/>
              <w:bottom w:val="single" w:sz="2" w:space="0" w:color="auto"/>
            </w:tcBorders>
          </w:tcPr>
          <w:p w14:paraId="52B6A5CB" w14:textId="77777777" w:rsidR="003B3CC7" w:rsidRPr="009F7E24" w:rsidRDefault="003B3CC7" w:rsidP="007B12C8">
            <w:pPr>
              <w:rPr>
                <w:rFonts w:cs="Arial"/>
                <w:bCs/>
                <w:szCs w:val="18"/>
                <w:lang w:val="de-CH"/>
              </w:rPr>
            </w:pPr>
            <w:r w:rsidRPr="009F7E24">
              <w:rPr>
                <w:rFonts w:cs="Arial"/>
                <w:lang w:val="de-CH"/>
              </w:rPr>
              <w:t>Geschätzte Auswirkungen des Entlastungspakets für den Bundeshaushalt</w:t>
            </w:r>
          </w:p>
        </w:tc>
        <w:tc>
          <w:tcPr>
            <w:tcW w:w="648" w:type="pct"/>
            <w:tcBorders>
              <w:top w:val="single" w:sz="2" w:space="0" w:color="auto"/>
              <w:bottom w:val="single" w:sz="2" w:space="0" w:color="auto"/>
            </w:tcBorders>
            <w:vAlign w:val="center"/>
          </w:tcPr>
          <w:p w14:paraId="440343FF" w14:textId="77777777" w:rsidR="003B3CC7" w:rsidRPr="009F7E24" w:rsidRDefault="003B3CC7" w:rsidP="007B12C8">
            <w:pPr>
              <w:ind w:right="85"/>
              <w:jc w:val="right"/>
              <w:rPr>
                <w:rFonts w:cs="Arial"/>
                <w:bCs/>
                <w:szCs w:val="18"/>
                <w:lang w:val="de-CH"/>
              </w:rPr>
            </w:pPr>
            <w:r w:rsidRPr="009F7E24">
              <w:rPr>
                <w:rFonts w:cs="Arial"/>
                <w:lang w:val="de-CH"/>
              </w:rPr>
              <w:t>–</w:t>
            </w:r>
          </w:p>
        </w:tc>
        <w:tc>
          <w:tcPr>
            <w:tcW w:w="649" w:type="pct"/>
            <w:tcBorders>
              <w:top w:val="single" w:sz="2" w:space="0" w:color="auto"/>
              <w:bottom w:val="single" w:sz="2" w:space="0" w:color="auto"/>
            </w:tcBorders>
            <w:vAlign w:val="center"/>
          </w:tcPr>
          <w:p w14:paraId="4C547304" w14:textId="77777777" w:rsidR="003B3CC7" w:rsidRPr="009F7E24" w:rsidRDefault="003B3CC7" w:rsidP="007B12C8">
            <w:pPr>
              <w:ind w:right="171"/>
              <w:jc w:val="right"/>
              <w:rPr>
                <w:rFonts w:cs="Arial"/>
                <w:bCs/>
                <w:szCs w:val="18"/>
                <w:lang w:val="de-CH"/>
              </w:rPr>
            </w:pPr>
            <w:r w:rsidRPr="009F7E24">
              <w:rPr>
                <w:rFonts w:cs="Arial"/>
                <w:lang w:val="de-CH"/>
              </w:rPr>
              <w:t>– </w:t>
            </w:r>
          </w:p>
        </w:tc>
        <w:tc>
          <w:tcPr>
            <w:tcW w:w="649" w:type="pct"/>
            <w:tcBorders>
              <w:top w:val="single" w:sz="2" w:space="0" w:color="auto"/>
              <w:bottom w:val="single" w:sz="2" w:space="0" w:color="auto"/>
            </w:tcBorders>
            <w:vAlign w:val="center"/>
          </w:tcPr>
          <w:p w14:paraId="5ECD3113" w14:textId="77777777" w:rsidR="003B3CC7" w:rsidRPr="009F7E24" w:rsidRDefault="003B3CC7" w:rsidP="007B12C8">
            <w:pPr>
              <w:ind w:right="171"/>
              <w:jc w:val="right"/>
              <w:rPr>
                <w:rFonts w:cs="Arial"/>
                <w:bCs/>
                <w:szCs w:val="18"/>
                <w:lang w:val="de-CH"/>
              </w:rPr>
            </w:pPr>
            <w:r w:rsidRPr="009F7E24">
              <w:rPr>
                <w:rFonts w:cs="Arial"/>
                <w:lang w:val="de-CH"/>
              </w:rPr>
              <w:t>– 41,2</w:t>
            </w:r>
          </w:p>
        </w:tc>
        <w:tc>
          <w:tcPr>
            <w:tcW w:w="649" w:type="pct"/>
            <w:tcBorders>
              <w:top w:val="single" w:sz="2" w:space="0" w:color="auto"/>
              <w:bottom w:val="single" w:sz="2" w:space="0" w:color="auto"/>
            </w:tcBorders>
            <w:vAlign w:val="center"/>
          </w:tcPr>
          <w:p w14:paraId="00E090D4" w14:textId="32749569" w:rsidR="003B3CC7" w:rsidRPr="009F7E24" w:rsidRDefault="003B3CC7" w:rsidP="007B12C8">
            <w:pPr>
              <w:ind w:right="171"/>
              <w:jc w:val="right"/>
              <w:rPr>
                <w:rFonts w:cs="Arial"/>
                <w:bCs/>
                <w:szCs w:val="18"/>
                <w:lang w:val="de-CH"/>
              </w:rPr>
            </w:pPr>
            <w:r w:rsidRPr="009F7E24">
              <w:rPr>
                <w:rFonts w:cs="Arial"/>
                <w:lang w:val="de-CH"/>
              </w:rPr>
              <w:t>– </w:t>
            </w:r>
            <w:r w:rsidR="001E61DA">
              <w:rPr>
                <w:rFonts w:cs="Arial"/>
                <w:lang w:val="de-CH"/>
              </w:rPr>
              <w:t>62,2</w:t>
            </w:r>
          </w:p>
        </w:tc>
        <w:tc>
          <w:tcPr>
            <w:tcW w:w="648" w:type="pct"/>
            <w:tcBorders>
              <w:top w:val="single" w:sz="2" w:space="0" w:color="auto"/>
              <w:bottom w:val="single" w:sz="2" w:space="0" w:color="auto"/>
            </w:tcBorders>
            <w:vAlign w:val="center"/>
          </w:tcPr>
          <w:p w14:paraId="4220D036" w14:textId="3D94AD05" w:rsidR="003B3CC7" w:rsidRPr="009F7E24" w:rsidRDefault="003B3CC7" w:rsidP="007B12C8">
            <w:pPr>
              <w:ind w:right="171"/>
              <w:jc w:val="right"/>
              <w:rPr>
                <w:rFonts w:cs="Arial"/>
                <w:bCs/>
                <w:szCs w:val="18"/>
                <w:lang w:val="de-CH"/>
              </w:rPr>
            </w:pPr>
            <w:r w:rsidRPr="009F7E24">
              <w:rPr>
                <w:rFonts w:cs="Arial"/>
                <w:lang w:val="de-CH"/>
              </w:rPr>
              <w:t>– </w:t>
            </w:r>
            <w:r w:rsidR="001E61DA">
              <w:rPr>
                <w:rFonts w:cs="Arial"/>
                <w:lang w:val="de-CH"/>
              </w:rPr>
              <w:t>103,4</w:t>
            </w:r>
          </w:p>
        </w:tc>
      </w:tr>
      <w:tr w:rsidR="003B3CC7" w:rsidRPr="009F7E24" w14:paraId="2F8A22A7" w14:textId="77777777" w:rsidTr="007B12C8">
        <w:tc>
          <w:tcPr>
            <w:tcW w:w="1757" w:type="pct"/>
            <w:tcBorders>
              <w:top w:val="single" w:sz="2" w:space="0" w:color="auto"/>
            </w:tcBorders>
          </w:tcPr>
          <w:p w14:paraId="5FEDA401" w14:textId="77777777" w:rsidR="003B3CC7" w:rsidRPr="009F7E24" w:rsidRDefault="003B3CC7" w:rsidP="007B12C8">
            <w:pPr>
              <w:rPr>
                <w:rFonts w:cs="Arial"/>
                <w:b/>
                <w:szCs w:val="18"/>
                <w:lang w:val="de-CH"/>
              </w:rPr>
            </w:pPr>
            <w:r w:rsidRPr="009F7E24">
              <w:rPr>
                <w:rFonts w:cs="Arial"/>
                <w:b/>
                <w:lang w:val="de-CH"/>
              </w:rPr>
              <w:t>Bereinigte Ergebnisse:</w:t>
            </w:r>
          </w:p>
          <w:p w14:paraId="3AB9A73C" w14:textId="77777777" w:rsidR="003B3CC7" w:rsidRPr="009F7E24" w:rsidRDefault="003B3CC7" w:rsidP="007B12C8">
            <w:pPr>
              <w:rPr>
                <w:rFonts w:cs="Arial"/>
                <w:bCs/>
                <w:szCs w:val="18"/>
                <w:lang w:val="de-CH"/>
              </w:rPr>
            </w:pPr>
            <w:r w:rsidRPr="009F7E24">
              <w:rPr>
                <w:rFonts w:cs="Arial"/>
                <w:lang w:val="de-CH"/>
              </w:rPr>
              <w:t>Überschuss (+) / Defizit (–) Erfolgsrechnung</w:t>
            </w:r>
          </w:p>
        </w:tc>
        <w:tc>
          <w:tcPr>
            <w:tcW w:w="648" w:type="pct"/>
            <w:tcBorders>
              <w:top w:val="single" w:sz="2" w:space="0" w:color="auto"/>
            </w:tcBorders>
            <w:vAlign w:val="center"/>
          </w:tcPr>
          <w:p w14:paraId="7F517FB6" w14:textId="77777777" w:rsidR="003B3CC7" w:rsidRPr="009F7E24" w:rsidRDefault="003B3CC7" w:rsidP="007B12C8">
            <w:pPr>
              <w:ind w:right="85"/>
              <w:jc w:val="right"/>
              <w:rPr>
                <w:rFonts w:cs="Arial"/>
                <w:b/>
                <w:szCs w:val="18"/>
                <w:lang w:val="de-CH"/>
              </w:rPr>
            </w:pPr>
            <w:r w:rsidRPr="009F7E24">
              <w:rPr>
                <w:rFonts w:cs="Arial"/>
                <w:b/>
                <w:lang w:val="de-CH"/>
              </w:rPr>
              <w:t>+ 0,7</w:t>
            </w:r>
          </w:p>
        </w:tc>
        <w:tc>
          <w:tcPr>
            <w:tcW w:w="649" w:type="pct"/>
            <w:tcBorders>
              <w:top w:val="single" w:sz="2" w:space="0" w:color="auto"/>
            </w:tcBorders>
            <w:vAlign w:val="center"/>
          </w:tcPr>
          <w:p w14:paraId="749D5DED" w14:textId="77777777" w:rsidR="003B3CC7" w:rsidRPr="009F7E24" w:rsidRDefault="003B3CC7" w:rsidP="007B12C8">
            <w:pPr>
              <w:ind w:right="171"/>
              <w:jc w:val="right"/>
              <w:rPr>
                <w:rFonts w:cs="Arial"/>
                <w:b/>
                <w:szCs w:val="18"/>
                <w:lang w:val="de-CH"/>
              </w:rPr>
            </w:pPr>
            <w:r w:rsidRPr="009F7E24">
              <w:rPr>
                <w:rFonts w:cs="Arial"/>
                <w:b/>
                <w:lang w:val="de-CH"/>
              </w:rPr>
              <w:t>– 147,1</w:t>
            </w:r>
          </w:p>
        </w:tc>
        <w:tc>
          <w:tcPr>
            <w:tcW w:w="649" w:type="pct"/>
            <w:tcBorders>
              <w:top w:val="single" w:sz="2" w:space="0" w:color="auto"/>
            </w:tcBorders>
            <w:vAlign w:val="center"/>
          </w:tcPr>
          <w:p w14:paraId="54295431" w14:textId="77777777" w:rsidR="003B3CC7" w:rsidRPr="009F7E24" w:rsidRDefault="003B3CC7" w:rsidP="007B12C8">
            <w:pPr>
              <w:ind w:right="171"/>
              <w:jc w:val="right"/>
              <w:rPr>
                <w:rFonts w:cs="Arial"/>
                <w:b/>
                <w:szCs w:val="18"/>
                <w:lang w:val="de-CH"/>
              </w:rPr>
            </w:pPr>
            <w:r w:rsidRPr="009F7E24">
              <w:rPr>
                <w:rFonts w:cs="Arial"/>
                <w:b/>
                <w:lang w:val="de-CH"/>
              </w:rPr>
              <w:t>– 191,7</w:t>
            </w:r>
          </w:p>
        </w:tc>
        <w:tc>
          <w:tcPr>
            <w:tcW w:w="649" w:type="pct"/>
            <w:tcBorders>
              <w:top w:val="single" w:sz="2" w:space="0" w:color="auto"/>
            </w:tcBorders>
            <w:vAlign w:val="center"/>
          </w:tcPr>
          <w:p w14:paraId="508FC8D2" w14:textId="0BBE646C" w:rsidR="003B3CC7" w:rsidRPr="009F7E24" w:rsidRDefault="003B3CC7" w:rsidP="007B12C8">
            <w:pPr>
              <w:ind w:right="171"/>
              <w:jc w:val="right"/>
              <w:rPr>
                <w:rFonts w:cs="Arial"/>
                <w:b/>
                <w:szCs w:val="18"/>
                <w:lang w:val="de-CH"/>
              </w:rPr>
            </w:pPr>
            <w:r w:rsidRPr="009F7E24">
              <w:rPr>
                <w:rFonts w:cs="Arial"/>
                <w:b/>
                <w:lang w:val="de-CH"/>
              </w:rPr>
              <w:t>– </w:t>
            </w:r>
            <w:r w:rsidR="001E61DA">
              <w:rPr>
                <w:rFonts w:cs="Arial"/>
                <w:b/>
                <w:lang w:val="de-CH"/>
              </w:rPr>
              <w:t>201,2</w:t>
            </w:r>
          </w:p>
        </w:tc>
        <w:tc>
          <w:tcPr>
            <w:tcW w:w="648" w:type="pct"/>
            <w:tcBorders>
              <w:top w:val="single" w:sz="2" w:space="0" w:color="auto"/>
            </w:tcBorders>
            <w:vAlign w:val="center"/>
          </w:tcPr>
          <w:p w14:paraId="37180525" w14:textId="221F4147" w:rsidR="003B3CC7" w:rsidRPr="009F7E24" w:rsidRDefault="003B3CC7" w:rsidP="007B12C8">
            <w:pPr>
              <w:ind w:right="171"/>
              <w:jc w:val="right"/>
              <w:rPr>
                <w:rFonts w:cs="Arial"/>
                <w:b/>
                <w:szCs w:val="18"/>
                <w:lang w:val="de-CH"/>
              </w:rPr>
            </w:pPr>
            <w:r w:rsidRPr="009F7E24">
              <w:rPr>
                <w:rFonts w:cs="Arial"/>
                <w:b/>
                <w:lang w:val="de-CH"/>
              </w:rPr>
              <w:t>– </w:t>
            </w:r>
            <w:r w:rsidR="001E61DA">
              <w:rPr>
                <w:rFonts w:cs="Arial"/>
                <w:b/>
                <w:lang w:val="de-CH"/>
              </w:rPr>
              <w:t>539,3</w:t>
            </w:r>
          </w:p>
        </w:tc>
      </w:tr>
    </w:tbl>
    <w:p w14:paraId="61601BB6" w14:textId="77777777" w:rsidR="003B3CC7" w:rsidRPr="009F7E24" w:rsidRDefault="003B3CC7" w:rsidP="003B3CC7">
      <w:pPr>
        <w:pStyle w:val="Corpsdetexte"/>
        <w:rPr>
          <w:lang w:val="de-CH"/>
        </w:rPr>
      </w:pPr>
    </w:p>
    <w:p w14:paraId="2D7D3CC5" w14:textId="04D231E3" w:rsidR="004D2246" w:rsidRPr="00FE3A13" w:rsidRDefault="003B3CC7" w:rsidP="004D2246">
      <w:pPr>
        <w:pStyle w:val="Titre1"/>
      </w:pPr>
      <w:bookmarkStart w:id="6" w:name="_Toc196226197"/>
      <w:r w:rsidRPr="000855C2">
        <w:rPr>
          <w:lang w:val="de-CH"/>
        </w:rPr>
        <w:lastRenderedPageBreak/>
        <w:t>Strategie und Ziele des Staatsrats</w:t>
      </w:r>
      <w:bookmarkEnd w:id="6"/>
    </w:p>
    <w:p w14:paraId="118B3609" w14:textId="7A741B2D" w:rsidR="004D2246" w:rsidRPr="00FE3A13" w:rsidRDefault="004D2246" w:rsidP="004D2246">
      <w:pPr>
        <w:pStyle w:val="Tiret"/>
      </w:pPr>
      <w:r w:rsidRPr="00FE3A13">
        <w:t>—</w:t>
      </w:r>
    </w:p>
    <w:p w14:paraId="1708C4C7" w14:textId="5D85D60A" w:rsidR="004D2246" w:rsidRPr="00FE3A13" w:rsidRDefault="009C28A1" w:rsidP="004D2246">
      <w:pPr>
        <w:pStyle w:val="Titre2"/>
      </w:pPr>
      <w:bookmarkStart w:id="7" w:name="_Toc196226198"/>
      <w:r w:rsidRPr="009F7E24">
        <w:rPr>
          <w:lang w:val="de-CH"/>
        </w:rPr>
        <w:t>Partizipatives Verfahren</w:t>
      </w:r>
      <w:bookmarkEnd w:id="7"/>
    </w:p>
    <w:p w14:paraId="42CF727D" w14:textId="48FB266D" w:rsidR="00D43D8A" w:rsidRPr="009C28A1" w:rsidRDefault="009C28A1" w:rsidP="00D43D8A">
      <w:pPr>
        <w:pStyle w:val="Corpsdetexte"/>
        <w:rPr>
          <w:lang w:val="de-CH"/>
        </w:rPr>
      </w:pPr>
      <w:r w:rsidRPr="009F7E24">
        <w:rPr>
          <w:lang w:val="de-CH"/>
        </w:rPr>
        <w:t>Statt die Verantwortung für die Aufstellung eines Sanierungsprogramms für die Kantonsfinanzen allein der Finanzdirektion zu überlassen oder diese Aufgabe extern in Auftrag zu geben, hat sich der Staatsrat wie schon bei den Struktur- und Sparmassnahmen 2013</w:t>
      </w:r>
      <w:r w:rsidR="00F8104B">
        <w:rPr>
          <w:rFonts w:cstheme="minorHAnsi"/>
          <w:lang w:val="de-CH"/>
        </w:rPr>
        <w:t>–</w:t>
      </w:r>
      <w:r w:rsidRPr="009F7E24">
        <w:rPr>
          <w:lang w:val="de-CH"/>
        </w:rPr>
        <w:t>2016 (SSM) ein partizipatives staatsinternes Verfahren entschieden, das ein starkes Engagement der gesamten Regierung und Verwaltung voraussetzt.</w:t>
      </w:r>
    </w:p>
    <w:p w14:paraId="65ED8AA6" w14:textId="3547781A" w:rsidR="004D2246" w:rsidRPr="00FE3A13" w:rsidRDefault="009C28A1" w:rsidP="004D2246">
      <w:pPr>
        <w:pStyle w:val="Titre3"/>
      </w:pPr>
      <w:bookmarkStart w:id="8" w:name="_Toc196226199"/>
      <w:r w:rsidRPr="003A7FD2">
        <w:rPr>
          <w:lang w:val="de-CH"/>
        </w:rPr>
        <w:t>Massnahmenvorschläge</w:t>
      </w:r>
      <w:bookmarkEnd w:id="8"/>
    </w:p>
    <w:p w14:paraId="548690E8" w14:textId="0BFAC07A" w:rsidR="00733B45" w:rsidRPr="009C28A1" w:rsidRDefault="009C28A1" w:rsidP="00733B45">
      <w:pPr>
        <w:pStyle w:val="Corpsdetexte"/>
        <w:rPr>
          <w:lang w:val="de-CH"/>
        </w:rPr>
      </w:pPr>
      <w:r w:rsidRPr="009F7E24">
        <w:rPr>
          <w:lang w:val="de-CH"/>
        </w:rPr>
        <w:t>Im Oktober 2024 wurden die Direktionen und die Staatskanzlei aufgefordert, Massnahmenvorschläge zu machen, die sowohl in ihren jeweiligen Tätigkeitsbereichen als auch in den in die Zuständigkeit anderer Direktionen fallenden Bereichen umgesetzt werden können. Dazu wurden sie allgemein und unverbindlich auf die Kriterien und möglichen Handlungsschwerpunkte hingewiesen. Auch wurden ihnen die Massnahmenlisten früherer Sparprogramme als Orientierungshilfen zugestellt. Die Direktionen sollten auch ihre Verwaltungseinheiten miteinbeziehen. So konnten 305 Massnahmenvorschläge für die Sanierung der Kantonsfinanzen zusammengetragen werden, die dann in vier Kategorien (Einnahmenseitige Massnahmen, Massnahmen auf Personalebene, Massnahmen auf Subventionsebene und Sonstige Massnahmen, zusammengefasst unter «Projekte und Reformen») eingeteilt wurden. Ausserdem wurden Massnahmen, die Ähnlichkeit mit anderen Massnahmen aufwiesen, abgeglichen, und so wurden schliesslich 262 Vorschläge zur Prüfung vorgelegt.</w:t>
      </w:r>
    </w:p>
    <w:p w14:paraId="273C5055" w14:textId="779806AB" w:rsidR="004D2246" w:rsidRPr="00FE3A13" w:rsidRDefault="009C28A1" w:rsidP="004D2246">
      <w:pPr>
        <w:pStyle w:val="Titre3"/>
      </w:pPr>
      <w:bookmarkStart w:id="9" w:name="_Toc196226200"/>
      <w:r w:rsidRPr="003A7FD2">
        <w:rPr>
          <w:lang w:val="de-CH"/>
        </w:rPr>
        <w:t>Die Arbeitsgruppen</w:t>
      </w:r>
      <w:bookmarkEnd w:id="9"/>
    </w:p>
    <w:p w14:paraId="111F4A17" w14:textId="77777777" w:rsidR="00985040" w:rsidRDefault="00AA27B4">
      <w:pPr>
        <w:pStyle w:val="Corpsdetexte"/>
        <w:rPr>
          <w:lang w:val="de-CH"/>
        </w:rPr>
      </w:pPr>
      <w:r w:rsidRPr="00EB6310">
        <w:rPr>
          <w:lang w:val="de-CH"/>
        </w:rPr>
        <w:t>Vier Arbeitsgruppen unter der Leitung oder stellvertretenden Leitung eines Mitglieds des Staatsrats und ausschliesslich bestehend aus Staatsmitarbeitenden, erhielten den Auftrag, die konsolidierten Massnahmenvorschläge zu prüfen</w:t>
      </w:r>
      <w:r w:rsidR="00985040">
        <w:rPr>
          <w:lang w:val="de-CH"/>
        </w:rPr>
        <w:t>, und zwar je eine Kategorie pro Arbeitsgruppe</w:t>
      </w:r>
      <w:r w:rsidRPr="00EB6310">
        <w:rPr>
          <w:lang w:val="de-CH"/>
        </w:rPr>
        <w:t xml:space="preserve">. </w:t>
      </w:r>
      <w:r w:rsidRPr="00B746D3">
        <w:rPr>
          <w:lang w:val="de-CH"/>
        </w:rPr>
        <w:t>Die Arbeitsgruppe «Einnahmen» wurde vom Direktor der RIMU</w:t>
      </w:r>
      <w:r w:rsidR="004B2596" w:rsidRPr="00B746D3">
        <w:rPr>
          <w:lang w:val="de-CH"/>
        </w:rPr>
        <w:t xml:space="preserve"> geleitet (stellvertretende Leitung Direktor der VWBD). Die Arbeitsgruppe «Personal» wurde von der Direktorin der BKAD geleitet (</w:t>
      </w:r>
      <w:r w:rsidR="004B2596" w:rsidRPr="004B2596">
        <w:rPr>
          <w:lang w:val="de-CH"/>
        </w:rPr>
        <w:t xml:space="preserve">stellvertretende Leitung Direktor der </w:t>
      </w:r>
      <w:r w:rsidR="004B2596" w:rsidRPr="00B746D3">
        <w:rPr>
          <w:lang w:val="de-CH"/>
        </w:rPr>
        <w:t>FIND). Die Arbeitsgruppe «Subventionierung» wurde vom Direktor der ILFD geleitet (</w:t>
      </w:r>
      <w:r w:rsidR="004B2596" w:rsidRPr="004B2596">
        <w:rPr>
          <w:lang w:val="de-CH"/>
        </w:rPr>
        <w:t xml:space="preserve">stellvertretende Leitung Direktor der </w:t>
      </w:r>
      <w:r w:rsidR="004B2596" w:rsidRPr="00B746D3">
        <w:rPr>
          <w:lang w:val="de-CH"/>
        </w:rPr>
        <w:t>GSD). Die Arbeitsgruppe «Projekte und Reformen» wurde vom Direktor der FIND geleitet (stellvertretende Leitung Direktor der SJSD).</w:t>
      </w:r>
    </w:p>
    <w:p w14:paraId="074B78A8" w14:textId="489D2A4C" w:rsidR="0005606B" w:rsidRPr="00EB6310" w:rsidRDefault="004B2596" w:rsidP="00EB6310">
      <w:pPr>
        <w:pStyle w:val="Corpsdetexte"/>
        <w:rPr>
          <w:lang w:val="de-CH"/>
        </w:rPr>
      </w:pPr>
      <w:r w:rsidRPr="00B746D3">
        <w:rPr>
          <w:lang w:val="de-CH"/>
        </w:rPr>
        <w:t>Die Arbeitsgruppen</w:t>
      </w:r>
      <w:r w:rsidR="00AA27B4" w:rsidRPr="00EB6310">
        <w:rPr>
          <w:lang w:val="de-CH"/>
        </w:rPr>
        <w:t xml:space="preserve"> führten ihre Arbeiten von Anfang Januar bis Mitte März 2025 durch</w:t>
      </w:r>
      <w:r w:rsidRPr="00B746D3">
        <w:rPr>
          <w:lang w:val="de-CH"/>
        </w:rPr>
        <w:t>, mit insgesamt 25 Sitzungen</w:t>
      </w:r>
      <w:r w:rsidR="00AA27B4" w:rsidRPr="00EB6310">
        <w:rPr>
          <w:lang w:val="de-CH"/>
        </w:rPr>
        <w:t xml:space="preserve">. </w:t>
      </w:r>
      <w:r w:rsidRPr="004B2596">
        <w:rPr>
          <w:lang w:val="de-CH"/>
        </w:rPr>
        <w:t>Darüber hinaus gab es zahlreiche bilaterale Kontakte zwischen einzelnen Mitgliedern der Arbeitsgruppen und den von den analysierten Ma</w:t>
      </w:r>
      <w:r w:rsidRPr="00B746D3">
        <w:rPr>
          <w:lang w:val="de-CH"/>
        </w:rPr>
        <w:t>ss</w:t>
      </w:r>
      <w:r w:rsidRPr="004B2596">
        <w:rPr>
          <w:lang w:val="de-CH"/>
        </w:rPr>
        <w:t xml:space="preserve">nahmen betroffenen </w:t>
      </w:r>
      <w:r w:rsidRPr="00B746D3">
        <w:rPr>
          <w:lang w:val="de-CH"/>
        </w:rPr>
        <w:t>Direktionen und Ämtern. Der Auftrag der Arbeitsgruppen</w:t>
      </w:r>
      <w:r w:rsidR="00AA27B4" w:rsidRPr="00EB6310">
        <w:rPr>
          <w:lang w:val="de-CH"/>
        </w:rPr>
        <w:t xml:space="preserve"> bestand darin, die Vorschläge eingehend zu prüfen, einschliesslich der Ermittlung der Umsetzungsarbeiten, einer Schätzung der finanziellen Auswirkungen und einer Beurteilung der Auswirkungen für die Gemeinden. Die Vorschläge der Arbeitsgruppen zuhanden des Staatsrats wurden in standardisierten zusammenfassenden Berichten</w:t>
      </w:r>
      <w:r w:rsidR="006F6302">
        <w:rPr>
          <w:lang w:val="de-CH"/>
        </w:rPr>
        <w:t xml:space="preserve"> festgehalten</w:t>
      </w:r>
      <w:r w:rsidR="00AA27B4" w:rsidRPr="00EB6310">
        <w:rPr>
          <w:lang w:val="de-CH"/>
        </w:rPr>
        <w:t>, deren Inhalt weitgehend in Kapitel 4 des vorliegenden Berichts wiedergegeben wird</w:t>
      </w:r>
      <w:r w:rsidR="00D5733E" w:rsidRPr="00EB6310">
        <w:rPr>
          <w:lang w:val="de-CH"/>
        </w:rPr>
        <w:t>.</w:t>
      </w:r>
    </w:p>
    <w:p w14:paraId="7D4C814F" w14:textId="732AA45B" w:rsidR="004D2246" w:rsidRPr="00FE3A13" w:rsidRDefault="009C28A1" w:rsidP="004D2246">
      <w:pPr>
        <w:pStyle w:val="Titre3"/>
      </w:pPr>
      <w:bookmarkStart w:id="10" w:name="_Toc196226201"/>
      <w:r w:rsidRPr="003A7FD2">
        <w:rPr>
          <w:lang w:val="de-CH"/>
        </w:rPr>
        <w:t>Wahl der Massnahmen</w:t>
      </w:r>
      <w:bookmarkEnd w:id="10"/>
    </w:p>
    <w:p w14:paraId="61ABF4F8" w14:textId="4F4EAF9C" w:rsidR="00C70EFC" w:rsidRPr="009C28A1" w:rsidRDefault="009C28A1" w:rsidP="00AA700C">
      <w:pPr>
        <w:pStyle w:val="Corpsdetexte"/>
        <w:rPr>
          <w:lang w:val="de-CH"/>
        </w:rPr>
      </w:pPr>
      <w:r w:rsidRPr="009F7E24">
        <w:rPr>
          <w:lang w:val="de-CH"/>
        </w:rPr>
        <w:t xml:space="preserve">Nachdem der Staatsrat in seiner Sitzung vom 3. Dezember 2024 von den von den Direktionen und der Staatskanzlei vorgeschlagenen und in vier Kategorien eingeteilten Massnahmen Kenntnis genommen hatte, tauschte er sich informell laufend darüber aus und zog in seinen Sitzungen vom 28. Januar und 25. Februar 2025 eine Zwischenbilanz. Dabei nahm er </w:t>
      </w:r>
      <w:r w:rsidR="00F8104B">
        <w:rPr>
          <w:rFonts w:cstheme="minorHAnsi"/>
          <w:lang w:val="de-CH"/>
        </w:rPr>
        <w:t>–</w:t>
      </w:r>
      <w:r w:rsidR="00F8104B">
        <w:rPr>
          <w:lang w:val="de-CH"/>
        </w:rPr>
        <w:t> </w:t>
      </w:r>
      <w:r w:rsidRPr="009F7E24">
        <w:rPr>
          <w:lang w:val="de-CH"/>
        </w:rPr>
        <w:t>wohl wissend, dass die Arbeiten noch im Gang waren</w:t>
      </w:r>
      <w:r w:rsidR="00F8104B">
        <w:rPr>
          <w:lang w:val="de-CH"/>
        </w:rPr>
        <w:t> </w:t>
      </w:r>
      <w:r w:rsidR="00F8104B">
        <w:rPr>
          <w:rFonts w:cstheme="minorHAnsi"/>
          <w:lang w:val="de-CH"/>
        </w:rPr>
        <w:t>–</w:t>
      </w:r>
      <w:r w:rsidRPr="009F7E24">
        <w:rPr>
          <w:lang w:val="de-CH"/>
        </w:rPr>
        <w:t xml:space="preserve"> bereits Kenntnis von der Zusammenstellung der Massnahmen, die auf Vorschlag der Arbeitsgruppen gar nicht berücksichtigt oder zur eingehenderen Prüfung und Umsetzung erst nach Ende des Zeithorizonts für den aktualisierten Finanzplan zurückgestellt werden sollten. Nach dieser ersten Vorauswahl konzentrierte sich der Staatsrat auf diejenigen Massnahmen, die effektiv ab 2026 oder ab 2027 oder 2028 umgesetzt werden können, und stellte in seinen Sitzungen vom 24. März und 1. April 2025 eine entsprechende Liste auf. Er hat seine Entscheidungen in seine</w:t>
      </w:r>
      <w:r w:rsidR="00186098">
        <w:rPr>
          <w:lang w:val="de-CH"/>
        </w:rPr>
        <w:t>n</w:t>
      </w:r>
      <w:r w:rsidRPr="009F7E24">
        <w:rPr>
          <w:lang w:val="de-CH"/>
        </w:rPr>
        <w:t xml:space="preserve"> Sitzung</w:t>
      </w:r>
      <w:r w:rsidR="00186098">
        <w:rPr>
          <w:lang w:val="de-CH"/>
        </w:rPr>
        <w:t>en</w:t>
      </w:r>
      <w:r w:rsidRPr="009F7E24">
        <w:rPr>
          <w:lang w:val="de-CH"/>
        </w:rPr>
        <w:t xml:space="preserve"> vom 8. April </w:t>
      </w:r>
      <w:r w:rsidR="00186098">
        <w:rPr>
          <w:lang w:val="de-CH"/>
        </w:rPr>
        <w:t xml:space="preserve">und 15. April </w:t>
      </w:r>
      <w:r w:rsidRPr="009F7E24">
        <w:rPr>
          <w:lang w:val="de-CH"/>
        </w:rPr>
        <w:t>2025 näher erläutert und bestätigt und dabei auch das gesamt</w:t>
      </w:r>
      <w:r w:rsidR="00E125DD">
        <w:rPr>
          <w:lang w:val="de-CH"/>
        </w:rPr>
        <w:t>e</w:t>
      </w:r>
      <w:r w:rsidRPr="009F7E24">
        <w:rPr>
          <w:lang w:val="de-CH"/>
        </w:rPr>
        <w:t xml:space="preserve"> Vernehmlassungsdossier verabschiedet.</w:t>
      </w:r>
    </w:p>
    <w:p w14:paraId="7E3D308F" w14:textId="7FCD37B5" w:rsidR="004D2246" w:rsidRPr="00EB6310" w:rsidRDefault="009C28A1" w:rsidP="004D2246">
      <w:pPr>
        <w:pStyle w:val="Titre2"/>
        <w:rPr>
          <w:lang w:val="de-CH"/>
        </w:rPr>
      </w:pPr>
      <w:bookmarkStart w:id="11" w:name="_Toc196226202"/>
      <w:r w:rsidRPr="00EB6310">
        <w:rPr>
          <w:lang w:val="de-CH"/>
        </w:rPr>
        <w:lastRenderedPageBreak/>
        <w:t>Zielsetzungen</w:t>
      </w:r>
      <w:bookmarkEnd w:id="11"/>
    </w:p>
    <w:p w14:paraId="77D2A9A4" w14:textId="77777777" w:rsidR="00AD59A7" w:rsidRPr="009F7E24" w:rsidRDefault="00AD59A7" w:rsidP="00AD59A7">
      <w:pPr>
        <w:pStyle w:val="Corpsdetexte"/>
        <w:rPr>
          <w:lang w:val="de-CH"/>
        </w:rPr>
      </w:pPr>
      <w:r w:rsidRPr="009F7E24">
        <w:rPr>
          <w:lang w:val="de-CH"/>
        </w:rPr>
        <w:t>Das PSKF bezweckt grundsätzlich die Verbesserung der Finanzperspektiven des Staates. Dieses Ziel sowie die Art und Weise, wie es erreicht werden soll, hat der Staatsrat in seiner Sitzung vom 10. Dezember 2024 festgelegt mit den folgenden grundsätzlichen Vorgaben für die weiteren Arbeiten:</w:t>
      </w:r>
    </w:p>
    <w:p w14:paraId="67C2F555" w14:textId="77777777" w:rsidR="00AD59A7" w:rsidRPr="009F7E24" w:rsidRDefault="00AD59A7" w:rsidP="00AD59A7">
      <w:pPr>
        <w:pStyle w:val="Listepuces1"/>
        <w:rPr>
          <w:lang w:val="de-CH"/>
        </w:rPr>
      </w:pPr>
      <w:r w:rsidRPr="009F7E24">
        <w:rPr>
          <w:lang w:val="de-CH"/>
        </w:rPr>
        <w:t>Jährliche Entlastung um durchschnittlich mindestens 150 Millionen Franken,</w:t>
      </w:r>
    </w:p>
    <w:p w14:paraId="3D4AA85A" w14:textId="77777777" w:rsidR="00AD59A7" w:rsidRPr="009F7E24" w:rsidRDefault="00AD59A7" w:rsidP="00AD59A7">
      <w:pPr>
        <w:pStyle w:val="Listepuces1"/>
        <w:rPr>
          <w:lang w:val="de-CH"/>
        </w:rPr>
      </w:pPr>
      <w:r w:rsidRPr="009F7E24">
        <w:rPr>
          <w:lang w:val="de-CH"/>
        </w:rPr>
        <w:t>70 % davon über Ausgabensenkungen,</w:t>
      </w:r>
    </w:p>
    <w:p w14:paraId="742962CD" w14:textId="77777777" w:rsidR="00AD59A7" w:rsidRPr="009F7E24" w:rsidRDefault="00AD59A7" w:rsidP="00AD59A7">
      <w:pPr>
        <w:pStyle w:val="Listepuces1"/>
        <w:rPr>
          <w:lang w:val="de-CH"/>
        </w:rPr>
      </w:pPr>
      <w:r w:rsidRPr="009F7E24">
        <w:rPr>
          <w:lang w:val="de-CH"/>
        </w:rPr>
        <w:t>30 % davon über Einnahmenerhöhungen,</w:t>
      </w:r>
    </w:p>
    <w:p w14:paraId="72C05811" w14:textId="77777777" w:rsidR="00AD59A7" w:rsidRPr="009F7E24" w:rsidRDefault="00AD59A7" w:rsidP="00AD59A7">
      <w:pPr>
        <w:pStyle w:val="Listepuces1"/>
        <w:rPr>
          <w:lang w:val="de-CH"/>
        </w:rPr>
      </w:pPr>
      <w:r w:rsidRPr="009F7E24">
        <w:rPr>
          <w:lang w:val="de-CH"/>
        </w:rPr>
        <w:t xml:space="preserve">mit einer möglichst gleichmässigen Belastung der Aufgabenbereiche, </w:t>
      </w:r>
    </w:p>
    <w:p w14:paraId="704E466B" w14:textId="57FF7F48" w:rsidR="00F46ECB" w:rsidRPr="00AD59A7" w:rsidRDefault="00AD59A7" w:rsidP="00AD59A7">
      <w:pPr>
        <w:pStyle w:val="Listepuces1"/>
        <w:rPr>
          <w:lang w:val="de-CH"/>
        </w:rPr>
      </w:pPr>
      <w:r w:rsidRPr="009F7E24">
        <w:rPr>
          <w:lang w:val="de-CH"/>
        </w:rPr>
        <w:t>und dabei keine Themenbereiche auslassen und alle Direktionen miteinbeziehen.</w:t>
      </w:r>
    </w:p>
    <w:p w14:paraId="3D1DF13B" w14:textId="698A7CEB" w:rsidR="003512EF" w:rsidRPr="00FE3A13" w:rsidRDefault="00F943C1" w:rsidP="003512EF">
      <w:pPr>
        <w:pStyle w:val="Titre2"/>
      </w:pPr>
      <w:bookmarkStart w:id="12" w:name="_Toc196226203"/>
      <w:r w:rsidRPr="006F7DB1">
        <w:rPr>
          <w:lang w:val="de-CH"/>
        </w:rPr>
        <w:t>Fallengelassene oder zurückgestellte Massnahmen</w:t>
      </w:r>
      <w:bookmarkEnd w:id="12"/>
    </w:p>
    <w:p w14:paraId="6AED5593" w14:textId="2AFDFC82" w:rsidR="003512EF" w:rsidRPr="00FE3A13" w:rsidRDefault="00F943C1" w:rsidP="003512EF">
      <w:pPr>
        <w:pStyle w:val="Titre3"/>
      </w:pPr>
      <w:bookmarkStart w:id="13" w:name="_Toc196226204"/>
      <w:r w:rsidRPr="009F7E24">
        <w:rPr>
          <w:lang w:val="de-CH"/>
        </w:rPr>
        <w:t>Fallengelassene Massnahmen</w:t>
      </w:r>
      <w:bookmarkEnd w:id="13"/>
    </w:p>
    <w:p w14:paraId="66E56769" w14:textId="4DAA835E" w:rsidR="003905FA" w:rsidRPr="00F943C1" w:rsidRDefault="00F943C1" w:rsidP="003905FA">
      <w:pPr>
        <w:pStyle w:val="Corpsdetexte"/>
        <w:rPr>
          <w:lang w:val="de-CH"/>
        </w:rPr>
      </w:pPr>
      <w:r w:rsidRPr="009F7E24">
        <w:rPr>
          <w:lang w:val="de-CH"/>
        </w:rPr>
        <w:t>Die Arbeitsgruppen haben sich gegenüber dem Staatsrat dafür ausgesprochen, rund hundert der von ihnen geprüften Massnahmen aus unterschiedlichen Gründen fallenzulassen. So haben die Arbeitsgruppen in ihren Erläuterungen etwa Zweifel an der effektiven Wirkung der vorgeschlagenen Massnahmen geäussert (zu geringes Sparpotenzial, kostspielige Nebenwirkungen), grössere Probleme bei der Umsetzbarkeit aufgezeigt (technische Gründe oder Gründe in Zusammenhang mit der Vereinbarkeit mit dem Bundesrecht), darauf hingewiesen, dass in bestimmten Bereiche erst jüngst restriktive Massnahmen getroffen wurden, die Auffassung vertreten, dass gewisse Anpassungsvorschläge eher unter das ordentlichen Voranschlagsverfahren und nicht unter ein Sanierungsprogramm fallen, Gleichbehandlungsfragen aufgeworfen, potenziell zu grosse Qualitätseinbussen bei den staatlichen Leistungen bemängelt oder die Auffassung vertreten, gewisse Massnahmen seien aus politischer Sicht illusorisch.</w:t>
      </w:r>
    </w:p>
    <w:p w14:paraId="0D0361E7" w14:textId="2A5D99B9" w:rsidR="003512EF" w:rsidRPr="00FE3A13" w:rsidRDefault="00F943C1" w:rsidP="003512EF">
      <w:pPr>
        <w:pStyle w:val="Titre3"/>
      </w:pPr>
      <w:bookmarkStart w:id="14" w:name="_Toc196226205"/>
      <w:r w:rsidRPr="009F7E24">
        <w:rPr>
          <w:lang w:val="de-CH"/>
        </w:rPr>
        <w:t>Zurückgestellte Massnahmen</w:t>
      </w:r>
      <w:bookmarkEnd w:id="14"/>
    </w:p>
    <w:p w14:paraId="51CDB055" w14:textId="1D7FF4D9" w:rsidR="001D54E7" w:rsidRPr="00F943C1" w:rsidRDefault="00F943C1" w:rsidP="001D54E7">
      <w:pPr>
        <w:pStyle w:val="Corpsdetexte"/>
        <w:rPr>
          <w:lang w:val="de-CH"/>
        </w:rPr>
      </w:pPr>
      <w:r w:rsidRPr="009F7E24">
        <w:rPr>
          <w:lang w:val="de-CH"/>
        </w:rPr>
        <w:t>Die Arbeitsgruppen waren der Ansicht, dass einige der 44 Massnahmen auf den ersten Blick sehr vielversprechend sind, sich jedoch nicht innerhalb des Zeitrahmens des PSKF, das heisst zwischen 2026 und 2028 umsetzen lassen. Sie haben deshalb vorgeschlagen, diese Massnahmen zur weitergehenden Prüfung für eine allfällige spätere Umsetzung beizubehalten. Es kann hier einfach von «zurückgestellten Massnahmen» gesprochen werden, die vielfach bereichsübergreifend sind, mehrere Direktionen betreffen und strategische Anpassungen oder sogar tiefgreifende Änderungen in bestimmten staatlichen Politikbereichen erfordern. Bevor über ihre allfällige Umsetzung entschieden wird, braucht es eine eingehende Analyse ihrer Anwendbarkeit sowie ihrer möglichen direkten und indirekten Auswirkungen. Es wäre verfrüht, im vorliegenden Bericht auf diese Massnahmen einzugehen.</w:t>
      </w:r>
    </w:p>
    <w:p w14:paraId="78FEB8D4" w14:textId="4D2E61CF" w:rsidR="003512EF" w:rsidRPr="00FE3A13" w:rsidRDefault="00F943C1" w:rsidP="003512EF">
      <w:pPr>
        <w:pStyle w:val="Titre3"/>
      </w:pPr>
      <w:bookmarkStart w:id="15" w:name="_Toc196226206"/>
      <w:r w:rsidRPr="009F7E24">
        <w:rPr>
          <w:lang w:val="de-CH"/>
        </w:rPr>
        <w:t>Weitergehende Prüfung</w:t>
      </w:r>
      <w:bookmarkEnd w:id="15"/>
    </w:p>
    <w:p w14:paraId="1738D7C6" w14:textId="56461CEA" w:rsidR="00E27C25" w:rsidRPr="00F943C1" w:rsidRDefault="00F943C1" w:rsidP="00E27C25">
      <w:pPr>
        <w:pStyle w:val="Corpsdetexte"/>
        <w:rPr>
          <w:lang w:val="de-CH"/>
        </w:rPr>
      </w:pPr>
      <w:r w:rsidRPr="009F7E24">
        <w:rPr>
          <w:lang w:val="de-CH"/>
        </w:rPr>
        <w:t>Für die weitergehende Prüfung der im vorherigen Abschnitt erwähnten Massnahmen braucht es voraussichtlich neue Arbeitsgruppen in der Kantonsverwaltung und zur Klärung gewisser Punkte müssen womöglich externe Sachverständige beigezogen werden. Damit wird frühestens im Laufe des Jahres 2026 begonnen, wobei der Umsetzung der für das PSKF beschlossenen Massnahmen, den verfügbaren Personalressourcen beim Staat und der Entwicklung der Finanzlage Rechnung getragen wird. Der Staatsrat wird regelmässige Standortbestimmungen durchführen, die in seiner Zuständigkeit liegenden Massnahmen ergreifen, die im ordentlichen Voranschlagsverfahren allenfalls erforderlich sein könnten, und dem Grossen Rat gegebenenfalls neue Gesetzesänderungen beantragen.</w:t>
      </w:r>
    </w:p>
    <w:p w14:paraId="461FA5C9" w14:textId="3FE1E6BE" w:rsidR="00842B56" w:rsidRPr="00EB6310" w:rsidRDefault="007A6E0D" w:rsidP="009877D1">
      <w:pPr>
        <w:pStyle w:val="Titre1"/>
        <w:rPr>
          <w:lang w:val="de-CH"/>
        </w:rPr>
      </w:pPr>
      <w:bookmarkStart w:id="16" w:name="_Toc196226207"/>
      <w:r w:rsidRPr="00EB6310">
        <w:rPr>
          <w:lang w:val="de-CH"/>
        </w:rPr>
        <w:t>Massnahmenprogramm</w:t>
      </w:r>
      <w:bookmarkEnd w:id="16"/>
    </w:p>
    <w:p w14:paraId="64EAEF99" w14:textId="676E5218" w:rsidR="009877D1" w:rsidRDefault="009877D1" w:rsidP="009877D1">
      <w:pPr>
        <w:pStyle w:val="Tiret"/>
      </w:pPr>
      <w:r w:rsidRPr="00FE3A13">
        <w:t>—</w:t>
      </w:r>
    </w:p>
    <w:p w14:paraId="6729CE5F" w14:textId="0DDC1FF0" w:rsidR="00203A2D" w:rsidRPr="00EB6310" w:rsidRDefault="00203A2D" w:rsidP="00EB6310">
      <w:pPr>
        <w:pStyle w:val="Corpsdetexte"/>
        <w:rPr>
          <w:lang w:val="de-CH"/>
        </w:rPr>
      </w:pPr>
      <w:r w:rsidRPr="00EB6310">
        <w:rPr>
          <w:lang w:val="de-CH"/>
        </w:rPr>
        <w:t>In diesem Kapitel wird das vom Staatsrat vorgeschlagene Ma</w:t>
      </w:r>
      <w:r>
        <w:rPr>
          <w:lang w:val="de-CH"/>
        </w:rPr>
        <w:t>ss</w:t>
      </w:r>
      <w:r w:rsidRPr="00EB6310">
        <w:rPr>
          <w:lang w:val="de-CH"/>
        </w:rPr>
        <w:t xml:space="preserve">nahmenprogramm vorgestellt. Nach </w:t>
      </w:r>
      <w:r>
        <w:rPr>
          <w:lang w:val="de-CH"/>
        </w:rPr>
        <w:t xml:space="preserve">einigen Zahlenangaben </w:t>
      </w:r>
      <w:r w:rsidRPr="00EB6310">
        <w:rPr>
          <w:lang w:val="de-CH"/>
        </w:rPr>
        <w:t>wird zwischen den Ma</w:t>
      </w:r>
      <w:r>
        <w:rPr>
          <w:lang w:val="de-CH"/>
        </w:rPr>
        <w:t>ss</w:t>
      </w:r>
      <w:r w:rsidRPr="00EB6310">
        <w:rPr>
          <w:lang w:val="de-CH"/>
        </w:rPr>
        <w:t>nahmen, die in den Zuständigkeitsbereich des Staatsrats fallen, und den Ma</w:t>
      </w:r>
      <w:r>
        <w:rPr>
          <w:lang w:val="de-CH"/>
        </w:rPr>
        <w:t>ss</w:t>
      </w:r>
      <w:r w:rsidRPr="00EB6310">
        <w:rPr>
          <w:lang w:val="de-CH"/>
        </w:rPr>
        <w:t xml:space="preserve">nahmen, die in den Zuständigkeitsbereich des Grossen Rats fallen, unterschieden. </w:t>
      </w:r>
      <w:r>
        <w:rPr>
          <w:lang w:val="de-CH"/>
        </w:rPr>
        <w:t>Auf l</w:t>
      </w:r>
      <w:r w:rsidRPr="00EB6310">
        <w:rPr>
          <w:lang w:val="de-CH"/>
        </w:rPr>
        <w:t xml:space="preserve">etztere und die damit </w:t>
      </w:r>
      <w:r w:rsidRPr="00EB6310">
        <w:rPr>
          <w:lang w:val="de-CH"/>
        </w:rPr>
        <w:lastRenderedPageBreak/>
        <w:t>verbundenen Gesetzesänderungen w</w:t>
      </w:r>
      <w:r>
        <w:rPr>
          <w:lang w:val="de-CH"/>
        </w:rPr>
        <w:t>ird</w:t>
      </w:r>
      <w:r w:rsidRPr="00EB6310">
        <w:rPr>
          <w:lang w:val="de-CH"/>
        </w:rPr>
        <w:t xml:space="preserve"> im Kapitel 6 </w:t>
      </w:r>
      <w:r>
        <w:rPr>
          <w:lang w:val="de-CH"/>
        </w:rPr>
        <w:t>näher eingegangen</w:t>
      </w:r>
      <w:r w:rsidRPr="00EB6310">
        <w:rPr>
          <w:lang w:val="de-CH"/>
        </w:rPr>
        <w:t>. Mit wenigen Ausnahmen werden die Ma</w:t>
      </w:r>
      <w:r>
        <w:rPr>
          <w:lang w:val="de-CH"/>
        </w:rPr>
        <w:t>ss</w:t>
      </w:r>
      <w:r w:rsidRPr="00EB6310">
        <w:rPr>
          <w:lang w:val="de-CH"/>
        </w:rPr>
        <w:t xml:space="preserve">nahmen </w:t>
      </w:r>
      <w:r w:rsidRPr="00203A2D">
        <w:rPr>
          <w:lang w:val="de-CH"/>
        </w:rPr>
        <w:t xml:space="preserve">in </w:t>
      </w:r>
      <w:r>
        <w:rPr>
          <w:lang w:val="de-CH"/>
        </w:rPr>
        <w:t>der</w:t>
      </w:r>
      <w:r w:rsidRPr="00203A2D">
        <w:rPr>
          <w:lang w:val="de-CH"/>
        </w:rPr>
        <w:t xml:space="preserve"> Zuständigkeit des Staatsrats </w:t>
      </w:r>
      <w:r w:rsidRPr="00EB6310">
        <w:rPr>
          <w:lang w:val="de-CH"/>
        </w:rPr>
        <w:t>ab 2026 umgesetzt. Dasselbe gilt für die meisten Ma</w:t>
      </w:r>
      <w:r>
        <w:rPr>
          <w:lang w:val="de-CH"/>
        </w:rPr>
        <w:t>ss</w:t>
      </w:r>
      <w:r w:rsidRPr="00EB6310">
        <w:rPr>
          <w:lang w:val="de-CH"/>
        </w:rPr>
        <w:t>nahmen</w:t>
      </w:r>
      <w:r>
        <w:rPr>
          <w:lang w:val="de-CH"/>
        </w:rPr>
        <w:t xml:space="preserve"> in der</w:t>
      </w:r>
      <w:r w:rsidRPr="00EB6310">
        <w:rPr>
          <w:lang w:val="de-CH"/>
        </w:rPr>
        <w:t xml:space="preserve"> Zuständigkeit des Grossen Rats. Die </w:t>
      </w:r>
      <w:r>
        <w:rPr>
          <w:lang w:val="de-CH"/>
        </w:rPr>
        <w:t xml:space="preserve">davon </w:t>
      </w:r>
      <w:r w:rsidRPr="00EB6310">
        <w:rPr>
          <w:lang w:val="de-CH"/>
        </w:rPr>
        <w:t>ausgenommenen Ma</w:t>
      </w:r>
      <w:r>
        <w:rPr>
          <w:lang w:val="de-CH"/>
        </w:rPr>
        <w:t>ss</w:t>
      </w:r>
      <w:r w:rsidRPr="00EB6310">
        <w:rPr>
          <w:lang w:val="de-CH"/>
        </w:rPr>
        <w:t xml:space="preserve">nahmen werden ab 2027 umgesetzt. Auf eine mögliche </w:t>
      </w:r>
      <w:r>
        <w:rPr>
          <w:lang w:val="de-CH"/>
        </w:rPr>
        <w:t xml:space="preserve">Verzögerung </w:t>
      </w:r>
      <w:r w:rsidRPr="00EB6310">
        <w:rPr>
          <w:lang w:val="de-CH"/>
        </w:rPr>
        <w:t xml:space="preserve">bei der Umsetzung wird </w:t>
      </w:r>
      <w:r>
        <w:rPr>
          <w:lang w:val="de-CH"/>
        </w:rPr>
        <w:t xml:space="preserve">jeweils </w:t>
      </w:r>
      <w:r w:rsidRPr="00EB6310">
        <w:rPr>
          <w:lang w:val="de-CH"/>
        </w:rPr>
        <w:t>in der kurzen Erläuterung zu</w:t>
      </w:r>
      <w:r>
        <w:rPr>
          <w:lang w:val="de-CH"/>
        </w:rPr>
        <w:t xml:space="preserve"> den einzelnen</w:t>
      </w:r>
      <w:r w:rsidRPr="00EB6310">
        <w:rPr>
          <w:lang w:val="de-CH"/>
        </w:rPr>
        <w:t xml:space="preserve"> Ma</w:t>
      </w:r>
      <w:r>
        <w:rPr>
          <w:lang w:val="de-CH"/>
        </w:rPr>
        <w:t>ss</w:t>
      </w:r>
      <w:r w:rsidRPr="00EB6310">
        <w:rPr>
          <w:lang w:val="de-CH"/>
        </w:rPr>
        <w:t>nahme</w:t>
      </w:r>
      <w:r>
        <w:rPr>
          <w:lang w:val="de-CH"/>
        </w:rPr>
        <w:t>n</w:t>
      </w:r>
      <w:r w:rsidRPr="00EB6310">
        <w:rPr>
          <w:lang w:val="de-CH"/>
        </w:rPr>
        <w:t xml:space="preserve"> hingewiesen.</w:t>
      </w:r>
    </w:p>
    <w:p w14:paraId="7D105764" w14:textId="77777777" w:rsidR="00D55352" w:rsidRPr="000855C2" w:rsidRDefault="00D55352" w:rsidP="00D55352">
      <w:pPr>
        <w:pStyle w:val="Titre2"/>
        <w:rPr>
          <w:lang w:val="de-CH"/>
        </w:rPr>
      </w:pPr>
      <w:bookmarkStart w:id="17" w:name="_Toc196226208"/>
      <w:r w:rsidRPr="000855C2">
        <w:rPr>
          <w:lang w:val="de-CH"/>
        </w:rPr>
        <w:t>Zahlen</w:t>
      </w:r>
      <w:bookmarkEnd w:id="17"/>
    </w:p>
    <w:p w14:paraId="76F5955B" w14:textId="64450509" w:rsidR="00D55352" w:rsidRPr="0089670B" w:rsidRDefault="00D55352" w:rsidP="00D55352">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In der Schlussphase der Entwurfsausarbeitung beschloss der Staatsrat, auf 6 weitere, von den Arbeitsgruppen vorgeschlagene Massnahmen zu verzichten (s. Kap. 3.3.1). Er </w:t>
      </w:r>
      <w:r w:rsidR="00E92B4B">
        <w:rPr>
          <w:rFonts w:ascii="Times New Roman" w:eastAsia="Times New Roman" w:hAnsi="Times New Roman" w:cs="Times New Roman"/>
          <w:lang w:val="de-CH"/>
        </w:rPr>
        <w:t>passte</w:t>
      </w:r>
      <w:r w:rsidRPr="0089670B">
        <w:rPr>
          <w:rFonts w:ascii="Times New Roman" w:eastAsia="Times New Roman" w:hAnsi="Times New Roman" w:cs="Times New Roman"/>
          <w:lang w:val="de-CH"/>
        </w:rPr>
        <w:t xml:space="preserve"> ausserdem </w:t>
      </w:r>
      <w:r w:rsidR="00E92B4B">
        <w:rPr>
          <w:rFonts w:ascii="Times New Roman" w:eastAsia="Times New Roman" w:hAnsi="Times New Roman" w:cs="Times New Roman"/>
          <w:lang w:val="de-CH"/>
        </w:rPr>
        <w:t>auch</w:t>
      </w:r>
      <w:r w:rsidRPr="0089670B">
        <w:rPr>
          <w:rFonts w:ascii="Times New Roman" w:eastAsia="Times New Roman" w:hAnsi="Times New Roman" w:cs="Times New Roman"/>
          <w:lang w:val="de-CH"/>
        </w:rPr>
        <w:t xml:space="preserve"> die Liste der Massnahmen</w:t>
      </w:r>
      <w:r w:rsidR="00E92B4B">
        <w:rPr>
          <w:rFonts w:ascii="Times New Roman" w:eastAsia="Times New Roman" w:hAnsi="Times New Roman" w:cs="Times New Roman"/>
          <w:lang w:val="de-CH"/>
        </w:rPr>
        <w:t xml:space="preserve"> leicht an</w:t>
      </w:r>
      <w:r w:rsidRPr="0089670B">
        <w:rPr>
          <w:rFonts w:ascii="Times New Roman" w:eastAsia="Times New Roman" w:hAnsi="Times New Roman" w:cs="Times New Roman"/>
          <w:lang w:val="de-CH"/>
        </w:rPr>
        <w:t>, die weitergehende Abklärungen im Hinblick auf eine über den Zeithorizont des PSKF hinausgehende Umsetzung erfordern (s. Kap. 3.3.2). Das vorgeschlagene Programm zur Sanierung der Kantonsfinanzen umfasst insgesamt 97 Massnahmen, die mehrheitlich ab 2026 und in rund einem Dutzend Fällen ab 2027 umgesetzt werden können.</w:t>
      </w:r>
    </w:p>
    <w:p w14:paraId="466FB1FA" w14:textId="03F6D5F1" w:rsidR="00D55352" w:rsidRPr="0089670B" w:rsidRDefault="00D55352" w:rsidP="00D55352">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Von den 97 berücksichtigten Massnahmen sind elf </w:t>
      </w:r>
      <w:r w:rsidR="006F6302">
        <w:rPr>
          <w:rFonts w:ascii="Times New Roman" w:eastAsia="Times New Roman" w:hAnsi="Times New Roman" w:cs="Times New Roman"/>
          <w:lang w:val="de-CH"/>
        </w:rPr>
        <w:t>notwendig</w:t>
      </w:r>
      <w:r w:rsidR="00A443BB">
        <w:rPr>
          <w:rFonts w:ascii="Times New Roman" w:eastAsia="Times New Roman" w:hAnsi="Times New Roman" w:cs="Times New Roman"/>
          <w:lang w:val="de-CH"/>
        </w:rPr>
        <w:t xml:space="preserve">, </w:t>
      </w:r>
      <w:r w:rsidR="00D278D6">
        <w:rPr>
          <w:rFonts w:ascii="Times New Roman" w:eastAsia="Times New Roman" w:hAnsi="Times New Roman" w:cs="Times New Roman"/>
          <w:lang w:val="de-CH"/>
        </w:rPr>
        <w:t xml:space="preserve">damit </w:t>
      </w:r>
      <w:r w:rsidR="00D714E0">
        <w:rPr>
          <w:rFonts w:ascii="Times New Roman" w:eastAsia="Times New Roman" w:hAnsi="Times New Roman" w:cs="Times New Roman"/>
          <w:lang w:val="de-CH"/>
        </w:rPr>
        <w:t>sich der aktualisierte Finanzplan 2026</w:t>
      </w:r>
      <w:r w:rsidR="00D714E0" w:rsidRPr="009F7E24">
        <w:rPr>
          <w:rFonts w:cs="Arial"/>
          <w:lang w:val="de-CH"/>
        </w:rPr>
        <w:t>–</w:t>
      </w:r>
      <w:r w:rsidR="00D714E0">
        <w:rPr>
          <w:rFonts w:cs="Arial"/>
          <w:lang w:val="de-CH"/>
        </w:rPr>
        <w:t>2028 nicht verschlechtert</w:t>
      </w:r>
      <w:r w:rsidRPr="0089670B">
        <w:rPr>
          <w:rFonts w:ascii="Times New Roman" w:eastAsia="Times New Roman" w:hAnsi="Times New Roman" w:cs="Times New Roman"/>
          <w:lang w:val="de-CH"/>
        </w:rPr>
        <w:t>. Dieser vom Staatsrat im Dezember verabschiedete aktualisierte Finanzplan, von dem der Grosse Rat in der Märzsession 2025 Kenntnis genommen hat, enthielt bereits eine Reihe allgemeiner Kürzungen, deren Umsetzungsmodalitäten noch bestimmt werden mussten. Die übrigen 86 Massnahmen bewirken eine effektive Verbesserung gegenüber den unter Kapitel 2.</w:t>
      </w:r>
      <w:r w:rsidR="00186098">
        <w:rPr>
          <w:rFonts w:ascii="Times New Roman" w:eastAsia="Times New Roman" w:hAnsi="Times New Roman" w:cs="Times New Roman"/>
          <w:lang w:val="de-CH"/>
        </w:rPr>
        <w:t>4</w:t>
      </w:r>
      <w:r w:rsidRPr="0089670B">
        <w:rPr>
          <w:rFonts w:ascii="Times New Roman" w:eastAsia="Times New Roman" w:hAnsi="Times New Roman" w:cs="Times New Roman"/>
          <w:lang w:val="de-CH"/>
        </w:rPr>
        <w:t xml:space="preserve"> zusammengefassten Finanzplanergebnissen.</w:t>
      </w:r>
    </w:p>
    <w:p w14:paraId="460BAFA4" w14:textId="74094376" w:rsidR="00D55352" w:rsidRPr="00291DC4" w:rsidRDefault="00D55352" w:rsidP="00D55352">
      <w:pPr>
        <w:pStyle w:val="Corpsdetexte"/>
        <w:rPr>
          <w:lang w:val="de-CH"/>
        </w:rPr>
      </w:pPr>
      <w:r w:rsidRPr="0089670B">
        <w:rPr>
          <w:rFonts w:ascii="Times New Roman" w:eastAsia="Times New Roman" w:hAnsi="Times New Roman" w:cs="Times New Roman"/>
          <w:lang w:val="de-CH"/>
        </w:rPr>
        <w:t xml:space="preserve">Jede der vom Staatsrat beschlossenen Massnahmen wird in den folgenden Abschnitten kurz zusammengefasst. Es wird dabei unterschieden zwischen den </w:t>
      </w:r>
      <w:r w:rsidR="009036CE">
        <w:rPr>
          <w:rFonts w:ascii="Times New Roman" w:eastAsia="Times New Roman" w:hAnsi="Times New Roman" w:cs="Times New Roman"/>
          <w:lang w:val="de-CH"/>
        </w:rPr>
        <w:t>69</w:t>
      </w:r>
      <w:r w:rsidR="009036CE" w:rsidRPr="0089670B">
        <w:rPr>
          <w:rFonts w:ascii="Times New Roman" w:eastAsia="Times New Roman" w:hAnsi="Times New Roman" w:cs="Times New Roman"/>
          <w:lang w:val="de-CH"/>
        </w:rPr>
        <w:t xml:space="preserve"> </w:t>
      </w:r>
      <w:r w:rsidRPr="0089670B">
        <w:rPr>
          <w:rFonts w:ascii="Times New Roman" w:eastAsia="Times New Roman" w:hAnsi="Times New Roman" w:cs="Times New Roman"/>
          <w:lang w:val="de-CH"/>
        </w:rPr>
        <w:t xml:space="preserve">Massnahmen in der Zuständigkeit des Staatsrats und den </w:t>
      </w:r>
      <w:r w:rsidR="009036CE">
        <w:rPr>
          <w:rFonts w:ascii="Times New Roman" w:eastAsia="Times New Roman" w:hAnsi="Times New Roman" w:cs="Times New Roman"/>
          <w:lang w:val="de-CH"/>
        </w:rPr>
        <w:t>28</w:t>
      </w:r>
      <w:r w:rsidR="009036CE" w:rsidRPr="0089670B">
        <w:rPr>
          <w:rFonts w:ascii="Times New Roman" w:eastAsia="Times New Roman" w:hAnsi="Times New Roman" w:cs="Times New Roman"/>
          <w:lang w:val="de-CH"/>
        </w:rPr>
        <w:t xml:space="preserve"> </w:t>
      </w:r>
      <w:r w:rsidRPr="0089670B">
        <w:rPr>
          <w:rFonts w:ascii="Times New Roman" w:eastAsia="Times New Roman" w:hAnsi="Times New Roman" w:cs="Times New Roman"/>
          <w:lang w:val="de-CH"/>
        </w:rPr>
        <w:t>Massnahmen in der Zuständigkeit des Grossen Rats. Darüber hinaus wird systematisch eine Aufteilung zwischen den weiter oben genannten Massnahmenkategorien vorgenommen und dabei zwischen einnahmenseitigen Massnahmen, Massnahmen auf Personalebene, Massnahmen auf Subventionsebene und sonstigen Massnahmen (Projekte und Reformen) unterschieden.</w:t>
      </w:r>
    </w:p>
    <w:p w14:paraId="58FF78E4" w14:textId="77777777" w:rsidR="00186098" w:rsidRPr="003D7A05" w:rsidRDefault="00186098" w:rsidP="00186098">
      <w:pPr>
        <w:pStyle w:val="Titre2"/>
        <w:rPr>
          <w:lang w:val="de-CH"/>
        </w:rPr>
      </w:pPr>
      <w:bookmarkStart w:id="18" w:name="_Toc196226209"/>
      <w:bookmarkStart w:id="19" w:name="_Toc195000867"/>
      <w:r w:rsidRPr="005C6E51">
        <w:rPr>
          <w:lang w:val="de-CH"/>
        </w:rPr>
        <w:t>Massnahmen in der Zuständigkeit des Grossen Rates</w:t>
      </w:r>
      <w:bookmarkEnd w:id="18"/>
    </w:p>
    <w:p w14:paraId="5BCDB3BE" w14:textId="77777777" w:rsidR="00186098" w:rsidRPr="002A1E02" w:rsidRDefault="00186098" w:rsidP="00186098">
      <w:pPr>
        <w:pStyle w:val="Corpsdetexte"/>
        <w:rPr>
          <w:lang w:val="de-CH"/>
        </w:rPr>
      </w:pPr>
      <w:r w:rsidRPr="00EE76BA">
        <w:rPr>
          <w:rFonts w:ascii="Times New Roman" w:eastAsia="Times New Roman" w:hAnsi="Times New Roman" w:cs="Times New Roman"/>
          <w:lang w:val="de-CH"/>
        </w:rPr>
        <w:t>28 vom Staatsrat beantragte Massnahmen erfordern eine Gesetzesänderung und liegen somit in der Zuständigkeit des Grossen Rates. Sie werden in diesem Abschnitt kurz beschrieben, und in Kapitel 6 dann näher erläutert. Insofern mehrere Vorschläge manchmal denselben Gesetzestext betreffen, müssen für die Umsetzung des Programms zur Sanierung der Kantonsfinanzen insgesamt weniger Rechtsgrundlagen geändert werden.</w:t>
      </w:r>
    </w:p>
    <w:p w14:paraId="7D7575F5" w14:textId="77777777" w:rsidR="00186098" w:rsidRPr="00EB6310" w:rsidRDefault="00186098" w:rsidP="00186098">
      <w:pPr>
        <w:pStyle w:val="Titre3"/>
        <w:rPr>
          <w:lang w:val="de-CH"/>
        </w:rPr>
      </w:pPr>
      <w:bookmarkStart w:id="20" w:name="_Toc196226210"/>
      <w:r w:rsidRPr="00EB6310">
        <w:rPr>
          <w:lang w:val="de-CH"/>
        </w:rPr>
        <w:t>Einnahmen</w:t>
      </w:r>
      <w:bookmarkEnd w:id="20"/>
    </w:p>
    <w:p w14:paraId="1E3B3476"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Es werden folgende einnahmenseitige Massnahmen vorgeschlagen:</w:t>
      </w:r>
    </w:p>
    <w:tbl>
      <w:tblPr>
        <w:tblStyle w:val="TableauEtatFR"/>
        <w:tblW w:w="5000" w:type="pct"/>
        <w:tblLook w:val="04E0" w:firstRow="1" w:lastRow="1" w:firstColumn="1" w:lastColumn="0" w:noHBand="0" w:noVBand="1"/>
      </w:tblPr>
      <w:tblGrid>
        <w:gridCol w:w="5385"/>
        <w:gridCol w:w="992"/>
        <w:gridCol w:w="3543"/>
      </w:tblGrid>
      <w:tr w:rsidR="00186098" w:rsidRPr="005B3823" w14:paraId="39A000D3" w14:textId="77777777" w:rsidTr="00725483">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60586177" w14:textId="4A134FAA"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Einnahmenseitige Massnahmen in der Zuständigkeit des Grossen Rats</w:t>
            </w:r>
          </w:p>
        </w:tc>
      </w:tr>
      <w:tr w:rsidR="00186098" w:rsidRPr="005B3823" w14:paraId="6323B01E" w14:textId="77777777" w:rsidTr="00725483">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4A4C7C63"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Bezeichnung der Massnahme</w:t>
            </w:r>
          </w:p>
        </w:tc>
        <w:tc>
          <w:tcPr>
            <w:tcW w:w="2286" w:type="pct"/>
            <w:gridSpan w:val="2"/>
          </w:tcPr>
          <w:p w14:paraId="734CC4B8"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Gesetzliche Grundlage, die geändert werden muss</w:t>
            </w:r>
          </w:p>
        </w:tc>
      </w:tr>
      <w:tr w:rsidR="00186098" w:rsidRPr="00EE76BA" w14:paraId="142A84CA"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6B2850AD" w14:textId="77777777" w:rsidR="00186098" w:rsidRPr="00EE76BA" w:rsidRDefault="00186098" w:rsidP="00725483">
            <w:pPr>
              <w:spacing w:after="0"/>
              <w:rPr>
                <w:rFonts w:eastAsia="Times New Roman" w:cs="Arial"/>
                <w:bCs/>
                <w:sz w:val="18"/>
                <w:szCs w:val="20"/>
                <w:lang w:val="de-CH"/>
              </w:rPr>
            </w:pPr>
          </w:p>
        </w:tc>
        <w:tc>
          <w:tcPr>
            <w:tcW w:w="500" w:type="pct"/>
          </w:tcPr>
          <w:p w14:paraId="04ABFEA1"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SGF-Nr.</w:t>
            </w:r>
          </w:p>
        </w:tc>
        <w:tc>
          <w:tcPr>
            <w:tcW w:w="1786" w:type="pct"/>
          </w:tcPr>
          <w:p w14:paraId="55540AAD"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Titel</w:t>
            </w:r>
          </w:p>
        </w:tc>
      </w:tr>
      <w:tr w:rsidR="00186098" w:rsidRPr="00EE76BA" w14:paraId="4AAE11C2"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3E34E91D" w14:textId="77777777" w:rsidR="00186098" w:rsidRPr="00EE76BA" w:rsidRDefault="00186098" w:rsidP="00725483">
            <w:pPr>
              <w:spacing w:line="280" w:lineRule="atLeast"/>
              <w:rPr>
                <w:rFonts w:eastAsia="Times New Roman" w:cs="Arial"/>
                <w:bCs/>
                <w:sz w:val="18"/>
                <w:szCs w:val="20"/>
                <w:lang w:val="de-CH"/>
              </w:rPr>
            </w:pPr>
            <w:r w:rsidRPr="00EE76BA">
              <w:rPr>
                <w:rFonts w:eastAsia="Times New Roman" w:cs="Arial"/>
                <w:b/>
                <w:sz w:val="18"/>
                <w:lang w:val="de-CH"/>
              </w:rPr>
              <w:t>a) Gebühren und Entgelte</w:t>
            </w:r>
            <w:r w:rsidRPr="00EE76BA">
              <w:rPr>
                <w:rFonts w:eastAsia="Times New Roman" w:cs="Arial"/>
                <w:b/>
                <w:sz w:val="18"/>
                <w:lang w:val="de-CH"/>
              </w:rPr>
              <w:br/>
            </w:r>
            <w:r w:rsidRPr="00D75058">
              <w:rPr>
                <w:rFonts w:eastAsia="Times New Roman" w:cs="Arial"/>
                <w:bCs/>
                <w:sz w:val="18"/>
                <w:lang w:val="de-CH"/>
              </w:rPr>
              <w:t xml:space="preserve">- </w:t>
            </w:r>
            <w:r w:rsidRPr="00EE76BA">
              <w:rPr>
                <w:rFonts w:eastAsia="Times New Roman" w:cs="Arial"/>
                <w:sz w:val="18"/>
                <w:lang w:val="de-CH"/>
              </w:rPr>
              <w:t>Einführung einer Abgabe auf die in Kiesgruben abgebauten Mengen</w:t>
            </w:r>
          </w:p>
        </w:tc>
        <w:tc>
          <w:tcPr>
            <w:tcW w:w="500" w:type="pct"/>
          </w:tcPr>
          <w:p w14:paraId="0EDFCC10" w14:textId="77777777" w:rsidR="00186098" w:rsidRPr="00EE76BA" w:rsidRDefault="00186098" w:rsidP="00725483">
            <w:pPr>
              <w:spacing w:line="280" w:lineRule="atLeas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br/>
              <w:t>TBD</w:t>
            </w:r>
          </w:p>
        </w:tc>
        <w:tc>
          <w:tcPr>
            <w:tcW w:w="1786" w:type="pct"/>
          </w:tcPr>
          <w:p w14:paraId="3AA44313" w14:textId="77777777" w:rsidR="00186098" w:rsidRPr="00EE76BA" w:rsidRDefault="00186098" w:rsidP="00725483">
            <w:pPr>
              <w:spacing w:line="280" w:lineRule="atLeas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br/>
              <w:t>TBD</w:t>
            </w:r>
          </w:p>
        </w:tc>
      </w:tr>
      <w:tr w:rsidR="00186098" w:rsidRPr="00EE76BA" w14:paraId="4A4FB94C"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12EC21DC" w14:textId="77777777" w:rsidR="00186098" w:rsidRPr="00EE76BA" w:rsidRDefault="00186098" w:rsidP="00725483">
            <w:pPr>
              <w:spacing w:line="280" w:lineRule="atLeast"/>
              <w:rPr>
                <w:rFonts w:eastAsia="Times New Roman" w:cs="Arial"/>
                <w:b/>
                <w:sz w:val="18"/>
                <w:szCs w:val="20"/>
                <w:lang w:val="de-CH"/>
              </w:rPr>
            </w:pPr>
            <w:r w:rsidRPr="00EE76BA">
              <w:rPr>
                <w:rFonts w:eastAsia="Times New Roman" w:cs="Arial"/>
                <w:b/>
                <w:sz w:val="18"/>
                <w:lang w:val="de-CH"/>
              </w:rPr>
              <w:t>b) Steuern</w:t>
            </w:r>
            <w:r w:rsidRPr="00EE76BA">
              <w:rPr>
                <w:rFonts w:eastAsia="Times New Roman" w:cs="Arial"/>
                <w:b/>
                <w:sz w:val="18"/>
                <w:lang w:val="de-CH"/>
              </w:rPr>
              <w:br/>
            </w:r>
            <w:r w:rsidRPr="00EE76BA">
              <w:rPr>
                <w:rFonts w:eastAsia="Times New Roman" w:cs="Arial"/>
                <w:sz w:val="18"/>
                <w:lang w:val="de-CH"/>
              </w:rPr>
              <w:t>- Verringerung des Steuerabzugs für Fahrkosten</w:t>
            </w:r>
            <w:r w:rsidRPr="00EE76BA">
              <w:rPr>
                <w:rFonts w:eastAsia="Times New Roman" w:cs="Arial"/>
                <w:sz w:val="18"/>
                <w:lang w:val="de-CH"/>
              </w:rPr>
              <w:br/>
            </w:r>
            <w:r w:rsidRPr="00EE76BA">
              <w:rPr>
                <w:rFonts w:eastAsia="Times New Roman" w:cs="Arial"/>
                <w:sz w:val="18"/>
                <w:lang w:val="de-CH"/>
              </w:rPr>
              <w:br/>
              <w:t>- Kein Ausgleich der kalten Progression</w:t>
            </w:r>
          </w:p>
        </w:tc>
        <w:tc>
          <w:tcPr>
            <w:tcW w:w="500" w:type="pct"/>
          </w:tcPr>
          <w:p w14:paraId="07DBBB5C" w14:textId="77777777" w:rsidR="00186098" w:rsidRPr="00EE76BA" w:rsidRDefault="00186098" w:rsidP="00725483">
            <w:pPr>
              <w:spacing w:line="280" w:lineRule="atLeas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br/>
              <w:t>631.1</w:t>
            </w:r>
            <w:r w:rsidRPr="00EE76BA">
              <w:rPr>
                <w:rFonts w:eastAsia="Times New Roman" w:cs="Arial"/>
                <w:color w:val="000000"/>
                <w:sz w:val="18"/>
                <w:lang w:val="de-CH"/>
              </w:rPr>
              <w:br/>
            </w:r>
            <w:r w:rsidRPr="00EE76BA">
              <w:rPr>
                <w:rFonts w:eastAsia="Times New Roman" w:cs="Arial"/>
                <w:color w:val="000000"/>
                <w:sz w:val="18"/>
                <w:lang w:val="de-CH"/>
              </w:rPr>
              <w:br/>
              <w:t>631.1</w:t>
            </w:r>
          </w:p>
        </w:tc>
        <w:tc>
          <w:tcPr>
            <w:tcW w:w="1786" w:type="pct"/>
          </w:tcPr>
          <w:p w14:paraId="13AF6203" w14:textId="77777777" w:rsidR="00186098" w:rsidRPr="00EE76BA" w:rsidRDefault="00186098" w:rsidP="00725483">
            <w:pPr>
              <w:spacing w:line="280" w:lineRule="atLeas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br/>
              <w:t>Gesetz vom 6. Juni 2000 über die direkten Kantonssteuern (DStG)</w:t>
            </w:r>
            <w:r w:rsidRPr="00EE76BA">
              <w:rPr>
                <w:rFonts w:eastAsia="Times New Roman" w:cs="Arial"/>
                <w:color w:val="000000"/>
                <w:sz w:val="18"/>
                <w:lang w:val="de-CH"/>
              </w:rPr>
              <w:br/>
              <w:t>Gesetz vom 6. Juni 2000 über die direkten Kantonssteuern (DStG)</w:t>
            </w:r>
          </w:p>
        </w:tc>
      </w:tr>
      <w:tr w:rsidR="00186098" w:rsidRPr="005B3823" w14:paraId="51994149"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6F8478E4" w14:textId="77777777" w:rsidR="00186098" w:rsidRPr="00EE76BA" w:rsidRDefault="00186098" w:rsidP="00725483">
            <w:pPr>
              <w:spacing w:line="280" w:lineRule="atLeast"/>
              <w:rPr>
                <w:rFonts w:eastAsia="Times New Roman" w:cs="Arial"/>
                <w:sz w:val="18"/>
                <w:szCs w:val="20"/>
                <w:lang w:val="de-CH"/>
              </w:rPr>
            </w:pPr>
            <w:r w:rsidRPr="00EE76BA">
              <w:rPr>
                <w:rFonts w:eastAsia="Times New Roman" w:cs="Arial"/>
                <w:sz w:val="18"/>
                <w:lang w:val="de-CH"/>
              </w:rPr>
              <w:t>d) Weitere Einnahmen</w:t>
            </w:r>
            <w:r w:rsidRPr="00EE76BA">
              <w:rPr>
                <w:rFonts w:eastAsia="Times New Roman" w:cs="Arial"/>
                <w:bCs/>
                <w:sz w:val="18"/>
                <w:lang w:val="de-CH"/>
              </w:rPr>
              <w:br/>
            </w:r>
            <w:r w:rsidRPr="00EE76BA">
              <w:rPr>
                <w:rFonts w:eastAsia="Times New Roman" w:cs="Arial"/>
                <w:b w:val="0"/>
                <w:sz w:val="18"/>
                <w:lang w:val="de-CH"/>
              </w:rPr>
              <w:t>- Reduktion des Gemeindeanteils an der Motorfahrzeugsteuer</w:t>
            </w:r>
          </w:p>
        </w:tc>
        <w:tc>
          <w:tcPr>
            <w:tcW w:w="500" w:type="pct"/>
          </w:tcPr>
          <w:p w14:paraId="481EAC54" w14:textId="77777777" w:rsidR="00186098" w:rsidRPr="00EE76BA" w:rsidRDefault="00186098" w:rsidP="00725483">
            <w:pPr>
              <w:spacing w:line="280" w:lineRule="atLeas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EE76BA">
              <w:rPr>
                <w:rFonts w:eastAsia="Times New Roman" w:cs="Arial"/>
                <w:color w:val="000000"/>
                <w:sz w:val="18"/>
                <w:lang w:val="de-CH"/>
              </w:rPr>
              <w:br/>
            </w:r>
            <w:r w:rsidRPr="00EE76BA">
              <w:rPr>
                <w:rFonts w:eastAsia="Times New Roman" w:cs="Arial"/>
                <w:b w:val="0"/>
                <w:bCs/>
                <w:color w:val="000000"/>
                <w:sz w:val="18"/>
                <w:lang w:val="de-CH"/>
              </w:rPr>
              <w:t>635.4.1</w:t>
            </w:r>
          </w:p>
        </w:tc>
        <w:tc>
          <w:tcPr>
            <w:tcW w:w="1786" w:type="pct"/>
          </w:tcPr>
          <w:p w14:paraId="5BC5E2C3" w14:textId="77777777" w:rsidR="00186098" w:rsidRPr="00EE76BA" w:rsidRDefault="00186098" w:rsidP="00725483">
            <w:pPr>
              <w:spacing w:line="280" w:lineRule="atLeas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EE76BA">
              <w:rPr>
                <w:rFonts w:eastAsia="Times New Roman" w:cs="Arial"/>
                <w:color w:val="000000"/>
                <w:sz w:val="18"/>
                <w:lang w:val="de-CH"/>
              </w:rPr>
              <w:br/>
            </w:r>
            <w:r w:rsidRPr="00EE76BA">
              <w:rPr>
                <w:rFonts w:eastAsia="Times New Roman" w:cs="Arial"/>
                <w:b w:val="0"/>
                <w:bCs/>
                <w:color w:val="000000"/>
                <w:sz w:val="18"/>
                <w:lang w:val="de-CH"/>
              </w:rPr>
              <w:t>Gesetz vom 11. Dezember 2021 über die Besteuerung der Motorfahrzeuge und Anhänger (BMfzG)</w:t>
            </w:r>
          </w:p>
        </w:tc>
      </w:tr>
    </w:tbl>
    <w:p w14:paraId="39FE161C" w14:textId="77777777" w:rsidR="008E7BE6" w:rsidRPr="006E4392" w:rsidRDefault="008E7BE6" w:rsidP="00A3723C">
      <w:pPr>
        <w:pStyle w:val="Listealphabtique"/>
        <w:numPr>
          <w:ilvl w:val="0"/>
          <w:numId w:val="0"/>
        </w:numPr>
        <w:rPr>
          <w:b/>
          <w:bCs/>
          <w:lang w:val="de-CH"/>
        </w:rPr>
      </w:pPr>
    </w:p>
    <w:p w14:paraId="7F6A5D51" w14:textId="06E5D3E1" w:rsidR="00186098" w:rsidRPr="00FE3A13" w:rsidRDefault="00186098" w:rsidP="00186098">
      <w:pPr>
        <w:pStyle w:val="Listealphabtique"/>
        <w:numPr>
          <w:ilvl w:val="0"/>
          <w:numId w:val="26"/>
        </w:numPr>
        <w:ind w:left="426" w:hanging="426"/>
        <w:rPr>
          <w:b/>
          <w:bCs/>
        </w:rPr>
      </w:pPr>
      <w:r w:rsidRPr="005C6E51">
        <w:rPr>
          <w:b/>
          <w:bCs/>
          <w:lang w:val="de-CH"/>
        </w:rPr>
        <w:t>Gebühren und Entgelte</w:t>
      </w:r>
    </w:p>
    <w:p w14:paraId="2E8AD76D" w14:textId="77777777" w:rsidR="00186098" w:rsidRPr="00EE76BA" w:rsidRDefault="00186098" w:rsidP="00186098">
      <w:pPr>
        <w:contextualSpacing/>
        <w:rPr>
          <w:rFonts w:ascii="Times New Roman" w:eastAsia="Times New Roman" w:hAnsi="Times New Roman" w:cs="Times New Roman"/>
          <w:b/>
          <w:bCs/>
          <w:lang w:val="de-CH"/>
        </w:rPr>
      </w:pPr>
      <w:r w:rsidRPr="002A1E02">
        <w:rPr>
          <w:b/>
          <w:bCs/>
          <w:lang w:val="de-CH"/>
        </w:rPr>
        <w:t>&gt;</w:t>
      </w:r>
      <w:r w:rsidRPr="002A1E02">
        <w:rPr>
          <w:b/>
          <w:bCs/>
          <w:lang w:val="de-CH"/>
        </w:rPr>
        <w:tab/>
      </w:r>
      <w:r w:rsidRPr="00EE76BA">
        <w:rPr>
          <w:rFonts w:ascii="Times New Roman" w:eastAsia="Times New Roman" w:hAnsi="Times New Roman" w:cs="Times New Roman"/>
          <w:b/>
          <w:lang w:val="de-CH"/>
        </w:rPr>
        <w:t>Einführung einer Abgabe auf die in Kiesgruben abgebauten Mengen</w:t>
      </w:r>
    </w:p>
    <w:p w14:paraId="1F7732C3"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 xml:space="preserve">Die Massnahme besteht in der Einführung einer kantonalen Abgabe auf den in den Materialabbauzonen abgebauten Mengen durch Schaffung eines neuen Spezialgesetzes oder durch Änderung einer bestehenden gesetzlichen Grundlage (Raumplanungs- und Baugesetz vom 2. Dezember 2008, SGF 710.1, evtl. Gesetz vom 4. Februar 1972 über die öffentlichen Sachen, SGF 750.1). </w:t>
      </w:r>
    </w:p>
    <w:p w14:paraId="3AE3253A"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Der Kanton könnte damit eine Abgabe von 5 Franken pro m3 Abbauvolumen einführen. Im Durchschnitt werden im Kanton 600 000 m3 pro Jahr abgebaut. Basierend auf den verfügbaren Tarifen für die drei grössten Betreiber im Kanton schwanken die Preise für das abgebaute Material je nach Art des Materials zwischen 26 und 112 Franken pro m3. Die Betreiber erhalten zudem Beträge zwischen 16 und 34 Franken pro m3 für Aufschüttmaterial.</w:t>
      </w:r>
    </w:p>
    <w:p w14:paraId="3717F95D"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Die Rechtsgrundlage müsste insbesondere die folgenden Elemente enthalten: den Grundsatz der Abgabe und ihren Anwendungsbereich, d. h. die in den Materialabbauzonen (Kiesgruben, Steinbrüche) abgebauten Materialien, die für den Bau benötigt werden; den Höchstbetrag der Abgabe; die für die Erhebung der Abgabe zuständige Behörde; die Verwendung der Abgabe; die Modalitäten der Erhebung und des Einzugs der Abgabe.</w:t>
      </w:r>
    </w:p>
    <w:p w14:paraId="2DC62FB7"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Was die finanziellen und personellen Folgen betrifft, so wären 0,5 VZÄ für eine wissenschaftliche Mitarbeiterin ETH/HS bzw. einen wissenschaftlichen Mitarbeiter ETH/HS in unbefristeter Anstellung erforderlich, um die mit der Abgabe verbundenen Arbeiten durchzuführen (insbesondere Identifizierung des abgebauten Materials). In Abhängigkeit vom Mechanismus, der für die Erhebung und den Einzug der Abgabe gewählt wird, wird geprüft werden müssen, ob eine zusätzliche Stelle für Verwaltungssachbearbeitung vorgesehen werden muss oder ob diese Aufgabe von einer Person übernommen werden kann, die diese Art von Aufgabe bereits wahrnimmt.</w:t>
      </w:r>
      <w:r>
        <w:rPr>
          <w:rFonts w:ascii="Times New Roman" w:eastAsia="Times New Roman" w:hAnsi="Times New Roman" w:cs="Times New Roman"/>
          <w:lang w:val="de-CH"/>
        </w:rPr>
        <w:t xml:space="preserve"> Diese Massnahme kann nicht vor 2027 umgesetzt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130FC723"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7214B89"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435B8842"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29871C60"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3F5864E5"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1" w:type="pct"/>
          </w:tcPr>
          <w:p w14:paraId="3D236CC0"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131C3FD4"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F5744D5"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31F88548"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0</w:t>
            </w:r>
          </w:p>
        </w:tc>
        <w:tc>
          <w:tcPr>
            <w:tcW w:w="833" w:type="pct"/>
          </w:tcPr>
          <w:p w14:paraId="261DF632"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2 930 000</w:t>
            </w:r>
          </w:p>
        </w:tc>
        <w:tc>
          <w:tcPr>
            <w:tcW w:w="833" w:type="pct"/>
          </w:tcPr>
          <w:p w14:paraId="667AAA3D"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2 930 000</w:t>
            </w:r>
          </w:p>
        </w:tc>
        <w:tc>
          <w:tcPr>
            <w:tcW w:w="831" w:type="pct"/>
          </w:tcPr>
          <w:p w14:paraId="0AE1CA58"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5 860 000</w:t>
            </w:r>
          </w:p>
        </w:tc>
      </w:tr>
      <w:tr w:rsidR="00186098" w:rsidRPr="00EE76BA" w14:paraId="4D6E8EAF"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DC961C9"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71B93794"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6996279E"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407AC62B"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1" w:type="pct"/>
          </w:tcPr>
          <w:p w14:paraId="41113D6E"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r>
    </w:tbl>
    <w:p w14:paraId="2564B4BB" w14:textId="77777777" w:rsidR="00186098" w:rsidRPr="00FE3A13" w:rsidRDefault="00186098" w:rsidP="00186098">
      <w:pPr>
        <w:pStyle w:val="Listealphabtique"/>
        <w:ind w:left="426" w:hanging="426"/>
        <w:rPr>
          <w:b/>
          <w:bCs/>
        </w:rPr>
      </w:pPr>
      <w:r>
        <w:rPr>
          <w:b/>
          <w:bCs/>
        </w:rPr>
        <w:t>Steuern</w:t>
      </w:r>
    </w:p>
    <w:p w14:paraId="237625A7" w14:textId="77777777" w:rsidR="00186098" w:rsidRPr="00EE76BA" w:rsidRDefault="00186098" w:rsidP="00186098">
      <w:pPr>
        <w:contextualSpacing/>
        <w:rPr>
          <w:rFonts w:ascii="Times New Roman" w:eastAsia="Times New Roman" w:hAnsi="Times New Roman" w:cs="Times New Roman"/>
          <w:b/>
          <w:bCs/>
          <w:lang w:val="de-CH"/>
        </w:rPr>
      </w:pPr>
      <w:r w:rsidRPr="00FE3A13">
        <w:rPr>
          <w:b/>
          <w:bCs/>
        </w:rPr>
        <w:t>&gt;</w:t>
      </w:r>
      <w:r w:rsidRPr="00FE3A13">
        <w:rPr>
          <w:b/>
          <w:bCs/>
        </w:rPr>
        <w:tab/>
      </w:r>
      <w:r w:rsidRPr="00EE76BA">
        <w:rPr>
          <w:rFonts w:ascii="Times New Roman" w:eastAsia="Times New Roman" w:hAnsi="Times New Roman" w:cs="Times New Roman"/>
          <w:b/>
          <w:lang w:val="de-CH"/>
        </w:rPr>
        <w:t>Verringerung des Steuerabzugs für Fahrkosten</w:t>
      </w:r>
    </w:p>
    <w:p w14:paraId="068F4898" w14:textId="77777777" w:rsidR="00186098" w:rsidRPr="00EE76BA" w:rsidRDefault="00186098" w:rsidP="00186098">
      <w:pPr>
        <w:contextualSpacing/>
        <w:rPr>
          <w:rFonts w:ascii="Times New Roman" w:eastAsia="Times New Roman" w:hAnsi="Times New Roman" w:cs="Times New Roman"/>
          <w:b/>
          <w:bCs/>
          <w:lang w:val="de-CH"/>
        </w:rPr>
      </w:pPr>
      <w:r w:rsidRPr="00EE76BA">
        <w:rPr>
          <w:rFonts w:ascii="Times New Roman" w:eastAsia="Times New Roman" w:hAnsi="Times New Roman" w:cs="Times New Roman"/>
          <w:lang w:val="de-CH"/>
        </w:rPr>
        <w:t>Massnahme: Verringerung des Steuerabzugs für Fahrkosten. Abzugsfähig sind die notwendigen Fahrkosten zwischen Wohn- und Arbeitsort, sofern es sich um eine grössere Strecke handelt, d.h. mehr als 1,5 km. Dieser Abzug ist derzeit auf 12 000 Franken begrenzt. Die Senkung der Obergrenze für den Fahrkostenabzug auf 8000 Franken würde Mehreinnahmen generieren. Davon betroffen wären rund</w:t>
      </w:r>
      <w:r>
        <w:rPr>
          <w:rFonts w:ascii="Times New Roman" w:eastAsia="Times New Roman" w:hAnsi="Times New Roman" w:cs="Times New Roman"/>
          <w:lang w:val="de-CH"/>
        </w:rPr>
        <w:t xml:space="preserve"> </w:t>
      </w:r>
      <w:r w:rsidRPr="00EE76BA">
        <w:rPr>
          <w:rFonts w:ascii="Times New Roman" w:eastAsia="Times New Roman" w:hAnsi="Times New Roman" w:cs="Times New Roman"/>
          <w:lang w:val="de-CH"/>
        </w:rPr>
        <w:t>18</w:t>
      </w:r>
      <w:r>
        <w:rPr>
          <w:rFonts w:ascii="Times New Roman" w:eastAsia="Times New Roman" w:hAnsi="Times New Roman" w:cs="Times New Roman"/>
          <w:lang w:val="de-CH"/>
        </w:rPr>
        <w:t> </w:t>
      </w:r>
      <w:r w:rsidRPr="00EE76BA">
        <w:rPr>
          <w:rFonts w:ascii="Times New Roman" w:eastAsia="Times New Roman" w:hAnsi="Times New Roman" w:cs="Times New Roman"/>
          <w:lang w:val="de-CH"/>
        </w:rPr>
        <w:t xml:space="preserve">500 Steuerpflichtige. </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7BF04B8F"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1E0A94A"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Finanzielle Auswirkungen in Franken</w:t>
            </w:r>
          </w:p>
        </w:tc>
        <w:tc>
          <w:tcPr>
            <w:tcW w:w="833" w:type="pct"/>
          </w:tcPr>
          <w:p w14:paraId="62CB4CF4"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2C541B03"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319D0AEC"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70B8C87D"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3635BE2E"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C8F995F"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3BFBA50F"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5 200 000</w:t>
            </w:r>
          </w:p>
        </w:tc>
        <w:tc>
          <w:tcPr>
            <w:tcW w:w="833" w:type="pct"/>
          </w:tcPr>
          <w:p w14:paraId="3FF7F83B"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5 200 000</w:t>
            </w:r>
          </w:p>
        </w:tc>
        <w:tc>
          <w:tcPr>
            <w:tcW w:w="833" w:type="pct"/>
          </w:tcPr>
          <w:p w14:paraId="26FAC9B9"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5 200 000</w:t>
            </w:r>
          </w:p>
        </w:tc>
        <w:tc>
          <w:tcPr>
            <w:tcW w:w="833" w:type="pct"/>
          </w:tcPr>
          <w:p w14:paraId="7E199352"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15 600 000</w:t>
            </w:r>
          </w:p>
        </w:tc>
      </w:tr>
      <w:tr w:rsidR="00186098" w:rsidRPr="00EE76BA" w14:paraId="59800F37"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6CDBB42"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5D95B6EE"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300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5397AE23"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300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7D006135"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300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129E2F0F"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12</w:t>
            </w:r>
            <w:r w:rsidRPr="00EE76BA">
              <w:rPr>
                <w:rFonts w:eastAsia="Times New Roman" w:cs="Arial"/>
                <w:color w:val="000000"/>
                <w:sz w:val="18"/>
                <w:lang w:val="de-CH"/>
              </w:rPr>
              <w:t> </w:t>
            </w:r>
            <w:r w:rsidRPr="00EE76BA">
              <w:rPr>
                <w:rFonts w:eastAsia="Times New Roman" w:cs="Arial"/>
                <w:b w:val="0"/>
                <w:color w:val="000000"/>
                <w:sz w:val="18"/>
                <w:lang w:val="de-CH"/>
              </w:rPr>
              <w:t>900</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20D496BC" w14:textId="77777777" w:rsidR="00186098" w:rsidRPr="00EE76BA" w:rsidRDefault="00186098" w:rsidP="00186098">
      <w:pPr>
        <w:contextualSpacing/>
        <w:rPr>
          <w:rFonts w:ascii="Times New Roman" w:eastAsia="Times New Roman" w:hAnsi="Times New Roman" w:cs="Times New Roman"/>
          <w:b/>
          <w:bCs/>
          <w:lang w:val="de-CH"/>
        </w:rPr>
      </w:pPr>
      <w:r w:rsidRPr="00EE76BA">
        <w:rPr>
          <w:rFonts w:ascii="Times New Roman" w:eastAsia="Times New Roman" w:hAnsi="Times New Roman" w:cs="Times New Roman"/>
          <w:b/>
          <w:lang w:val="de-CH"/>
        </w:rPr>
        <w:t>&gt;</w:t>
      </w:r>
      <w:r w:rsidRPr="00EE76BA">
        <w:rPr>
          <w:rFonts w:ascii="Times New Roman" w:eastAsia="Times New Roman" w:hAnsi="Times New Roman" w:cs="Times New Roman"/>
          <w:b/>
          <w:lang w:val="de-CH"/>
        </w:rPr>
        <w:tab/>
        <w:t>Kein Ausgleich der kalten Progression</w:t>
      </w:r>
    </w:p>
    <w:p w14:paraId="39915AB8" w14:textId="5A0E68F2" w:rsidR="00992CA5"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Massnahme: Vollständiger Verzicht auf die Anpassung der Tarifstufen und der Sozialabzüge aufgrund der kalten Progression für die Steuerperiode 2026</w:t>
      </w:r>
      <w:r w:rsidR="00992CA5">
        <w:rPr>
          <w:rFonts w:ascii="Times New Roman" w:eastAsia="Times New Roman" w:hAnsi="Times New Roman" w:cs="Times New Roman"/>
          <w:lang w:val="de-CH"/>
        </w:rPr>
        <w:t>–</w:t>
      </w:r>
      <w:r w:rsidRPr="00EE76BA">
        <w:rPr>
          <w:rFonts w:ascii="Times New Roman" w:eastAsia="Times New Roman" w:hAnsi="Times New Roman" w:cs="Times New Roman"/>
          <w:lang w:val="de-CH"/>
        </w:rPr>
        <w:t xml:space="preserve">2028. Der neue Konsumentenpreisindex für die nächste Anpassung wäre derjenige von Dezember 2024 (von 109,3 Punkten). Konkret könnten mit dieser Massnahme Steuerausfälle verhindert werden. </w:t>
      </w:r>
    </w:p>
    <w:p w14:paraId="0E2C6C6D" w14:textId="77777777" w:rsidR="00992CA5" w:rsidRPr="00992CA5" w:rsidRDefault="00992CA5" w:rsidP="00992CA5">
      <w:pPr>
        <w:rPr>
          <w:rFonts w:ascii="Times New Roman" w:eastAsia="Times New Roman" w:hAnsi="Times New Roman" w:cs="Times New Roman"/>
          <w:lang w:val="de-CH"/>
        </w:rPr>
      </w:pPr>
      <w:r w:rsidRPr="00992CA5">
        <w:rPr>
          <w:rFonts w:ascii="Times New Roman" w:eastAsia="Times New Roman" w:hAnsi="Times New Roman" w:cs="Times New Roman"/>
          <w:lang w:val="de-CH"/>
        </w:rPr>
        <w:t>Nach den Artikeln 40 Abs. 1 und 62a Abs. 1 des Gesetzes vom 6. Juni 2000 über die direkten Kantonssteuern (DStG) müssen die Folgen der kalten Progression auf die Einkommens- und Vermögenssteuer der natürlichen Personen periodisch, mindestens aber alle drei Jahre durch eine Anpassung der Tarifstufen und der Sozialabzüge ganz oder teilweise ausgeglichen werden.</w:t>
      </w:r>
    </w:p>
    <w:p w14:paraId="59484CB7" w14:textId="59ED0AAE" w:rsidR="00992CA5" w:rsidRPr="00992CA5" w:rsidRDefault="00992CA5" w:rsidP="00992CA5">
      <w:pPr>
        <w:rPr>
          <w:rFonts w:ascii="Times New Roman" w:eastAsia="Times New Roman" w:hAnsi="Times New Roman" w:cs="Times New Roman"/>
          <w:lang w:val="de-CH"/>
        </w:rPr>
      </w:pPr>
      <w:r w:rsidRPr="00992CA5">
        <w:rPr>
          <w:rFonts w:ascii="Times New Roman" w:eastAsia="Times New Roman" w:hAnsi="Times New Roman" w:cs="Times New Roman"/>
          <w:lang w:val="de-CH"/>
        </w:rPr>
        <w:lastRenderedPageBreak/>
        <w:t>Seit dem 1. Januar 2011 müssen die Einkommens- und Vermögenssteuertarife angepasst werden, wenn der Landesindex der Konsumentenpreise (LIK) seit der letzten Anpassung um mindestens 5</w:t>
      </w:r>
      <w:r w:rsidR="00ED1646">
        <w:rPr>
          <w:rFonts w:ascii="Times New Roman" w:eastAsia="Times New Roman" w:hAnsi="Times New Roman" w:cs="Times New Roman"/>
          <w:lang w:val="de-CH"/>
        </w:rPr>
        <w:t> </w:t>
      </w:r>
      <w:r w:rsidRPr="00992CA5">
        <w:rPr>
          <w:rFonts w:ascii="Times New Roman" w:eastAsia="Times New Roman" w:hAnsi="Times New Roman" w:cs="Times New Roman"/>
          <w:lang w:val="de-CH"/>
        </w:rPr>
        <w:t>% gestiegen ist, mindestens jedoch alle 3 Jahre.</w:t>
      </w:r>
    </w:p>
    <w:p w14:paraId="45B3EE62" w14:textId="3E377226" w:rsidR="00992CA5" w:rsidRPr="00992CA5" w:rsidRDefault="00992CA5" w:rsidP="00992CA5">
      <w:pPr>
        <w:rPr>
          <w:rFonts w:ascii="Times New Roman" w:eastAsia="Times New Roman" w:hAnsi="Times New Roman" w:cs="Times New Roman"/>
          <w:lang w:val="de-CH"/>
        </w:rPr>
      </w:pPr>
      <w:r w:rsidRPr="00992CA5">
        <w:rPr>
          <w:rFonts w:ascii="Times New Roman" w:eastAsia="Times New Roman" w:hAnsi="Times New Roman" w:cs="Times New Roman"/>
          <w:lang w:val="de-CH"/>
        </w:rPr>
        <w:t>Die Folgen der kalten Progression sind letztmals 2022 mit Wirkung auf den 1. Januar 2023 ausgeglichen worden. Der geltende Referenz-LIK ist also derjenige von Dezember 2021 und liegt bei 103,8 Punkten. Vergleicht man diesen Index mit demjenigen von Dezember 2024, der bei 109,3 Punkten liegt, so stellt man eine Erhöhung des LIK um 5,3</w:t>
      </w:r>
      <w:r w:rsidR="00ED1646">
        <w:rPr>
          <w:rFonts w:ascii="Times New Roman" w:eastAsia="Times New Roman" w:hAnsi="Times New Roman" w:cs="Times New Roman"/>
          <w:lang w:val="de-CH"/>
        </w:rPr>
        <w:t> </w:t>
      </w:r>
      <w:r w:rsidRPr="00992CA5">
        <w:rPr>
          <w:rFonts w:ascii="Times New Roman" w:eastAsia="Times New Roman" w:hAnsi="Times New Roman" w:cs="Times New Roman"/>
          <w:lang w:val="de-CH"/>
        </w:rPr>
        <w:t xml:space="preserve">% fest. </w:t>
      </w:r>
    </w:p>
    <w:p w14:paraId="22CD00A4" w14:textId="6BD1F67F" w:rsidR="00992CA5" w:rsidRPr="00992CA5" w:rsidRDefault="00992CA5" w:rsidP="00992CA5">
      <w:pPr>
        <w:rPr>
          <w:rFonts w:ascii="Times New Roman" w:eastAsia="Times New Roman" w:hAnsi="Times New Roman" w:cs="Times New Roman"/>
          <w:lang w:val="de-CH"/>
        </w:rPr>
      </w:pPr>
      <w:r w:rsidRPr="00992CA5">
        <w:rPr>
          <w:rFonts w:ascii="Times New Roman" w:eastAsia="Times New Roman" w:hAnsi="Times New Roman" w:cs="Times New Roman"/>
          <w:lang w:val="de-CH"/>
        </w:rPr>
        <w:t>Damit ist die Grenze von 5</w:t>
      </w:r>
      <w:r w:rsidR="00ED1646">
        <w:rPr>
          <w:rFonts w:ascii="Times New Roman" w:eastAsia="Times New Roman" w:hAnsi="Times New Roman" w:cs="Times New Roman"/>
          <w:lang w:val="de-CH"/>
        </w:rPr>
        <w:t> </w:t>
      </w:r>
      <w:r w:rsidRPr="00992CA5">
        <w:rPr>
          <w:rFonts w:ascii="Times New Roman" w:eastAsia="Times New Roman" w:hAnsi="Times New Roman" w:cs="Times New Roman"/>
          <w:lang w:val="de-CH"/>
        </w:rPr>
        <w:t>% nach Artikel 62a Abs. 2 DStG erreicht und auch das Kriterium, wonach mindestens alle drei Jahre ein Ausgleich erfolgen muss, ist erfüllt. Daher müsste grundsätzlich ein Bericht für das Jahr 2025 verfasst werden, damit die daraus resultierenden möglichen Gesetzesänderungen am 1. Januar 2026 in Kraft treten könnten.</w:t>
      </w:r>
    </w:p>
    <w:p w14:paraId="16A77767" w14:textId="6ED72123" w:rsidR="00186098" w:rsidRPr="00EE76BA" w:rsidRDefault="00992CA5" w:rsidP="00992CA5">
      <w:pPr>
        <w:rPr>
          <w:rFonts w:ascii="Times New Roman" w:eastAsia="Times New Roman" w:hAnsi="Times New Roman" w:cs="Times New Roman"/>
          <w:lang w:val="de-CH"/>
        </w:rPr>
      </w:pPr>
      <w:r w:rsidRPr="00992CA5">
        <w:rPr>
          <w:rFonts w:ascii="Times New Roman" w:eastAsia="Times New Roman" w:hAnsi="Times New Roman" w:cs="Times New Roman"/>
          <w:lang w:val="de-CH"/>
        </w:rPr>
        <w:t>Die Analysen und Schätzungen der kantonalen Steuerverwaltung zeigen, dass auch der Einkommenssteuertarif und die meisten Abzüge betragsmässig angepasst werden müssten. Der Ausgleich der Folgen der kalten Progression würde somit alle Steuerpflichtigen und die Mehrheit der von den Abzügen betroffenen Steuerpflichtligen steuerlich entlasten.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4BF2DC7C"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19C5A60"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Finanzielle Auswirkungen in Franken</w:t>
            </w:r>
          </w:p>
        </w:tc>
        <w:tc>
          <w:tcPr>
            <w:tcW w:w="833" w:type="pct"/>
          </w:tcPr>
          <w:p w14:paraId="5643D1F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02D9E5D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7C523F8A"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7A5C8F50"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5817D904"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F015498"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31171300"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20 000 000</w:t>
            </w:r>
          </w:p>
        </w:tc>
        <w:tc>
          <w:tcPr>
            <w:tcW w:w="833" w:type="pct"/>
          </w:tcPr>
          <w:p w14:paraId="5D40C14A"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20 000 000</w:t>
            </w:r>
          </w:p>
        </w:tc>
        <w:tc>
          <w:tcPr>
            <w:tcW w:w="833" w:type="pct"/>
          </w:tcPr>
          <w:p w14:paraId="18440901"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20 000 000</w:t>
            </w:r>
          </w:p>
        </w:tc>
        <w:tc>
          <w:tcPr>
            <w:tcW w:w="833" w:type="pct"/>
          </w:tcPr>
          <w:p w14:paraId="051A2C08"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60 000 000</w:t>
            </w:r>
          </w:p>
        </w:tc>
      </w:tr>
      <w:tr w:rsidR="00186098" w:rsidRPr="00EE76BA" w14:paraId="49DFF082"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5ED4B71"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1B73F17D"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23</w:t>
            </w:r>
            <w:r w:rsidRPr="00EE76BA">
              <w:rPr>
                <w:rFonts w:eastAsia="Times New Roman" w:cs="Arial"/>
                <w:color w:val="000000"/>
                <w:sz w:val="18"/>
                <w:lang w:val="de-CH"/>
              </w:rPr>
              <w:t> </w:t>
            </w:r>
            <w:r w:rsidRPr="00EE76BA">
              <w:rPr>
                <w:rFonts w:eastAsia="Times New Roman" w:cs="Arial"/>
                <w:b w:val="0"/>
                <w:color w:val="000000"/>
                <w:sz w:val="18"/>
                <w:lang w:val="de-CH"/>
              </w:rPr>
              <w:t>000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4A040E2B"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23</w:t>
            </w:r>
            <w:r w:rsidRPr="00EE76BA">
              <w:rPr>
                <w:rFonts w:eastAsia="Times New Roman" w:cs="Arial"/>
                <w:color w:val="000000"/>
                <w:sz w:val="18"/>
                <w:lang w:val="de-CH"/>
              </w:rPr>
              <w:t> </w:t>
            </w:r>
            <w:r w:rsidRPr="00EE76BA">
              <w:rPr>
                <w:rFonts w:eastAsia="Times New Roman" w:cs="Arial"/>
                <w:b w:val="0"/>
                <w:color w:val="000000"/>
                <w:sz w:val="18"/>
                <w:lang w:val="de-CH"/>
              </w:rPr>
              <w:t>000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18A06595"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23</w:t>
            </w:r>
            <w:r w:rsidRPr="00EE76BA">
              <w:rPr>
                <w:rFonts w:eastAsia="Times New Roman" w:cs="Arial"/>
                <w:color w:val="000000"/>
                <w:sz w:val="18"/>
                <w:lang w:val="de-CH"/>
              </w:rPr>
              <w:t> </w:t>
            </w:r>
            <w:r w:rsidRPr="00EE76BA">
              <w:rPr>
                <w:rFonts w:eastAsia="Times New Roman" w:cs="Arial"/>
                <w:b w:val="0"/>
                <w:color w:val="000000"/>
                <w:sz w:val="18"/>
                <w:lang w:val="de-CH"/>
              </w:rPr>
              <w:t>000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5C65D66D"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69</w:t>
            </w:r>
            <w:r w:rsidRPr="00EE76BA">
              <w:rPr>
                <w:rFonts w:eastAsia="Times New Roman" w:cs="Arial"/>
                <w:color w:val="000000"/>
                <w:sz w:val="18"/>
                <w:lang w:val="de-CH"/>
              </w:rPr>
              <w:t> </w:t>
            </w:r>
            <w:r w:rsidRPr="00EE76BA">
              <w:rPr>
                <w:rFonts w:eastAsia="Times New Roman" w:cs="Arial"/>
                <w:b w:val="0"/>
                <w:color w:val="000000"/>
                <w:sz w:val="18"/>
                <w:lang w:val="de-CH"/>
              </w:rPr>
              <w:t>000</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2F1A8E0F" w14:textId="77777777" w:rsidR="00186098" w:rsidRPr="00EB6310" w:rsidRDefault="00186098" w:rsidP="00186098">
      <w:pPr>
        <w:pStyle w:val="Listealphabtique"/>
        <w:numPr>
          <w:ilvl w:val="0"/>
          <w:numId w:val="33"/>
        </w:numPr>
        <w:ind w:left="426" w:hanging="426"/>
        <w:rPr>
          <w:b/>
          <w:bCs/>
          <w:lang w:val="de-CH"/>
        </w:rPr>
      </w:pPr>
      <w:r w:rsidRPr="00EB6310">
        <w:rPr>
          <w:b/>
          <w:bCs/>
          <w:lang w:val="de-CH"/>
        </w:rPr>
        <w:t>Weitere Einnahmen</w:t>
      </w:r>
    </w:p>
    <w:p w14:paraId="28C89F55" w14:textId="77777777" w:rsidR="00186098" w:rsidRPr="00A72135" w:rsidRDefault="00186098" w:rsidP="00186098">
      <w:pPr>
        <w:pStyle w:val="Listealphabtique"/>
        <w:numPr>
          <w:ilvl w:val="0"/>
          <w:numId w:val="0"/>
        </w:numPr>
        <w:rPr>
          <w:lang w:val="de-CH"/>
        </w:rPr>
      </w:pPr>
      <w:r w:rsidRPr="00F201B2">
        <w:rPr>
          <w:lang w:val="de-CH"/>
        </w:rPr>
        <w:t>&gt;</w:t>
      </w:r>
      <w:r w:rsidRPr="00F201B2">
        <w:rPr>
          <w:lang w:val="de-CH"/>
        </w:rPr>
        <w:tab/>
      </w:r>
      <w:r w:rsidRPr="00EE76BA">
        <w:rPr>
          <w:rFonts w:ascii="Times New Roman" w:eastAsia="Times New Roman" w:hAnsi="Times New Roman" w:cs="Times New Roman"/>
          <w:b/>
          <w:lang w:val="de-CH"/>
        </w:rPr>
        <w:t>Reduktion des Gemeindeanteils an der Motorfahrzeugsteuer</w:t>
      </w:r>
    </w:p>
    <w:p w14:paraId="3395371A" w14:textId="77777777" w:rsidR="00186098" w:rsidRPr="00FE3A13" w:rsidRDefault="00186098" w:rsidP="00186098">
      <w:pPr>
        <w:pStyle w:val="Corpsdetexte"/>
      </w:pPr>
      <w:r w:rsidRPr="00EE76BA">
        <w:rPr>
          <w:rFonts w:ascii="Times New Roman" w:eastAsia="Times New Roman" w:hAnsi="Times New Roman" w:cs="Times New Roman"/>
          <w:lang w:val="de-CH"/>
        </w:rPr>
        <w:t>Massnahme: Verringerung des Anteils der Gemeinden an der Motorfahrzeugsteuer von derzeit 20 % auf 10 %. Ein minimer Anteil wird dem ASS für die geleistete Arbeit vergütet. Diese Vergütungsquote soll ebenfalls verringert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FE3A13" w14:paraId="2EBFD40F"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E6FB543" w14:textId="77777777" w:rsidR="00186098" w:rsidRPr="00FE3A13" w:rsidRDefault="00186098" w:rsidP="00725483">
            <w:pPr>
              <w:pStyle w:val="NIVtableau"/>
              <w:rPr>
                <w:color w:val="auto"/>
                <w:sz w:val="21"/>
                <w:lang w:val="en-US"/>
              </w:rPr>
            </w:pPr>
            <w:r w:rsidRPr="00EE76BA">
              <w:rPr>
                <w:rFonts w:eastAsia="Times New Roman"/>
                <w:lang w:val="de-CH"/>
              </w:rPr>
              <w:t>Finanzielle Auswirkungen in Franken</w:t>
            </w:r>
          </w:p>
        </w:tc>
        <w:tc>
          <w:tcPr>
            <w:tcW w:w="833" w:type="pct"/>
          </w:tcPr>
          <w:p w14:paraId="1E89BCDC"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2026</w:t>
            </w:r>
          </w:p>
        </w:tc>
        <w:tc>
          <w:tcPr>
            <w:tcW w:w="833" w:type="pct"/>
          </w:tcPr>
          <w:p w14:paraId="251EFE98"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2027</w:t>
            </w:r>
          </w:p>
        </w:tc>
        <w:tc>
          <w:tcPr>
            <w:tcW w:w="833" w:type="pct"/>
          </w:tcPr>
          <w:p w14:paraId="3119C950"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2028</w:t>
            </w:r>
          </w:p>
        </w:tc>
        <w:tc>
          <w:tcPr>
            <w:tcW w:w="831" w:type="pct"/>
          </w:tcPr>
          <w:p w14:paraId="454CCF77"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Total</w:t>
            </w:r>
          </w:p>
        </w:tc>
      </w:tr>
      <w:tr w:rsidR="00186098" w:rsidRPr="00FE3A13" w14:paraId="07705F20"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0371666" w14:textId="77777777" w:rsidR="00186098" w:rsidRPr="00FE3A13" w:rsidRDefault="00186098" w:rsidP="00725483">
            <w:pPr>
              <w:pStyle w:val="NIVtableau"/>
              <w:rPr>
                <w:lang w:val="en-US"/>
              </w:rPr>
            </w:pPr>
            <w:r w:rsidRPr="00EE76BA">
              <w:rPr>
                <w:rFonts w:eastAsia="Times New Roman"/>
                <w:lang w:val="de-CH"/>
              </w:rPr>
              <w:t>Staat</w:t>
            </w:r>
          </w:p>
        </w:tc>
        <w:tc>
          <w:tcPr>
            <w:tcW w:w="833" w:type="pct"/>
          </w:tcPr>
          <w:p w14:paraId="2C62FD74"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12 660 000</w:t>
            </w:r>
          </w:p>
        </w:tc>
        <w:tc>
          <w:tcPr>
            <w:tcW w:w="833" w:type="pct"/>
          </w:tcPr>
          <w:p w14:paraId="6CA22008"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12 787 000</w:t>
            </w:r>
          </w:p>
        </w:tc>
        <w:tc>
          <w:tcPr>
            <w:tcW w:w="833" w:type="pct"/>
          </w:tcPr>
          <w:p w14:paraId="22B3CB65"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12 915 000</w:t>
            </w:r>
          </w:p>
        </w:tc>
        <w:tc>
          <w:tcPr>
            <w:tcW w:w="831" w:type="pct"/>
          </w:tcPr>
          <w:p w14:paraId="668E982A"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38 362 000</w:t>
            </w:r>
          </w:p>
        </w:tc>
      </w:tr>
      <w:tr w:rsidR="00186098" w:rsidRPr="00FE3A13" w14:paraId="769DB3DB"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CFDF642" w14:textId="77777777" w:rsidR="00186098" w:rsidRPr="00FE3A13" w:rsidRDefault="00186098" w:rsidP="00725483">
            <w:pPr>
              <w:pStyle w:val="NIVtableau"/>
              <w:rPr>
                <w:b w:val="0"/>
                <w:lang w:val="en-US"/>
              </w:rPr>
            </w:pPr>
            <w:r w:rsidRPr="00EE76BA">
              <w:rPr>
                <w:rFonts w:eastAsia="Times New Roman"/>
                <w:b w:val="0"/>
                <w:lang w:val="de-CH"/>
              </w:rPr>
              <w:t>Gemeinden</w:t>
            </w:r>
          </w:p>
        </w:tc>
        <w:tc>
          <w:tcPr>
            <w:tcW w:w="833" w:type="pct"/>
          </w:tcPr>
          <w:p w14:paraId="35DD458D"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EE76BA">
              <w:rPr>
                <w:rFonts w:eastAsia="Times New Roman"/>
                <w:b w:val="0"/>
                <w:color w:val="000000"/>
                <w:lang w:val="de-CH"/>
              </w:rPr>
              <w:t>12</w:t>
            </w:r>
            <w:r w:rsidRPr="00EE76BA">
              <w:rPr>
                <w:rFonts w:eastAsia="Times New Roman"/>
                <w:color w:val="000000"/>
                <w:lang w:val="de-CH"/>
              </w:rPr>
              <w:t> </w:t>
            </w:r>
            <w:r w:rsidRPr="00EE76BA">
              <w:rPr>
                <w:rFonts w:eastAsia="Times New Roman"/>
                <w:b w:val="0"/>
                <w:color w:val="000000"/>
                <w:lang w:val="de-CH"/>
              </w:rPr>
              <w:t>660</w:t>
            </w:r>
            <w:r w:rsidRPr="00EE76BA">
              <w:rPr>
                <w:rFonts w:eastAsia="Times New Roman"/>
                <w:color w:val="000000"/>
                <w:lang w:val="de-CH"/>
              </w:rPr>
              <w:t> </w:t>
            </w:r>
            <w:r w:rsidRPr="00EE76BA">
              <w:rPr>
                <w:rFonts w:eastAsia="Times New Roman"/>
                <w:b w:val="0"/>
                <w:color w:val="000000"/>
                <w:lang w:val="de-CH"/>
              </w:rPr>
              <w:t>000</w:t>
            </w:r>
          </w:p>
        </w:tc>
        <w:tc>
          <w:tcPr>
            <w:tcW w:w="833" w:type="pct"/>
          </w:tcPr>
          <w:p w14:paraId="04C20A91"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EE76BA">
              <w:rPr>
                <w:rFonts w:eastAsia="Times New Roman"/>
                <w:b w:val="0"/>
                <w:color w:val="000000"/>
                <w:lang w:val="de-CH"/>
              </w:rPr>
              <w:t>12</w:t>
            </w:r>
            <w:r w:rsidRPr="00EE76BA">
              <w:rPr>
                <w:rFonts w:eastAsia="Times New Roman"/>
                <w:color w:val="000000"/>
                <w:lang w:val="de-CH"/>
              </w:rPr>
              <w:t> </w:t>
            </w:r>
            <w:r w:rsidRPr="00EE76BA">
              <w:rPr>
                <w:rFonts w:eastAsia="Times New Roman"/>
                <w:b w:val="0"/>
                <w:color w:val="000000"/>
                <w:lang w:val="de-CH"/>
              </w:rPr>
              <w:t>787</w:t>
            </w:r>
            <w:r w:rsidRPr="00EE76BA">
              <w:rPr>
                <w:rFonts w:eastAsia="Times New Roman"/>
                <w:color w:val="000000"/>
                <w:lang w:val="de-CH"/>
              </w:rPr>
              <w:t> </w:t>
            </w:r>
            <w:r w:rsidRPr="00EE76BA">
              <w:rPr>
                <w:rFonts w:eastAsia="Times New Roman"/>
                <w:b w:val="0"/>
                <w:color w:val="000000"/>
                <w:lang w:val="de-CH"/>
              </w:rPr>
              <w:t>000</w:t>
            </w:r>
          </w:p>
        </w:tc>
        <w:tc>
          <w:tcPr>
            <w:tcW w:w="833" w:type="pct"/>
          </w:tcPr>
          <w:p w14:paraId="231C1613"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EE76BA">
              <w:rPr>
                <w:rFonts w:eastAsia="Times New Roman"/>
                <w:b w:val="0"/>
                <w:color w:val="000000"/>
                <w:lang w:val="de-CH"/>
              </w:rPr>
              <w:t>12</w:t>
            </w:r>
            <w:r w:rsidRPr="00EE76BA">
              <w:rPr>
                <w:rFonts w:eastAsia="Times New Roman"/>
                <w:color w:val="000000"/>
                <w:lang w:val="de-CH"/>
              </w:rPr>
              <w:t> </w:t>
            </w:r>
            <w:r w:rsidRPr="00EE76BA">
              <w:rPr>
                <w:rFonts w:eastAsia="Times New Roman"/>
                <w:b w:val="0"/>
                <w:color w:val="000000"/>
                <w:lang w:val="de-CH"/>
              </w:rPr>
              <w:t>915</w:t>
            </w:r>
            <w:r w:rsidRPr="00EE76BA">
              <w:rPr>
                <w:rFonts w:eastAsia="Times New Roman"/>
                <w:color w:val="000000"/>
                <w:lang w:val="de-CH"/>
              </w:rPr>
              <w:t> </w:t>
            </w:r>
            <w:r w:rsidRPr="00EE76BA">
              <w:rPr>
                <w:rFonts w:eastAsia="Times New Roman"/>
                <w:b w:val="0"/>
                <w:color w:val="000000"/>
                <w:lang w:val="de-CH"/>
              </w:rPr>
              <w:t>000</w:t>
            </w:r>
          </w:p>
        </w:tc>
        <w:tc>
          <w:tcPr>
            <w:tcW w:w="831" w:type="pct"/>
          </w:tcPr>
          <w:p w14:paraId="07878FA0"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EE76BA">
              <w:rPr>
                <w:rFonts w:eastAsia="Times New Roman"/>
                <w:b w:val="0"/>
                <w:color w:val="000000"/>
                <w:lang w:val="de-CH"/>
              </w:rPr>
              <w:t>38</w:t>
            </w:r>
            <w:r w:rsidRPr="00EE76BA">
              <w:rPr>
                <w:rFonts w:eastAsia="Times New Roman"/>
                <w:color w:val="000000"/>
                <w:lang w:val="de-CH"/>
              </w:rPr>
              <w:t> </w:t>
            </w:r>
            <w:r w:rsidRPr="00EE76BA">
              <w:rPr>
                <w:rFonts w:eastAsia="Times New Roman"/>
                <w:b w:val="0"/>
                <w:color w:val="000000"/>
                <w:lang w:val="de-CH"/>
              </w:rPr>
              <w:t>362</w:t>
            </w:r>
            <w:r w:rsidRPr="00EE76BA">
              <w:rPr>
                <w:rFonts w:eastAsia="Times New Roman"/>
                <w:color w:val="000000"/>
                <w:lang w:val="de-CH"/>
              </w:rPr>
              <w:t> </w:t>
            </w:r>
            <w:r w:rsidRPr="00EE76BA">
              <w:rPr>
                <w:rFonts w:eastAsia="Times New Roman"/>
                <w:b w:val="0"/>
                <w:color w:val="000000"/>
                <w:lang w:val="de-CH"/>
              </w:rPr>
              <w:t>000</w:t>
            </w:r>
          </w:p>
        </w:tc>
      </w:tr>
    </w:tbl>
    <w:p w14:paraId="1B09C462" w14:textId="77777777" w:rsidR="00186098" w:rsidRPr="00FE3A13" w:rsidRDefault="00186098" w:rsidP="00186098">
      <w:pPr>
        <w:pStyle w:val="Corpsdetexte"/>
      </w:pPr>
    </w:p>
    <w:p w14:paraId="60BFA5C3" w14:textId="77777777" w:rsidR="00186098" w:rsidRPr="00EB6310" w:rsidRDefault="00186098" w:rsidP="00186098">
      <w:pPr>
        <w:pStyle w:val="Titre3"/>
        <w:rPr>
          <w:lang w:val="de-CH"/>
        </w:rPr>
      </w:pPr>
      <w:bookmarkStart w:id="21" w:name="_Toc196226211"/>
      <w:r w:rsidRPr="00EB6310">
        <w:rPr>
          <w:lang w:val="de-CH"/>
        </w:rPr>
        <w:t>Personal</w:t>
      </w:r>
      <w:bookmarkEnd w:id="21"/>
    </w:p>
    <w:p w14:paraId="33471297" w14:textId="31B9A5F4" w:rsidR="00186098" w:rsidRPr="00EE76BA" w:rsidRDefault="00EF380A" w:rsidP="00186098">
      <w:pPr>
        <w:rPr>
          <w:rFonts w:ascii="Times New Roman" w:eastAsia="Times New Roman" w:hAnsi="Times New Roman" w:cs="Times New Roman"/>
          <w:lang w:val="de-CH"/>
        </w:rPr>
      </w:pPr>
      <w:r w:rsidRPr="00EB6310">
        <w:rPr>
          <w:rFonts w:ascii="Times New Roman" w:eastAsia="Times New Roman" w:hAnsi="Times New Roman" w:cs="Times New Roman"/>
          <w:lang w:val="de-CH"/>
        </w:rPr>
        <w:t>Bei einer Lohnsumme von über 1,5 Milliarden Franken machen die Personalkosten des Staates fast 35</w:t>
      </w:r>
      <w:r w:rsidRPr="003D2E63">
        <w:rPr>
          <w:rFonts w:ascii="Times New Roman" w:eastAsia="Times New Roman" w:hAnsi="Times New Roman" w:cs="Times New Roman"/>
          <w:lang w:val="de-CH"/>
        </w:rPr>
        <w:t> </w:t>
      </w:r>
      <w:r w:rsidRPr="00EB6310">
        <w:rPr>
          <w:rFonts w:ascii="Times New Roman" w:eastAsia="Times New Roman" w:hAnsi="Times New Roman" w:cs="Times New Roman"/>
          <w:lang w:val="de-CH"/>
        </w:rPr>
        <w:t>% de</w:t>
      </w:r>
      <w:r w:rsidRPr="003D2E63">
        <w:rPr>
          <w:rFonts w:ascii="Times New Roman" w:eastAsia="Times New Roman" w:hAnsi="Times New Roman" w:cs="Times New Roman"/>
          <w:lang w:val="de-CH"/>
        </w:rPr>
        <w:t>s Aufwands der Staatsrechnung</w:t>
      </w:r>
      <w:r w:rsidRPr="00EB6310">
        <w:rPr>
          <w:rFonts w:ascii="Times New Roman" w:eastAsia="Times New Roman" w:hAnsi="Times New Roman" w:cs="Times New Roman"/>
          <w:lang w:val="de-CH"/>
        </w:rPr>
        <w:t xml:space="preserve"> 2024 aus. </w:t>
      </w:r>
      <w:r>
        <w:rPr>
          <w:rFonts w:ascii="Times New Roman" w:eastAsia="Times New Roman" w:hAnsi="Times New Roman" w:cs="Times New Roman"/>
          <w:lang w:val="de-CH"/>
        </w:rPr>
        <w:t>Damit scheint es unausweichlich</w:t>
      </w:r>
      <w:r w:rsidRPr="00EB6310">
        <w:rPr>
          <w:rFonts w:ascii="Times New Roman" w:eastAsia="Times New Roman" w:hAnsi="Times New Roman" w:cs="Times New Roman"/>
          <w:lang w:val="de-CH"/>
        </w:rPr>
        <w:t xml:space="preserve">, </w:t>
      </w:r>
      <w:r w:rsidRPr="003D2E63">
        <w:rPr>
          <w:rFonts w:ascii="Times New Roman" w:eastAsia="Times New Roman" w:hAnsi="Times New Roman" w:cs="Times New Roman"/>
          <w:lang w:val="de-CH"/>
        </w:rPr>
        <w:t xml:space="preserve">dass </w:t>
      </w:r>
      <w:r w:rsidRPr="00EB6310">
        <w:rPr>
          <w:rFonts w:ascii="Times New Roman" w:eastAsia="Times New Roman" w:hAnsi="Times New Roman" w:cs="Times New Roman"/>
          <w:lang w:val="de-CH"/>
        </w:rPr>
        <w:t>auch sie vom P</w:t>
      </w:r>
      <w:r w:rsidRPr="003D2E63">
        <w:rPr>
          <w:rFonts w:ascii="Times New Roman" w:eastAsia="Times New Roman" w:hAnsi="Times New Roman" w:cs="Times New Roman"/>
          <w:lang w:val="de-CH"/>
        </w:rPr>
        <w:t>SKF tangiert werden.</w:t>
      </w:r>
      <w:r w:rsidRPr="00EB6310">
        <w:rPr>
          <w:rFonts w:ascii="Times New Roman" w:eastAsia="Times New Roman" w:hAnsi="Times New Roman" w:cs="Times New Roman"/>
          <w:lang w:val="de-CH"/>
        </w:rPr>
        <w:t xml:space="preserve"> Die im Folgenden </w:t>
      </w:r>
      <w:r w:rsidR="009370DF">
        <w:rPr>
          <w:rFonts w:ascii="Times New Roman" w:eastAsia="Times New Roman" w:hAnsi="Times New Roman" w:cs="Times New Roman"/>
          <w:lang w:val="de-CH"/>
        </w:rPr>
        <w:t xml:space="preserve">und in Kapitel 4.3.2 </w:t>
      </w:r>
      <w:r w:rsidRPr="00EB6310">
        <w:rPr>
          <w:rFonts w:ascii="Times New Roman" w:eastAsia="Times New Roman" w:hAnsi="Times New Roman" w:cs="Times New Roman"/>
          <w:lang w:val="de-CH"/>
        </w:rPr>
        <w:t>beschriebenen Ma</w:t>
      </w:r>
      <w:r w:rsidRPr="003D2E63">
        <w:rPr>
          <w:rFonts w:ascii="Times New Roman" w:eastAsia="Times New Roman" w:hAnsi="Times New Roman" w:cs="Times New Roman"/>
          <w:lang w:val="de-CH"/>
        </w:rPr>
        <w:t>ss</w:t>
      </w:r>
      <w:r w:rsidRPr="00EB6310">
        <w:rPr>
          <w:rFonts w:ascii="Times New Roman" w:eastAsia="Times New Roman" w:hAnsi="Times New Roman" w:cs="Times New Roman"/>
          <w:lang w:val="de-CH"/>
        </w:rPr>
        <w:t>nahmen</w:t>
      </w:r>
      <w:r w:rsidRPr="003D2E63">
        <w:rPr>
          <w:rFonts w:ascii="Times New Roman" w:eastAsia="Times New Roman" w:hAnsi="Times New Roman" w:cs="Times New Roman"/>
          <w:lang w:val="de-CH"/>
        </w:rPr>
        <w:t>vorschläge</w:t>
      </w:r>
      <w:r w:rsidRPr="00EB6310">
        <w:rPr>
          <w:rFonts w:ascii="Times New Roman" w:eastAsia="Times New Roman" w:hAnsi="Times New Roman" w:cs="Times New Roman"/>
          <w:lang w:val="de-CH"/>
        </w:rPr>
        <w:t xml:space="preserve"> </w:t>
      </w:r>
      <w:r>
        <w:rPr>
          <w:rFonts w:ascii="Times New Roman" w:eastAsia="Times New Roman" w:hAnsi="Times New Roman" w:cs="Times New Roman"/>
          <w:lang w:val="de-CH"/>
        </w:rPr>
        <w:t>zielen in erster Linie auf eine punktuelle Eindämmung des Anstiegs der Personalkosten</w:t>
      </w:r>
      <w:r w:rsidRPr="00EB6310">
        <w:rPr>
          <w:rFonts w:ascii="Times New Roman" w:eastAsia="Times New Roman" w:hAnsi="Times New Roman" w:cs="Times New Roman"/>
          <w:lang w:val="de-CH"/>
        </w:rPr>
        <w:t xml:space="preserve">. </w:t>
      </w:r>
      <w:r w:rsidRPr="003D2E63">
        <w:rPr>
          <w:rFonts w:ascii="Times New Roman" w:eastAsia="Times New Roman" w:hAnsi="Times New Roman" w:cs="Times New Roman"/>
          <w:lang w:val="de-CH"/>
        </w:rPr>
        <w:t>Im Sinne der</w:t>
      </w:r>
      <w:r w:rsidRPr="00EB6310">
        <w:rPr>
          <w:rFonts w:ascii="Times New Roman" w:eastAsia="Times New Roman" w:hAnsi="Times New Roman" w:cs="Times New Roman"/>
          <w:lang w:val="de-CH"/>
        </w:rPr>
        <w:t xml:space="preserve"> Opfer</w:t>
      </w:r>
      <w:r w:rsidRPr="003D2E63">
        <w:rPr>
          <w:rFonts w:ascii="Times New Roman" w:eastAsia="Times New Roman" w:hAnsi="Times New Roman" w:cs="Times New Roman"/>
          <w:lang w:val="de-CH"/>
        </w:rPr>
        <w:t>symmetrie</w:t>
      </w:r>
      <w:r w:rsidRPr="00EB6310">
        <w:rPr>
          <w:rFonts w:ascii="Times New Roman" w:eastAsia="Times New Roman" w:hAnsi="Times New Roman" w:cs="Times New Roman"/>
          <w:lang w:val="de-CH"/>
        </w:rPr>
        <w:t xml:space="preserve"> müssen auch die Mitarbeiterinnen und Mitarbeiter des Staates </w:t>
      </w:r>
      <w:r w:rsidRPr="003D2E63">
        <w:rPr>
          <w:rFonts w:ascii="Times New Roman" w:eastAsia="Times New Roman" w:hAnsi="Times New Roman" w:cs="Times New Roman"/>
          <w:lang w:val="de-CH"/>
        </w:rPr>
        <w:t xml:space="preserve">ihren Beitrag </w:t>
      </w:r>
      <w:r w:rsidRPr="00EB6310">
        <w:rPr>
          <w:rFonts w:ascii="Times New Roman" w:eastAsia="Times New Roman" w:hAnsi="Times New Roman" w:cs="Times New Roman"/>
          <w:lang w:val="de-CH"/>
        </w:rPr>
        <w:t>zum P</w:t>
      </w:r>
      <w:r w:rsidRPr="003D2E63">
        <w:rPr>
          <w:rFonts w:ascii="Times New Roman" w:eastAsia="Times New Roman" w:hAnsi="Times New Roman" w:cs="Times New Roman"/>
          <w:lang w:val="de-CH"/>
        </w:rPr>
        <w:t>SKF leisten</w:t>
      </w:r>
      <w:r w:rsidRPr="00EB6310">
        <w:rPr>
          <w:rFonts w:ascii="Times New Roman" w:eastAsia="Times New Roman" w:hAnsi="Times New Roman" w:cs="Times New Roman"/>
          <w:lang w:val="de-CH"/>
        </w:rPr>
        <w:t xml:space="preserve">. </w:t>
      </w:r>
      <w:r w:rsidRPr="006C6ADA">
        <w:rPr>
          <w:rFonts w:ascii="Times New Roman" w:eastAsia="Times New Roman" w:hAnsi="Times New Roman" w:cs="Times New Roman"/>
          <w:lang w:val="de-CH"/>
        </w:rPr>
        <w:t xml:space="preserve">Der Staatsrat ist sich der Qualität </w:t>
      </w:r>
      <w:r>
        <w:rPr>
          <w:rFonts w:ascii="Times New Roman" w:eastAsia="Times New Roman" w:hAnsi="Times New Roman" w:cs="Times New Roman"/>
          <w:lang w:val="de-CH"/>
        </w:rPr>
        <w:t>ihrer</w:t>
      </w:r>
      <w:r w:rsidRPr="006C6ADA">
        <w:rPr>
          <w:rFonts w:ascii="Times New Roman" w:eastAsia="Times New Roman" w:hAnsi="Times New Roman" w:cs="Times New Roman"/>
          <w:lang w:val="de-CH"/>
        </w:rPr>
        <w:t xml:space="preserve"> Arbeit und der zunehmenden Arbeitsbelastung bewusst und hat </w:t>
      </w:r>
      <w:r w:rsidRPr="003D2E63">
        <w:rPr>
          <w:rFonts w:ascii="Times New Roman" w:eastAsia="Times New Roman" w:hAnsi="Times New Roman" w:cs="Times New Roman"/>
          <w:lang w:val="de-CH"/>
        </w:rPr>
        <w:t>darauf geachtet</w:t>
      </w:r>
      <w:r w:rsidRPr="006C6ADA">
        <w:rPr>
          <w:rFonts w:ascii="Times New Roman" w:eastAsia="Times New Roman" w:hAnsi="Times New Roman" w:cs="Times New Roman"/>
          <w:lang w:val="de-CH"/>
        </w:rPr>
        <w:t xml:space="preserve">, dass die Arbeitsbedingungen </w:t>
      </w:r>
      <w:r>
        <w:rPr>
          <w:rFonts w:ascii="Times New Roman" w:eastAsia="Times New Roman" w:hAnsi="Times New Roman" w:cs="Times New Roman"/>
          <w:lang w:val="de-CH"/>
        </w:rPr>
        <w:t>möglichst wenig tangiert werden.</w:t>
      </w:r>
    </w:p>
    <w:tbl>
      <w:tblPr>
        <w:tblStyle w:val="TableauEtatFR"/>
        <w:tblW w:w="5000" w:type="pct"/>
        <w:tblLook w:val="04E0" w:firstRow="1" w:lastRow="1" w:firstColumn="1" w:lastColumn="0" w:noHBand="0" w:noVBand="1"/>
      </w:tblPr>
      <w:tblGrid>
        <w:gridCol w:w="5385"/>
        <w:gridCol w:w="992"/>
        <w:gridCol w:w="3543"/>
      </w:tblGrid>
      <w:tr w:rsidR="00186098" w:rsidRPr="005B3823" w14:paraId="63DC36BB" w14:textId="77777777" w:rsidTr="00725483">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48A10226" w14:textId="6EBCCDF9"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Massnahmen in der Zuständigkeit des Grossen Rats, die das Personal betreffen</w:t>
            </w:r>
          </w:p>
        </w:tc>
      </w:tr>
      <w:tr w:rsidR="00186098" w:rsidRPr="005B3823" w14:paraId="72902778" w14:textId="77777777" w:rsidTr="00725483">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122C965A"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Bezeichnung der Massnahme</w:t>
            </w:r>
          </w:p>
        </w:tc>
        <w:tc>
          <w:tcPr>
            <w:tcW w:w="2286" w:type="pct"/>
            <w:gridSpan w:val="2"/>
          </w:tcPr>
          <w:p w14:paraId="5390BC2F"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Gesetzliche Grundlage, die geändert werden muss</w:t>
            </w:r>
          </w:p>
        </w:tc>
      </w:tr>
      <w:tr w:rsidR="00186098" w:rsidRPr="00EE76BA" w14:paraId="6AD0633E"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1F4722FA" w14:textId="77777777" w:rsidR="00186098" w:rsidRPr="00EE76BA" w:rsidRDefault="00186098" w:rsidP="00725483">
            <w:pPr>
              <w:spacing w:after="0"/>
              <w:rPr>
                <w:rFonts w:eastAsia="Times New Roman" w:cs="Arial"/>
                <w:bCs/>
                <w:sz w:val="18"/>
                <w:szCs w:val="20"/>
                <w:lang w:val="de-CH"/>
              </w:rPr>
            </w:pPr>
          </w:p>
        </w:tc>
        <w:tc>
          <w:tcPr>
            <w:tcW w:w="500" w:type="pct"/>
          </w:tcPr>
          <w:p w14:paraId="07159861"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SGF-Nr.</w:t>
            </w:r>
          </w:p>
        </w:tc>
        <w:tc>
          <w:tcPr>
            <w:tcW w:w="1786" w:type="pct"/>
          </w:tcPr>
          <w:p w14:paraId="6283869F"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Titel</w:t>
            </w:r>
          </w:p>
        </w:tc>
      </w:tr>
      <w:tr w:rsidR="00186098" w:rsidRPr="005B3823" w14:paraId="7D9FDD0F"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577C276D" w14:textId="77777777" w:rsidR="00186098" w:rsidRPr="00EE76BA" w:rsidRDefault="00186098" w:rsidP="00725483">
            <w:pPr>
              <w:spacing w:line="280" w:lineRule="atLeast"/>
              <w:rPr>
                <w:rFonts w:eastAsia="Times New Roman" w:cs="Arial"/>
                <w:bCs/>
                <w:sz w:val="18"/>
                <w:szCs w:val="20"/>
                <w:lang w:val="de-CH"/>
              </w:rPr>
            </w:pPr>
            <w:r w:rsidRPr="00EE76BA">
              <w:rPr>
                <w:rFonts w:eastAsia="Times New Roman" w:cs="Arial"/>
                <w:sz w:val="18"/>
                <w:lang w:val="de-CH"/>
              </w:rPr>
              <w:t>b) Massnahmen des PSKF</w:t>
            </w:r>
            <w:r w:rsidRPr="00EE76BA">
              <w:rPr>
                <w:rFonts w:eastAsia="Times New Roman" w:cs="Arial"/>
                <w:sz w:val="18"/>
                <w:lang w:val="de-CH"/>
              </w:rPr>
              <w:br/>
            </w:r>
            <w:r w:rsidRPr="007D3A3B">
              <w:rPr>
                <w:rFonts w:eastAsia="Times New Roman" w:cs="Arial"/>
                <w:b w:val="0"/>
                <w:sz w:val="18"/>
                <w:lang w:val="de-CH"/>
              </w:rPr>
              <w:t>- K</w:t>
            </w:r>
            <w:r w:rsidRPr="00EE76BA">
              <w:rPr>
                <w:rFonts w:eastAsia="Times New Roman" w:cs="Arial"/>
                <w:b w:val="0"/>
                <w:sz w:val="18"/>
                <w:lang w:val="de-CH"/>
              </w:rPr>
              <w:t>ein Teuerungsausgleich (mit einer LIK-Obergrenze bei 117 Punkten)</w:t>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lastRenderedPageBreak/>
              <w:t>- Aufschub des Lohnstufenanstiegs</w:t>
            </w:r>
            <w:r w:rsidRPr="00EE76BA">
              <w:rPr>
                <w:rFonts w:eastAsia="Times New Roman" w:cs="Arial"/>
                <w:b w:val="0"/>
                <w:sz w:val="18"/>
                <w:lang w:val="de-CH"/>
              </w:rPr>
              <w:br/>
            </w:r>
            <w:r w:rsidRPr="00EE76BA">
              <w:rPr>
                <w:rFonts w:eastAsia="Times New Roman" w:cs="Arial"/>
                <w:b w:val="0"/>
                <w:sz w:val="18"/>
                <w:lang w:val="de-CH"/>
              </w:rPr>
              <w:br/>
              <w:t>- Einführung eines Solidaritätsbeitrags</w:t>
            </w:r>
          </w:p>
        </w:tc>
        <w:tc>
          <w:tcPr>
            <w:tcW w:w="500" w:type="pct"/>
          </w:tcPr>
          <w:p w14:paraId="51015BA3" w14:textId="77672AF0" w:rsidR="00186098" w:rsidRPr="00EE76BA" w:rsidRDefault="00186098" w:rsidP="00725483">
            <w:pPr>
              <w:spacing w:line="280" w:lineRule="atLeas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color w:val="000000"/>
                <w:sz w:val="18"/>
                <w:lang w:val="de-CH"/>
              </w:rPr>
              <w:lastRenderedPageBreak/>
              <w:br/>
            </w:r>
            <w:r w:rsidRPr="00EE76BA">
              <w:rPr>
                <w:rFonts w:eastAsia="Times New Roman" w:cs="Arial"/>
                <w:b w:val="0"/>
                <w:color w:val="000000"/>
                <w:sz w:val="18"/>
                <w:lang w:val="de-CH"/>
              </w:rPr>
              <w:t>122.70.1</w:t>
            </w:r>
            <w:r w:rsidRPr="00EE76BA">
              <w:rPr>
                <w:rFonts w:eastAsia="Times New Roman" w:cs="Arial"/>
                <w:b w:val="0"/>
                <w:color w:val="000000"/>
                <w:sz w:val="18"/>
                <w:lang w:val="de-CH"/>
              </w:rPr>
              <w:br/>
            </w:r>
            <w:r w:rsidRPr="00EE76BA">
              <w:rPr>
                <w:rFonts w:eastAsia="Times New Roman" w:cs="Arial"/>
                <w:b w:val="0"/>
                <w:color w:val="000000"/>
                <w:sz w:val="18"/>
                <w:lang w:val="de-CH"/>
              </w:rPr>
              <w:br/>
            </w:r>
            <w:r w:rsidRPr="00EE76BA">
              <w:rPr>
                <w:rFonts w:eastAsia="Times New Roman" w:cs="Arial"/>
                <w:b w:val="0"/>
                <w:color w:val="000000"/>
                <w:sz w:val="18"/>
                <w:lang w:val="de-CH"/>
              </w:rPr>
              <w:lastRenderedPageBreak/>
              <w:t>122.70.1</w:t>
            </w:r>
            <w:r w:rsidRPr="00EE76BA">
              <w:rPr>
                <w:rFonts w:eastAsia="Times New Roman" w:cs="Arial"/>
                <w:b w:val="0"/>
                <w:color w:val="000000"/>
                <w:sz w:val="18"/>
                <w:lang w:val="de-CH"/>
              </w:rPr>
              <w:br/>
            </w:r>
            <w:r>
              <w:rPr>
                <w:rFonts w:eastAsia="Times New Roman" w:cs="Arial"/>
                <w:b w:val="0"/>
                <w:color w:val="000000"/>
                <w:sz w:val="18"/>
                <w:lang w:val="de-CH"/>
              </w:rPr>
              <w:br/>
            </w:r>
            <w:r w:rsidRPr="00EE76BA">
              <w:rPr>
                <w:rFonts w:eastAsia="Times New Roman" w:cs="Arial"/>
                <w:b w:val="0"/>
                <w:color w:val="000000"/>
                <w:sz w:val="18"/>
                <w:lang w:val="de-CH"/>
              </w:rPr>
              <w:t>122.70.1</w:t>
            </w:r>
            <w:r w:rsidRPr="00EE76BA">
              <w:rPr>
                <w:rFonts w:eastAsia="Times New Roman" w:cs="Arial"/>
                <w:b w:val="0"/>
                <w:color w:val="000000"/>
                <w:sz w:val="18"/>
                <w:lang w:val="de-CH"/>
              </w:rPr>
              <w:br/>
            </w:r>
            <w:r w:rsidRPr="00EE76BA">
              <w:rPr>
                <w:rFonts w:eastAsia="Times New Roman" w:cs="Arial"/>
                <w:b w:val="0"/>
                <w:color w:val="000000"/>
                <w:sz w:val="18"/>
                <w:lang w:val="de-CH"/>
              </w:rPr>
              <w:br/>
              <w:t>122.1.3</w:t>
            </w:r>
          </w:p>
        </w:tc>
        <w:tc>
          <w:tcPr>
            <w:tcW w:w="1786" w:type="pct"/>
          </w:tcPr>
          <w:p w14:paraId="3C254A4A" w14:textId="48ED8028" w:rsidR="00186098" w:rsidRPr="00EE76BA" w:rsidRDefault="00186098" w:rsidP="00725483">
            <w:pPr>
              <w:spacing w:line="280" w:lineRule="atLeas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color w:val="000000"/>
                <w:sz w:val="18"/>
                <w:lang w:val="de-CH"/>
              </w:rPr>
              <w:lastRenderedPageBreak/>
              <w:br/>
            </w:r>
            <w:r w:rsidRPr="00EE76BA">
              <w:rPr>
                <w:rFonts w:eastAsia="Times New Roman" w:cs="Arial"/>
                <w:b w:val="0"/>
                <w:color w:val="000000"/>
                <w:sz w:val="18"/>
                <w:lang w:val="de-CH"/>
              </w:rPr>
              <w:t>Gesetz vom 17. Oktober 2001 über das Staatspersonal (StPG)</w:t>
            </w:r>
            <w:r w:rsidRPr="00EE76BA">
              <w:rPr>
                <w:rFonts w:eastAsia="Times New Roman" w:cs="Arial"/>
                <w:b w:val="0"/>
                <w:color w:val="000000"/>
                <w:sz w:val="18"/>
                <w:lang w:val="de-CH"/>
              </w:rPr>
              <w:br/>
            </w:r>
            <w:r w:rsidRPr="00EE76BA">
              <w:rPr>
                <w:rFonts w:eastAsia="Times New Roman" w:cs="Arial"/>
                <w:b w:val="0"/>
                <w:color w:val="000000"/>
                <w:sz w:val="18"/>
                <w:lang w:val="de-CH"/>
              </w:rPr>
              <w:lastRenderedPageBreak/>
              <w:t>Gesetz vom 17. Oktober 2001 über das Staatspersonal (StPG)</w:t>
            </w:r>
            <w:r w:rsidRPr="00EE76BA">
              <w:rPr>
                <w:rFonts w:eastAsia="Times New Roman" w:cs="Arial"/>
                <w:b w:val="0"/>
                <w:color w:val="000000"/>
                <w:sz w:val="18"/>
                <w:lang w:val="de-CH"/>
              </w:rPr>
              <w:br/>
              <w:t>Gesetz vom 17. Oktober 2001 über das Staatspersonal (StPG)</w:t>
            </w:r>
            <w:r w:rsidRPr="00EE76BA">
              <w:rPr>
                <w:rFonts w:eastAsia="Times New Roman" w:cs="Arial"/>
                <w:b w:val="0"/>
                <w:color w:val="000000"/>
                <w:sz w:val="18"/>
                <w:lang w:val="de-CH"/>
              </w:rPr>
              <w:br/>
              <w:t>Gesetz vom 15. Juni 2004 über die Gehälter und die berufliche Vorsorge der Staatsräte, der Oberamtmänner und der Kantonsrichter (GSRG)</w:t>
            </w:r>
          </w:p>
        </w:tc>
      </w:tr>
    </w:tbl>
    <w:p w14:paraId="78F08307" w14:textId="77777777" w:rsidR="00186098" w:rsidRPr="00FE3A13" w:rsidRDefault="00186098" w:rsidP="00186098">
      <w:pPr>
        <w:pStyle w:val="Listealphabtique"/>
        <w:numPr>
          <w:ilvl w:val="0"/>
          <w:numId w:val="34"/>
        </w:numPr>
        <w:ind w:left="426" w:hanging="426"/>
        <w:rPr>
          <w:b/>
          <w:bCs/>
        </w:rPr>
      </w:pPr>
      <w:r w:rsidRPr="00EB6310">
        <w:rPr>
          <w:b/>
          <w:bCs/>
          <w:lang w:val="de-CH"/>
        </w:rPr>
        <w:lastRenderedPageBreak/>
        <w:t>Massnahmen</w:t>
      </w:r>
      <w:r>
        <w:rPr>
          <w:b/>
          <w:bCs/>
        </w:rPr>
        <w:t xml:space="preserve"> des PSKF</w:t>
      </w:r>
    </w:p>
    <w:p w14:paraId="3DDFAA0A" w14:textId="77777777" w:rsidR="00186098" w:rsidRPr="00EE76BA" w:rsidRDefault="00186098" w:rsidP="00186098">
      <w:pPr>
        <w:contextualSpacing/>
        <w:rPr>
          <w:rFonts w:ascii="Times New Roman" w:eastAsia="Times New Roman" w:hAnsi="Times New Roman" w:cs="Times New Roman"/>
          <w:lang w:val="de-CH"/>
        </w:rPr>
      </w:pPr>
      <w:r w:rsidRPr="00D64407">
        <w:rPr>
          <w:lang w:val="de-CH"/>
        </w:rPr>
        <w:t>&gt;</w:t>
      </w:r>
      <w:r w:rsidRPr="00D64407">
        <w:rPr>
          <w:lang w:val="de-CH"/>
        </w:rPr>
        <w:tab/>
      </w:r>
      <w:r w:rsidRPr="00EE76BA">
        <w:rPr>
          <w:rFonts w:ascii="Times New Roman" w:eastAsia="Times New Roman" w:hAnsi="Times New Roman" w:cs="Times New Roman"/>
          <w:b/>
          <w:lang w:val="de-CH"/>
        </w:rPr>
        <w:t>Kein Teuerungsausgleich (mit einer LIK-Obergrenze bei 117 Punkten)</w:t>
      </w:r>
    </w:p>
    <w:p w14:paraId="488B1D45" w14:textId="2270EACB"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Massnahme: Kein Teuerungsausgleich und Festsetzung eines Referenz-Konsumentenpreisindexes. Übersteigt die Inflation den Landesindex der Konsumentenpreise, so werden die Löhne teilweise oder ganz der Teuerung angepasst. Die Obergrenze soll mit dieser Massnahme bei 117 Punkten festgesetzt werden, während die aktuellen Löhne auf einem Index von 114</w:t>
      </w:r>
      <w:r w:rsidR="00B211A5">
        <w:rPr>
          <w:rFonts w:ascii="Times New Roman" w:eastAsia="Times New Roman" w:hAnsi="Times New Roman" w:cs="Times New Roman"/>
          <w:lang w:val="de-CH"/>
        </w:rPr>
        <w:t>,</w:t>
      </w:r>
      <w:r w:rsidRPr="00EE76BA">
        <w:rPr>
          <w:rFonts w:ascii="Times New Roman" w:eastAsia="Times New Roman" w:hAnsi="Times New Roman" w:cs="Times New Roman"/>
          <w:lang w:val="de-CH"/>
        </w:rPr>
        <w:t>2 Punkten basieren (November 2023, Basis Mai 200</w:t>
      </w:r>
      <w:r w:rsidR="00C804AE">
        <w:rPr>
          <w:rFonts w:ascii="Times New Roman" w:eastAsia="Times New Roman" w:hAnsi="Times New Roman" w:cs="Times New Roman"/>
          <w:lang w:val="de-CH"/>
        </w:rPr>
        <w:t>0</w:t>
      </w:r>
      <w:r w:rsidRPr="00EE76BA">
        <w:rPr>
          <w:rFonts w:ascii="Times New Roman" w:eastAsia="Times New Roman" w:hAnsi="Times New Roman" w:cs="Times New Roman"/>
          <w:lang w:val="de-CH"/>
        </w:rPr>
        <w:t xml:space="preserve"> = 100). Der Teuerungsausgleich würde damit für drei Jahre ausgesetzt, es sei denn, die Inflation steigt über diese Obergrenze. </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038A0AEC"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BEEBF87"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3136614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0E3DD1D5"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74A79C56"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1" w:type="pct"/>
          </w:tcPr>
          <w:p w14:paraId="5D2585C7"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338C7CFD"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1D1BB3A"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46088273"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16 700 000</w:t>
            </w:r>
          </w:p>
        </w:tc>
        <w:tc>
          <w:tcPr>
            <w:tcW w:w="833" w:type="pct"/>
          </w:tcPr>
          <w:p w14:paraId="4F816293"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33 000 000</w:t>
            </w:r>
          </w:p>
        </w:tc>
        <w:tc>
          <w:tcPr>
            <w:tcW w:w="833" w:type="pct"/>
          </w:tcPr>
          <w:p w14:paraId="31AF715A"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21 300 000</w:t>
            </w:r>
          </w:p>
        </w:tc>
        <w:tc>
          <w:tcPr>
            <w:tcW w:w="831" w:type="pct"/>
          </w:tcPr>
          <w:p w14:paraId="329C5C44"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71 000 000</w:t>
            </w:r>
          </w:p>
        </w:tc>
      </w:tr>
      <w:tr w:rsidR="00186098" w:rsidRPr="00EE76BA" w14:paraId="080B191B"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FA3B90C"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36FED19C"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900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68BC15C0"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10</w:t>
            </w:r>
            <w:r w:rsidRPr="00EE76BA">
              <w:rPr>
                <w:rFonts w:eastAsia="Times New Roman" w:cs="Arial"/>
                <w:color w:val="000000"/>
                <w:sz w:val="18"/>
                <w:lang w:val="de-CH"/>
              </w:rPr>
              <w:t> </w:t>
            </w:r>
            <w:r w:rsidRPr="00EE76BA">
              <w:rPr>
                <w:rFonts w:eastAsia="Times New Roman" w:cs="Arial"/>
                <w:b w:val="0"/>
                <w:color w:val="000000"/>
                <w:sz w:val="18"/>
                <w:lang w:val="de-CH"/>
              </w:rPr>
              <w:t>100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129B5CEA"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7</w:t>
            </w:r>
            <w:r w:rsidRPr="00EE76BA">
              <w:rPr>
                <w:rFonts w:eastAsia="Times New Roman" w:cs="Arial"/>
                <w:color w:val="000000"/>
                <w:sz w:val="18"/>
                <w:lang w:val="de-CH"/>
              </w:rPr>
              <w:t> </w:t>
            </w:r>
            <w:r w:rsidRPr="00EE76BA">
              <w:rPr>
                <w:rFonts w:eastAsia="Times New Roman" w:cs="Arial"/>
                <w:b w:val="0"/>
                <w:color w:val="000000"/>
                <w:sz w:val="18"/>
                <w:lang w:val="de-CH"/>
              </w:rPr>
              <w:t>900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1" w:type="pct"/>
          </w:tcPr>
          <w:p w14:paraId="6D4841A4"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22</w:t>
            </w:r>
            <w:r w:rsidRPr="00EE76BA">
              <w:rPr>
                <w:rFonts w:eastAsia="Times New Roman" w:cs="Arial"/>
                <w:color w:val="000000"/>
                <w:sz w:val="18"/>
                <w:lang w:val="de-CH"/>
              </w:rPr>
              <w:t> </w:t>
            </w:r>
            <w:r w:rsidRPr="00EE76BA">
              <w:rPr>
                <w:rFonts w:eastAsia="Times New Roman" w:cs="Arial"/>
                <w:b w:val="0"/>
                <w:color w:val="000000"/>
                <w:sz w:val="18"/>
                <w:lang w:val="de-CH"/>
              </w:rPr>
              <w:t>900</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2CCEE346" w14:textId="77777777" w:rsidR="00186098" w:rsidRPr="00EE76BA" w:rsidRDefault="00186098" w:rsidP="00186098">
      <w:pPr>
        <w:contextualSpacing/>
        <w:rPr>
          <w:rFonts w:ascii="Times New Roman" w:eastAsia="Times New Roman" w:hAnsi="Times New Roman" w:cs="Times New Roman"/>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EE76BA">
        <w:rPr>
          <w:rFonts w:ascii="Times New Roman" w:eastAsia="Times New Roman" w:hAnsi="Times New Roman" w:cs="Times New Roman"/>
          <w:b/>
          <w:lang w:val="de-CH"/>
        </w:rPr>
        <w:t>Aufschub der Lohnstufengewährung</w:t>
      </w:r>
    </w:p>
    <w:p w14:paraId="17F1AC54"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Massnahme: Aufschub der Lohnstufengewährung um sechs Monate in den Jahren 2026-2028. Die Lohnerhöhung um eine Lohnstufe soll jeweils erst am 1. Juli statt am 1. Januar gewährt werden, und zwar über den Zeitraum von 2026-2028. Diese Massnahme hat den Vorteil, dass das dem StPG unterstellte Personal keine langfristigen Einbussen erleidet.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54293704"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D6CD953"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43DA1194"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1FE13F19"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1F3E5DE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1" w:type="pct"/>
          </w:tcPr>
          <w:p w14:paraId="36A43244"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3AB728AE"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C3065E6"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77C21366"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7 985 000</w:t>
            </w:r>
          </w:p>
        </w:tc>
        <w:tc>
          <w:tcPr>
            <w:tcW w:w="833" w:type="pct"/>
          </w:tcPr>
          <w:p w14:paraId="6B6F3101"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8 600 000</w:t>
            </w:r>
          </w:p>
        </w:tc>
        <w:tc>
          <w:tcPr>
            <w:tcW w:w="833" w:type="pct"/>
          </w:tcPr>
          <w:p w14:paraId="23B7E46F"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8 885 000</w:t>
            </w:r>
          </w:p>
        </w:tc>
        <w:tc>
          <w:tcPr>
            <w:tcW w:w="831" w:type="pct"/>
          </w:tcPr>
          <w:p w14:paraId="60C32D8B"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25 470 000</w:t>
            </w:r>
          </w:p>
        </w:tc>
      </w:tr>
      <w:tr w:rsidR="00186098" w:rsidRPr="00EE76BA" w14:paraId="6868A460"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FA0665E"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6783DEBE"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w:t>
            </w:r>
            <w:r w:rsidRPr="00EE76BA">
              <w:rPr>
                <w:rFonts w:eastAsia="Times New Roman" w:cs="Arial"/>
                <w:color w:val="000000"/>
                <w:sz w:val="18"/>
                <w:lang w:val="de-CH"/>
              </w:rPr>
              <w:t> </w:t>
            </w:r>
            <w:r w:rsidRPr="00EE76BA">
              <w:rPr>
                <w:rFonts w:eastAsia="Times New Roman" w:cs="Arial"/>
                <w:b w:val="0"/>
                <w:color w:val="000000"/>
                <w:sz w:val="18"/>
                <w:lang w:val="de-CH"/>
              </w:rPr>
              <w:t>500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4904FA83"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w:t>
            </w:r>
            <w:r w:rsidRPr="00EE76BA">
              <w:rPr>
                <w:rFonts w:eastAsia="Times New Roman" w:cs="Arial"/>
                <w:color w:val="000000"/>
                <w:sz w:val="18"/>
                <w:lang w:val="de-CH"/>
              </w:rPr>
              <w:t> </w:t>
            </w:r>
            <w:r w:rsidRPr="00EE76BA">
              <w:rPr>
                <w:rFonts w:eastAsia="Times New Roman" w:cs="Arial"/>
                <w:b w:val="0"/>
                <w:color w:val="000000"/>
                <w:sz w:val="18"/>
                <w:lang w:val="de-CH"/>
              </w:rPr>
              <w:t>800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5F0B451C"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2</w:t>
            </w:r>
            <w:r w:rsidRPr="00EE76BA">
              <w:rPr>
                <w:rFonts w:eastAsia="Times New Roman" w:cs="Arial"/>
                <w:color w:val="000000"/>
                <w:sz w:val="18"/>
                <w:lang w:val="de-CH"/>
              </w:rPr>
              <w:t> </w:t>
            </w:r>
            <w:r w:rsidRPr="00EE76BA">
              <w:rPr>
                <w:rFonts w:eastAsia="Times New Roman" w:cs="Arial"/>
                <w:b w:val="0"/>
                <w:color w:val="000000"/>
                <w:sz w:val="18"/>
                <w:lang w:val="de-CH"/>
              </w:rPr>
              <w:t>800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1" w:type="pct"/>
          </w:tcPr>
          <w:p w14:paraId="4E6734FD"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8</w:t>
            </w:r>
            <w:r w:rsidRPr="00EE76BA">
              <w:rPr>
                <w:rFonts w:eastAsia="Times New Roman" w:cs="Arial"/>
                <w:color w:val="000000"/>
                <w:sz w:val="18"/>
                <w:lang w:val="de-CH"/>
              </w:rPr>
              <w:t> </w:t>
            </w:r>
            <w:r w:rsidRPr="00EE76BA">
              <w:rPr>
                <w:rFonts w:eastAsia="Times New Roman" w:cs="Arial"/>
                <w:b w:val="0"/>
                <w:color w:val="000000"/>
                <w:sz w:val="18"/>
                <w:lang w:val="de-CH"/>
              </w:rPr>
              <w:t>100</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1176E83F" w14:textId="660AA336" w:rsidR="00186098" w:rsidRPr="00EE76BA" w:rsidRDefault="00186098" w:rsidP="00186098">
      <w:pPr>
        <w:contextualSpacing/>
        <w:rPr>
          <w:rFonts w:ascii="Times New Roman" w:eastAsia="Times New Roman" w:hAnsi="Times New Roman" w:cs="Times New Roman"/>
          <w:b/>
          <w:bCs/>
          <w:lang w:val="de-CH"/>
        </w:rPr>
      </w:pPr>
      <w:r w:rsidRPr="00FE3A13">
        <w:t>&gt;</w:t>
      </w:r>
      <w:r w:rsidRPr="00FE3A13">
        <w:tab/>
      </w:r>
      <w:r w:rsidRPr="00EE76BA">
        <w:rPr>
          <w:rFonts w:ascii="Times New Roman" w:eastAsia="Times New Roman" w:hAnsi="Times New Roman" w:cs="Times New Roman"/>
          <w:b/>
          <w:lang w:val="de-CH"/>
        </w:rPr>
        <w:t>Einführung eines Solidaritätsbeitrags</w:t>
      </w:r>
    </w:p>
    <w:p w14:paraId="19B8658C" w14:textId="77777777" w:rsidR="00186098" w:rsidRPr="00634E04" w:rsidRDefault="00186098" w:rsidP="00186098">
      <w:pPr>
        <w:pStyle w:val="Listealphabtique"/>
        <w:numPr>
          <w:ilvl w:val="0"/>
          <w:numId w:val="0"/>
        </w:numPr>
        <w:rPr>
          <w:lang w:val="de-CH"/>
        </w:rPr>
      </w:pPr>
      <w:r w:rsidRPr="00EE76BA">
        <w:rPr>
          <w:rFonts w:ascii="Times New Roman" w:eastAsia="Times New Roman" w:hAnsi="Times New Roman" w:cs="Times New Roman"/>
          <w:lang w:val="de-CH"/>
        </w:rPr>
        <w:t>Massnahme: Einführung eines Solidaritätsbeitrags für die Jahre 2027 und 2028. Der Solidaritätsbeitrag würde 1 % des über 39 000 Franken liegenden Teils des Jahreslohns betragen, was gleich ist wie im letzten Sanierungsprogramm (Struktur- und Sparmassnahmenprogramm 2013-2016). Es fallen Kosten für die Anpassung des IT-Systems an.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FE3A13" w14:paraId="2ED1DF46"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21C693A" w14:textId="77777777" w:rsidR="00186098" w:rsidRPr="00FE3A13" w:rsidRDefault="00186098" w:rsidP="00725483">
            <w:pPr>
              <w:pStyle w:val="NIVtableau"/>
              <w:rPr>
                <w:color w:val="auto"/>
                <w:sz w:val="21"/>
                <w:lang w:val="en-US"/>
              </w:rPr>
            </w:pPr>
            <w:r w:rsidRPr="00EE76BA">
              <w:rPr>
                <w:rFonts w:eastAsia="Times New Roman"/>
                <w:lang w:val="de-CH"/>
              </w:rPr>
              <w:t>Finanzielle Auswirkungen in Franken</w:t>
            </w:r>
          </w:p>
        </w:tc>
        <w:tc>
          <w:tcPr>
            <w:tcW w:w="833" w:type="pct"/>
          </w:tcPr>
          <w:p w14:paraId="26FDA6D8"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2026</w:t>
            </w:r>
          </w:p>
        </w:tc>
        <w:tc>
          <w:tcPr>
            <w:tcW w:w="833" w:type="pct"/>
          </w:tcPr>
          <w:p w14:paraId="6BF67EF6"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2027</w:t>
            </w:r>
          </w:p>
        </w:tc>
        <w:tc>
          <w:tcPr>
            <w:tcW w:w="833" w:type="pct"/>
          </w:tcPr>
          <w:p w14:paraId="6A71A30B"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2028</w:t>
            </w:r>
          </w:p>
        </w:tc>
        <w:tc>
          <w:tcPr>
            <w:tcW w:w="831" w:type="pct"/>
          </w:tcPr>
          <w:p w14:paraId="2488CA9E"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Total</w:t>
            </w:r>
          </w:p>
        </w:tc>
      </w:tr>
      <w:tr w:rsidR="00186098" w:rsidRPr="00FE3A13" w14:paraId="1103F48E"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46F4C08" w14:textId="77777777" w:rsidR="00186098" w:rsidRPr="00FE3A13" w:rsidRDefault="00186098" w:rsidP="00725483">
            <w:pPr>
              <w:pStyle w:val="NIVtableau"/>
              <w:rPr>
                <w:lang w:val="en-US"/>
              </w:rPr>
            </w:pPr>
            <w:r w:rsidRPr="00EE76BA">
              <w:rPr>
                <w:rFonts w:eastAsia="Times New Roman"/>
                <w:lang w:val="de-CH"/>
              </w:rPr>
              <w:t>Staat</w:t>
            </w:r>
          </w:p>
        </w:tc>
        <w:tc>
          <w:tcPr>
            <w:tcW w:w="833" w:type="pct"/>
          </w:tcPr>
          <w:p w14:paraId="7CC4B34F"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rFonts w:eastAsia="Times New Roman"/>
                <w:color w:val="000000"/>
                <w:lang w:val="de-CH"/>
              </w:rPr>
              <w:t>– </w:t>
            </w:r>
            <w:r w:rsidRPr="00EE76BA">
              <w:rPr>
                <w:rFonts w:eastAsia="Times New Roman"/>
                <w:color w:val="000000"/>
                <w:lang w:val="de-CH"/>
              </w:rPr>
              <w:t>50 000</w:t>
            </w:r>
          </w:p>
        </w:tc>
        <w:tc>
          <w:tcPr>
            <w:tcW w:w="833" w:type="pct"/>
          </w:tcPr>
          <w:p w14:paraId="211FC6D3"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10 600 000</w:t>
            </w:r>
          </w:p>
        </w:tc>
        <w:tc>
          <w:tcPr>
            <w:tcW w:w="833" w:type="pct"/>
          </w:tcPr>
          <w:p w14:paraId="5B1B607F"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10 970 000</w:t>
            </w:r>
          </w:p>
        </w:tc>
        <w:tc>
          <w:tcPr>
            <w:tcW w:w="831" w:type="pct"/>
          </w:tcPr>
          <w:p w14:paraId="4451CBCB"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21 520 000</w:t>
            </w:r>
          </w:p>
        </w:tc>
      </w:tr>
      <w:tr w:rsidR="00186098" w:rsidRPr="00FE3A13" w14:paraId="1F86B9D8"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FC99BD7" w14:textId="77777777" w:rsidR="00186098" w:rsidRPr="00FE3A13" w:rsidRDefault="00186098" w:rsidP="00725483">
            <w:pPr>
              <w:pStyle w:val="NIVtableau"/>
              <w:rPr>
                <w:b w:val="0"/>
                <w:lang w:val="en-US"/>
              </w:rPr>
            </w:pPr>
            <w:r w:rsidRPr="00EE76BA">
              <w:rPr>
                <w:rFonts w:eastAsia="Times New Roman"/>
                <w:b w:val="0"/>
                <w:lang w:val="de-CH"/>
              </w:rPr>
              <w:t>Gemeinden</w:t>
            </w:r>
          </w:p>
        </w:tc>
        <w:tc>
          <w:tcPr>
            <w:tcW w:w="833" w:type="pct"/>
          </w:tcPr>
          <w:p w14:paraId="546C600B"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0</w:t>
            </w:r>
          </w:p>
        </w:tc>
        <w:tc>
          <w:tcPr>
            <w:tcW w:w="833" w:type="pct"/>
          </w:tcPr>
          <w:p w14:paraId="5CAD7723"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4</w:t>
            </w:r>
            <w:r w:rsidRPr="00EE76BA">
              <w:rPr>
                <w:rFonts w:eastAsia="Times New Roman"/>
                <w:color w:val="000000"/>
                <w:lang w:val="de-CH"/>
              </w:rPr>
              <w:t> </w:t>
            </w:r>
            <w:r w:rsidRPr="00EE76BA">
              <w:rPr>
                <w:rFonts w:eastAsia="Times New Roman"/>
                <w:b w:val="0"/>
                <w:color w:val="000000"/>
                <w:lang w:val="de-CH"/>
              </w:rPr>
              <w:t>400</w:t>
            </w:r>
            <w:r w:rsidRPr="00EE76BA">
              <w:rPr>
                <w:rFonts w:eastAsia="Times New Roman"/>
                <w:color w:val="000000"/>
                <w:lang w:val="de-CH"/>
              </w:rPr>
              <w:t> </w:t>
            </w:r>
            <w:r w:rsidRPr="00EE76BA">
              <w:rPr>
                <w:rFonts w:eastAsia="Times New Roman"/>
                <w:b w:val="0"/>
                <w:color w:val="000000"/>
                <w:lang w:val="de-CH"/>
              </w:rPr>
              <w:t>000</w:t>
            </w:r>
          </w:p>
        </w:tc>
        <w:tc>
          <w:tcPr>
            <w:tcW w:w="833" w:type="pct"/>
          </w:tcPr>
          <w:p w14:paraId="05C05E33"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4</w:t>
            </w:r>
            <w:r w:rsidRPr="00EE76BA">
              <w:rPr>
                <w:rFonts w:eastAsia="Times New Roman"/>
                <w:color w:val="000000"/>
                <w:lang w:val="de-CH"/>
              </w:rPr>
              <w:t> </w:t>
            </w:r>
            <w:r w:rsidRPr="00EE76BA">
              <w:rPr>
                <w:rFonts w:eastAsia="Times New Roman"/>
                <w:b w:val="0"/>
                <w:color w:val="000000"/>
                <w:lang w:val="de-CH"/>
              </w:rPr>
              <w:t>700</w:t>
            </w:r>
            <w:r w:rsidRPr="00EE76BA">
              <w:rPr>
                <w:rFonts w:eastAsia="Times New Roman"/>
                <w:color w:val="000000"/>
                <w:lang w:val="de-CH"/>
              </w:rPr>
              <w:t> </w:t>
            </w:r>
            <w:r w:rsidRPr="00EE76BA">
              <w:rPr>
                <w:rFonts w:eastAsia="Times New Roman"/>
                <w:b w:val="0"/>
                <w:color w:val="000000"/>
                <w:lang w:val="de-CH"/>
              </w:rPr>
              <w:t>000</w:t>
            </w:r>
          </w:p>
        </w:tc>
        <w:tc>
          <w:tcPr>
            <w:tcW w:w="831" w:type="pct"/>
          </w:tcPr>
          <w:p w14:paraId="3FEA6DE5"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9</w:t>
            </w:r>
            <w:r w:rsidRPr="00EE76BA">
              <w:rPr>
                <w:rFonts w:eastAsia="Times New Roman"/>
                <w:color w:val="000000"/>
                <w:lang w:val="de-CH"/>
              </w:rPr>
              <w:t> </w:t>
            </w:r>
            <w:r w:rsidRPr="00EE76BA">
              <w:rPr>
                <w:rFonts w:eastAsia="Times New Roman"/>
                <w:b w:val="0"/>
                <w:color w:val="000000"/>
                <w:lang w:val="de-CH"/>
              </w:rPr>
              <w:t>100</w:t>
            </w:r>
            <w:r w:rsidRPr="00EE76BA">
              <w:rPr>
                <w:rFonts w:eastAsia="Times New Roman"/>
                <w:color w:val="000000"/>
                <w:lang w:val="de-CH"/>
              </w:rPr>
              <w:t> </w:t>
            </w:r>
            <w:r w:rsidRPr="00EE76BA">
              <w:rPr>
                <w:rFonts w:eastAsia="Times New Roman"/>
                <w:b w:val="0"/>
                <w:color w:val="000000"/>
                <w:lang w:val="de-CH"/>
              </w:rPr>
              <w:t>000</w:t>
            </w:r>
          </w:p>
        </w:tc>
      </w:tr>
    </w:tbl>
    <w:p w14:paraId="0E944A2B" w14:textId="49958966" w:rsidR="008E7BE6" w:rsidRDefault="008E7BE6" w:rsidP="00186098">
      <w:pPr>
        <w:pStyle w:val="Corpsdetexte"/>
      </w:pPr>
    </w:p>
    <w:p w14:paraId="08C4F815" w14:textId="77777777" w:rsidR="008E7BE6" w:rsidRDefault="008E7BE6">
      <w:r>
        <w:br w:type="page"/>
      </w:r>
    </w:p>
    <w:p w14:paraId="69EE1E06" w14:textId="77777777" w:rsidR="00186098" w:rsidRPr="00EB6310" w:rsidRDefault="00186098" w:rsidP="00186098">
      <w:pPr>
        <w:pStyle w:val="Titre3"/>
        <w:rPr>
          <w:lang w:val="de-CH"/>
        </w:rPr>
      </w:pPr>
      <w:bookmarkStart w:id="22" w:name="_Toc196226212"/>
      <w:r w:rsidRPr="00EB6310">
        <w:rPr>
          <w:lang w:val="de-CH"/>
        </w:rPr>
        <w:lastRenderedPageBreak/>
        <w:t>Subventionierung</w:t>
      </w:r>
      <w:bookmarkEnd w:id="22"/>
    </w:p>
    <w:p w14:paraId="6F02B42D"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Es werden folgende Massnahmen auf Subventionsebene vorgeschlagen:</w:t>
      </w:r>
    </w:p>
    <w:tbl>
      <w:tblPr>
        <w:tblStyle w:val="TableauEtatFR"/>
        <w:tblW w:w="5000" w:type="pct"/>
        <w:tblLook w:val="04E0" w:firstRow="1" w:lastRow="1" w:firstColumn="1" w:lastColumn="0" w:noHBand="0" w:noVBand="1"/>
      </w:tblPr>
      <w:tblGrid>
        <w:gridCol w:w="5385"/>
        <w:gridCol w:w="992"/>
        <w:gridCol w:w="3543"/>
      </w:tblGrid>
      <w:tr w:rsidR="00186098" w:rsidRPr="005B3823" w14:paraId="5431C535" w14:textId="77777777" w:rsidTr="00725483">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55C7270B" w14:textId="374E32A9"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 xml:space="preserve">Massnahmen in der Zuständigkeit des Grossen Rats, die die Subventionen betreffen </w:t>
            </w:r>
          </w:p>
        </w:tc>
      </w:tr>
      <w:tr w:rsidR="00186098" w:rsidRPr="005B3823" w14:paraId="27ED0928" w14:textId="77777777" w:rsidTr="00725483">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146777E5"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Bezeichnung der Massnahme</w:t>
            </w:r>
          </w:p>
        </w:tc>
        <w:tc>
          <w:tcPr>
            <w:tcW w:w="2286" w:type="pct"/>
            <w:gridSpan w:val="2"/>
          </w:tcPr>
          <w:p w14:paraId="606F4669"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Gesetzliche Grundlage, die geändert werden muss</w:t>
            </w:r>
          </w:p>
        </w:tc>
      </w:tr>
      <w:tr w:rsidR="00186098" w:rsidRPr="00EE76BA" w14:paraId="7C48FFE4"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4B85034B" w14:textId="77777777" w:rsidR="00186098" w:rsidRPr="00EE76BA" w:rsidRDefault="00186098" w:rsidP="00725483">
            <w:pPr>
              <w:spacing w:after="0"/>
              <w:rPr>
                <w:rFonts w:eastAsia="Times New Roman" w:cs="Arial"/>
                <w:bCs/>
                <w:sz w:val="18"/>
                <w:szCs w:val="20"/>
                <w:lang w:val="de-CH"/>
              </w:rPr>
            </w:pPr>
          </w:p>
        </w:tc>
        <w:tc>
          <w:tcPr>
            <w:tcW w:w="500" w:type="pct"/>
          </w:tcPr>
          <w:p w14:paraId="48DC4430"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SGF-Nr.</w:t>
            </w:r>
          </w:p>
        </w:tc>
        <w:tc>
          <w:tcPr>
            <w:tcW w:w="1786" w:type="pct"/>
          </w:tcPr>
          <w:p w14:paraId="4530CD83" w14:textId="77777777" w:rsidR="00186098" w:rsidRPr="00EE76BA" w:rsidRDefault="00186098" w:rsidP="00725483">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Titel</w:t>
            </w:r>
          </w:p>
        </w:tc>
      </w:tr>
      <w:tr w:rsidR="00186098" w:rsidRPr="00D80865" w14:paraId="6B633FD9"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178DBDD9" w14:textId="42983097" w:rsidR="00186098" w:rsidRPr="00EE76BA" w:rsidRDefault="00186098" w:rsidP="00725483">
            <w:pPr>
              <w:spacing w:line="280" w:lineRule="atLeast"/>
              <w:rPr>
                <w:rFonts w:eastAsia="Times New Roman" w:cs="Arial"/>
                <w:bCs/>
                <w:sz w:val="18"/>
                <w:szCs w:val="20"/>
                <w:lang w:val="de-CH"/>
              </w:rPr>
            </w:pPr>
            <w:bookmarkStart w:id="23" w:name="_Hlk196821598"/>
            <w:r w:rsidRPr="00EE76BA">
              <w:rPr>
                <w:rFonts w:eastAsia="Times New Roman" w:cs="Arial"/>
                <w:b/>
                <w:sz w:val="18"/>
                <w:lang w:val="de-CH"/>
              </w:rPr>
              <w:t>a) Zur Einhaltung des Finanzplans notwendige Massnahmen</w:t>
            </w:r>
            <w:r w:rsidRPr="00EE76BA">
              <w:rPr>
                <w:rFonts w:eastAsia="Times New Roman" w:cs="Arial"/>
                <w:sz w:val="18"/>
                <w:lang w:val="de-CH"/>
              </w:rPr>
              <w:br/>
              <w:t>- Erhöhung de</w:t>
            </w:r>
            <w:r w:rsidR="00033A54">
              <w:rPr>
                <w:rFonts w:eastAsia="Times New Roman" w:cs="Arial"/>
                <w:sz w:val="18"/>
                <w:lang w:val="de-CH"/>
              </w:rPr>
              <w:t xml:space="preserve">r den in einem Heim untergebrachten Personen fakturierten Pflegekosten auf </w:t>
            </w:r>
            <w:r w:rsidRPr="00EE76BA">
              <w:rPr>
                <w:rFonts w:eastAsia="Times New Roman" w:cs="Arial"/>
                <w:sz w:val="18"/>
                <w:lang w:val="de-CH"/>
              </w:rPr>
              <w:t>23.-/Tag</w:t>
            </w:r>
            <w:bookmarkEnd w:id="23"/>
            <w:r w:rsidRPr="00EE76BA">
              <w:rPr>
                <w:rFonts w:eastAsia="Times New Roman" w:cs="Arial"/>
                <w:sz w:val="18"/>
                <w:lang w:val="de-CH"/>
              </w:rPr>
              <w:br/>
            </w:r>
            <w:r w:rsidRPr="00EE76BA">
              <w:rPr>
                <w:rFonts w:eastAsia="Times New Roman" w:cs="Arial"/>
                <w:sz w:val="18"/>
                <w:lang w:val="de-CH"/>
              </w:rPr>
              <w:br/>
              <w:t>- Aussetzen der</w:t>
            </w:r>
            <w:r w:rsidRPr="00EE76BA" w:rsidDel="00C82147">
              <w:rPr>
                <w:rFonts w:eastAsia="Times New Roman" w:cs="Arial"/>
                <w:sz w:val="18"/>
                <w:lang w:val="de-CH"/>
              </w:rPr>
              <w:t xml:space="preserve"> </w:t>
            </w:r>
            <w:r w:rsidRPr="00EE76BA">
              <w:rPr>
                <w:rFonts w:eastAsia="Times New Roman" w:cs="Arial"/>
                <w:sz w:val="18"/>
                <w:lang w:val="de-CH"/>
              </w:rPr>
              <w:t>Teuerungsanpassung in den Pflegeheimen</w:t>
            </w:r>
          </w:p>
        </w:tc>
        <w:tc>
          <w:tcPr>
            <w:tcW w:w="500" w:type="pct"/>
          </w:tcPr>
          <w:p w14:paraId="33B8F697" w14:textId="77777777" w:rsidR="00186098" w:rsidRPr="00EE76BA" w:rsidRDefault="00186098" w:rsidP="00725483">
            <w:pPr>
              <w:spacing w:line="280" w:lineRule="atLeas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br/>
              <w:t>820.6</w:t>
            </w:r>
            <w:r w:rsidRPr="00EE76BA">
              <w:rPr>
                <w:rFonts w:eastAsia="Times New Roman" w:cs="Arial"/>
                <w:color w:val="000000"/>
                <w:sz w:val="18"/>
                <w:lang w:val="de-CH"/>
              </w:rPr>
              <w:br/>
            </w:r>
            <w:r w:rsidRPr="00EE76BA">
              <w:rPr>
                <w:rFonts w:eastAsia="Times New Roman" w:cs="Arial"/>
                <w:color w:val="000000"/>
                <w:sz w:val="18"/>
                <w:lang w:val="de-CH"/>
              </w:rPr>
              <w:br/>
            </w:r>
            <w:r w:rsidRPr="00EE76BA">
              <w:rPr>
                <w:rFonts w:eastAsia="Times New Roman" w:cs="Arial"/>
                <w:color w:val="000000"/>
                <w:sz w:val="18"/>
                <w:lang w:val="de-CH"/>
              </w:rPr>
              <w:br/>
              <w:t>841.3.11.</w:t>
            </w:r>
          </w:p>
        </w:tc>
        <w:tc>
          <w:tcPr>
            <w:tcW w:w="1786" w:type="pct"/>
          </w:tcPr>
          <w:p w14:paraId="59D8C0A4" w14:textId="3F6EAAE2" w:rsidR="00186098" w:rsidRPr="00EE76BA" w:rsidRDefault="00186098" w:rsidP="00725483">
            <w:pPr>
              <w:spacing w:line="280" w:lineRule="atLeas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br/>
              <w:t>Ausführungsgesetz vom 9. Dezember 2010 zum Bundesgesetz über die Neuordnung der Pflegefinanzierung</w:t>
            </w:r>
            <w:r w:rsidRPr="00EE76BA">
              <w:rPr>
                <w:rFonts w:eastAsia="Times New Roman" w:cs="Arial"/>
                <w:color w:val="000000"/>
                <w:sz w:val="18"/>
                <w:lang w:val="de-CH"/>
              </w:rPr>
              <w:br/>
              <w:t>Ausführungsverordnung zum Gesetz vom 16.</w:t>
            </w:r>
            <w:r w:rsidR="00D80865">
              <w:rPr>
                <w:rFonts w:eastAsia="Times New Roman" w:cs="Arial"/>
                <w:color w:val="000000"/>
                <w:sz w:val="18"/>
                <w:lang w:val="de-CH"/>
              </w:rPr>
              <w:t> </w:t>
            </w:r>
            <w:r w:rsidRPr="00EE76BA">
              <w:rPr>
                <w:rFonts w:eastAsia="Times New Roman" w:cs="Arial"/>
                <w:color w:val="000000"/>
                <w:sz w:val="18"/>
                <w:lang w:val="de-CH"/>
              </w:rPr>
              <w:t>November 1965 über die Ergänzungsleistungen zur Alters-, Hinterlassenen- und Invalidenversicherung, abgeändert durch das Gesetz vom 11.</w:t>
            </w:r>
            <w:r w:rsidR="00D80865">
              <w:rPr>
                <w:rFonts w:eastAsia="Times New Roman" w:cs="Arial"/>
                <w:color w:val="000000"/>
                <w:sz w:val="18"/>
                <w:lang w:val="de-CH"/>
              </w:rPr>
              <w:t> </w:t>
            </w:r>
            <w:r w:rsidRPr="00EE76BA">
              <w:rPr>
                <w:rFonts w:eastAsia="Times New Roman" w:cs="Arial"/>
                <w:color w:val="000000"/>
                <w:sz w:val="18"/>
                <w:lang w:val="de-CH"/>
              </w:rPr>
              <w:t>November 1970 (AVEL)</w:t>
            </w:r>
            <w:r w:rsidRPr="00EE76BA">
              <w:rPr>
                <w:rFonts w:eastAsia="Times New Roman" w:cs="Arial"/>
                <w:color w:val="000000"/>
                <w:sz w:val="18"/>
                <w:lang w:val="de-CH"/>
              </w:rPr>
              <w:br/>
            </w:r>
          </w:p>
        </w:tc>
      </w:tr>
      <w:tr w:rsidR="00186098" w:rsidRPr="005B3823" w14:paraId="7D0164D3"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599553BA" w14:textId="510F8F4B" w:rsidR="00186098" w:rsidRPr="00EE76BA" w:rsidRDefault="00186098" w:rsidP="00725483">
            <w:pPr>
              <w:spacing w:line="280" w:lineRule="atLeast"/>
              <w:rPr>
                <w:rFonts w:eastAsia="Times New Roman" w:cs="Arial"/>
                <w:sz w:val="18"/>
                <w:szCs w:val="20"/>
                <w:lang w:val="de-CH"/>
              </w:rPr>
            </w:pPr>
            <w:r w:rsidRPr="00EE76BA">
              <w:rPr>
                <w:rFonts w:eastAsia="Times New Roman" w:cs="Arial"/>
                <w:sz w:val="18"/>
                <w:lang w:val="de-CH"/>
              </w:rPr>
              <w:t>b) Massnahmen des PSKF</w:t>
            </w:r>
            <w:r w:rsidRPr="00EE76BA">
              <w:rPr>
                <w:rFonts w:eastAsia="Times New Roman" w:cs="Arial"/>
                <w:sz w:val="18"/>
                <w:lang w:val="de-CH"/>
              </w:rPr>
              <w:br/>
            </w:r>
            <w:r w:rsidRPr="00EE76BA">
              <w:rPr>
                <w:rFonts w:eastAsia="Times New Roman" w:cs="Arial"/>
                <w:b w:val="0"/>
                <w:sz w:val="18"/>
                <w:lang w:val="de-CH"/>
              </w:rPr>
              <w:t xml:space="preserve">- Stärkere Berücksichtigung des Vermögens bei der Kostenbeteiligung von im Pflegeheim untergebrachten Personen </w:t>
            </w:r>
            <w:r w:rsidRPr="00EE76BA">
              <w:rPr>
                <w:rFonts w:eastAsia="Times New Roman" w:cs="Arial"/>
                <w:b w:val="0"/>
                <w:sz w:val="18"/>
                <w:lang w:val="de-CH"/>
              </w:rPr>
              <w:br/>
              <w:t>- Höhere Einkommensanrechnung bei der Berechnung von Stipendien und Anrechnung des Einkommens des anderen Elternteils bei Konkubinat</w:t>
            </w:r>
            <w:r w:rsidRPr="00EE76BA">
              <w:rPr>
                <w:rFonts w:eastAsia="Times New Roman" w:cs="Arial"/>
                <w:b w:val="0"/>
                <w:sz w:val="18"/>
                <w:lang w:val="de-CH"/>
              </w:rPr>
              <w:br/>
              <w:t>- Änderung und Vereinfachung der Subventionsaufteilung in Bereich der Sozialhilfe</w:t>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br/>
              <w:t>- Begrenzung des finanziellen Beitrags für familienergänzende Betreuungsplätze</w:t>
            </w:r>
            <w:r w:rsidRPr="00EE76BA">
              <w:rPr>
                <w:rFonts w:eastAsia="Times New Roman" w:cs="Arial"/>
                <w:b w:val="0"/>
                <w:sz w:val="18"/>
                <w:lang w:val="de-CH"/>
              </w:rPr>
              <w:br/>
            </w:r>
            <w:r w:rsidRPr="00EE76BA">
              <w:rPr>
                <w:rFonts w:eastAsia="Times New Roman" w:cs="Arial"/>
                <w:b w:val="0"/>
                <w:sz w:val="18"/>
                <w:lang w:val="de-CH"/>
              </w:rPr>
              <w:br/>
              <w:t xml:space="preserve">- Neubeurteilung der Beiträge an Schulbauten </w:t>
            </w:r>
            <w:r w:rsidRPr="00EE76BA">
              <w:rPr>
                <w:rFonts w:eastAsia="Times New Roman" w:cs="Arial"/>
                <w:b w:val="0"/>
                <w:sz w:val="18"/>
                <w:lang w:val="de-CH"/>
              </w:rPr>
              <w:br/>
            </w:r>
            <w:r w:rsidRPr="00EE76BA">
              <w:rPr>
                <w:rFonts w:eastAsia="Times New Roman" w:cs="Arial"/>
                <w:b w:val="0"/>
                <w:sz w:val="18"/>
                <w:lang w:val="de-CH"/>
              </w:rPr>
              <w:br/>
            </w:r>
            <w:r w:rsidRPr="00EE76BA">
              <w:rPr>
                <w:rFonts w:eastAsia="Times New Roman" w:cs="Arial"/>
                <w:b w:val="0"/>
                <w:sz w:val="18"/>
                <w:lang w:val="de-CH"/>
              </w:rPr>
              <w:br/>
              <w:t>- Kürzung der waldbaulichen Subventionen</w:t>
            </w:r>
            <w:r w:rsidR="008E6136" w:rsidRPr="00EE76BA" w:rsidDel="008E6136">
              <w:rPr>
                <w:rFonts w:eastAsia="Times New Roman" w:cs="Arial"/>
                <w:b w:val="0"/>
                <w:sz w:val="18"/>
                <w:lang w:val="de-CH"/>
              </w:rPr>
              <w:t xml:space="preserve"> </w:t>
            </w:r>
            <w:r w:rsidRPr="00EE76BA">
              <w:rPr>
                <w:rFonts w:eastAsia="Times New Roman" w:cs="Arial"/>
                <w:b w:val="0"/>
                <w:sz w:val="18"/>
                <w:lang w:val="de-CH"/>
              </w:rPr>
              <w:br/>
            </w:r>
            <w:r w:rsidRPr="00EE76BA">
              <w:rPr>
                <w:rFonts w:eastAsia="Times New Roman" w:cs="Arial"/>
                <w:b w:val="0"/>
                <w:sz w:val="18"/>
                <w:lang w:val="de-CH"/>
              </w:rPr>
              <w:br/>
              <w:t>- Kürzung der staatlichen Beteiligung an den Wahlkampfkosten</w:t>
            </w:r>
          </w:p>
        </w:tc>
        <w:tc>
          <w:tcPr>
            <w:tcW w:w="500" w:type="pct"/>
          </w:tcPr>
          <w:p w14:paraId="50B9F5FD" w14:textId="07C90A0A" w:rsidR="00186098" w:rsidRPr="00EE76BA" w:rsidRDefault="00186098" w:rsidP="00725483">
            <w:pPr>
              <w:spacing w:line="280" w:lineRule="atLeas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color w:val="000000"/>
                <w:sz w:val="18"/>
                <w:lang w:val="de-CH"/>
              </w:rPr>
              <w:br/>
            </w:r>
            <w:r w:rsidRPr="00EE76BA">
              <w:rPr>
                <w:rFonts w:eastAsia="Times New Roman" w:cs="Arial"/>
                <w:b w:val="0"/>
                <w:color w:val="000000"/>
                <w:sz w:val="18"/>
                <w:lang w:val="de-CH"/>
              </w:rPr>
              <w:t>820.2</w:t>
            </w:r>
            <w:r w:rsidRPr="00EE76BA">
              <w:rPr>
                <w:rFonts w:eastAsia="Times New Roman" w:cs="Arial"/>
                <w:b w:val="0"/>
                <w:color w:val="000000"/>
                <w:sz w:val="18"/>
                <w:lang w:val="de-CH"/>
              </w:rPr>
              <w:br/>
            </w:r>
            <w:r w:rsidRPr="00EE76BA">
              <w:rPr>
                <w:rFonts w:eastAsia="Times New Roman" w:cs="Arial"/>
                <w:b w:val="0"/>
                <w:color w:val="000000"/>
                <w:sz w:val="18"/>
                <w:lang w:val="de-CH"/>
              </w:rPr>
              <w:br/>
              <w:t>44.1</w:t>
            </w:r>
            <w:r w:rsidRPr="00EE76BA">
              <w:rPr>
                <w:rFonts w:eastAsia="Times New Roman" w:cs="Arial"/>
                <w:b w:val="0"/>
                <w:color w:val="000000"/>
                <w:sz w:val="18"/>
                <w:lang w:val="de-CH"/>
              </w:rPr>
              <w:br/>
            </w:r>
            <w:r w:rsidRPr="00EE76BA">
              <w:rPr>
                <w:rFonts w:eastAsia="Times New Roman" w:cs="Arial"/>
                <w:b w:val="0"/>
                <w:color w:val="000000"/>
                <w:sz w:val="18"/>
                <w:lang w:val="de-CH"/>
              </w:rPr>
              <w:br/>
              <w:t>831.0.1</w:t>
            </w:r>
            <w:r w:rsidRPr="00EE76BA">
              <w:rPr>
                <w:rFonts w:eastAsia="Times New Roman" w:cs="Arial"/>
                <w:b w:val="0"/>
                <w:color w:val="000000"/>
                <w:sz w:val="18"/>
                <w:lang w:val="de-CH"/>
              </w:rPr>
              <w:br/>
              <w:t>und</w:t>
            </w:r>
            <w:r w:rsidRPr="00EE76BA">
              <w:rPr>
                <w:rFonts w:eastAsia="Times New Roman" w:cs="Arial"/>
                <w:b w:val="0"/>
                <w:color w:val="000000"/>
                <w:sz w:val="18"/>
                <w:lang w:val="de-CH"/>
              </w:rPr>
              <w:br/>
              <w:t>130.5</w:t>
            </w:r>
            <w:r w:rsidRPr="00EE76BA">
              <w:rPr>
                <w:rFonts w:eastAsia="Times New Roman" w:cs="Arial"/>
                <w:b w:val="0"/>
                <w:color w:val="000000"/>
                <w:sz w:val="18"/>
                <w:lang w:val="de-CH"/>
              </w:rPr>
              <w:br/>
            </w:r>
            <w:r w:rsidRPr="00EE76BA">
              <w:rPr>
                <w:rFonts w:eastAsia="Times New Roman" w:cs="Arial"/>
                <w:b w:val="0"/>
                <w:color w:val="000000"/>
                <w:sz w:val="18"/>
                <w:lang w:val="de-CH"/>
              </w:rPr>
              <w:br/>
              <w:t>und</w:t>
            </w:r>
            <w:r w:rsidRPr="00EE76BA">
              <w:rPr>
                <w:rFonts w:eastAsia="Times New Roman" w:cs="Arial"/>
                <w:b w:val="0"/>
                <w:color w:val="000000"/>
                <w:sz w:val="18"/>
                <w:lang w:val="de-CH"/>
              </w:rPr>
              <w:br/>
              <w:t>212.4.1</w:t>
            </w:r>
            <w:r w:rsidRPr="00EE76BA">
              <w:rPr>
                <w:rFonts w:eastAsia="Times New Roman" w:cs="Arial"/>
                <w:b w:val="0"/>
                <w:color w:val="000000"/>
                <w:sz w:val="18"/>
                <w:lang w:val="de-CH"/>
              </w:rPr>
              <w:br/>
            </w:r>
            <w:r w:rsidRPr="00EE76BA">
              <w:rPr>
                <w:rFonts w:eastAsia="Times New Roman" w:cs="Arial"/>
                <w:b w:val="0"/>
                <w:color w:val="000000"/>
                <w:sz w:val="18"/>
                <w:lang w:val="de-CH"/>
              </w:rPr>
              <w:br/>
            </w:r>
            <w:r w:rsidRPr="00EE76BA">
              <w:rPr>
                <w:rFonts w:eastAsia="Times New Roman" w:cs="Arial"/>
                <w:b w:val="0"/>
                <w:color w:val="000000"/>
                <w:sz w:val="18"/>
                <w:lang w:val="de-CH"/>
              </w:rPr>
              <w:br/>
            </w:r>
            <w:r w:rsidRPr="00AB777B">
              <w:rPr>
                <w:rFonts w:eastAsia="Times New Roman" w:cs="Arial"/>
                <w:b w:val="0"/>
                <w:color w:val="000000"/>
                <w:sz w:val="18"/>
                <w:lang w:val="de-CH"/>
              </w:rPr>
              <w:t>835.1</w:t>
            </w:r>
            <w:r w:rsidRPr="00AB777B">
              <w:rPr>
                <w:rFonts w:eastAsia="Times New Roman" w:cs="Arial"/>
                <w:b w:val="0"/>
                <w:color w:val="000000"/>
                <w:sz w:val="18"/>
                <w:lang w:val="de-CH"/>
              </w:rPr>
              <w:br/>
            </w:r>
            <w:r w:rsidRPr="00AB777B">
              <w:rPr>
                <w:rFonts w:eastAsia="Times New Roman" w:cs="Arial"/>
                <w:b w:val="0"/>
                <w:color w:val="000000"/>
                <w:sz w:val="18"/>
                <w:lang w:val="de-CH"/>
              </w:rPr>
              <w:br/>
            </w:r>
            <w:r w:rsidRPr="00AB777B">
              <w:rPr>
                <w:rFonts w:eastAsia="Times New Roman" w:cs="Arial"/>
                <w:b w:val="0"/>
                <w:color w:val="000000"/>
                <w:sz w:val="18"/>
                <w:lang w:val="de-CH"/>
              </w:rPr>
              <w:br/>
              <w:t>414.4</w:t>
            </w:r>
            <w:r w:rsidRPr="00AB777B">
              <w:rPr>
                <w:rFonts w:eastAsia="Times New Roman" w:cs="Arial"/>
                <w:b w:val="0"/>
                <w:color w:val="000000"/>
                <w:sz w:val="18"/>
                <w:lang w:val="de-CH"/>
              </w:rPr>
              <w:br/>
            </w:r>
            <w:r w:rsidRPr="00EE76BA">
              <w:rPr>
                <w:rFonts w:eastAsia="Times New Roman" w:cs="Arial"/>
                <w:b w:val="0"/>
                <w:color w:val="000000"/>
                <w:sz w:val="18"/>
                <w:lang w:val="de-CH"/>
              </w:rPr>
              <w:br/>
            </w:r>
            <w:r w:rsidRPr="00EE76BA">
              <w:rPr>
                <w:rFonts w:eastAsia="Times New Roman" w:cs="Arial"/>
                <w:b w:val="0"/>
                <w:color w:val="000000"/>
                <w:sz w:val="18"/>
                <w:lang w:val="de-CH"/>
              </w:rPr>
              <w:br/>
              <w:t>921.1</w:t>
            </w:r>
            <w:r w:rsidRPr="00EE76BA">
              <w:rPr>
                <w:rFonts w:eastAsia="Times New Roman" w:cs="Arial"/>
                <w:b w:val="0"/>
                <w:color w:val="000000"/>
                <w:sz w:val="18"/>
                <w:lang w:val="de-CH"/>
              </w:rPr>
              <w:br/>
            </w:r>
            <w:r w:rsidRPr="00EE76BA">
              <w:rPr>
                <w:rFonts w:eastAsia="Times New Roman" w:cs="Arial"/>
                <w:b w:val="0"/>
                <w:color w:val="000000"/>
                <w:sz w:val="18"/>
                <w:lang w:val="de-CH"/>
              </w:rPr>
              <w:br/>
              <w:t>115.6</w:t>
            </w:r>
          </w:p>
        </w:tc>
        <w:tc>
          <w:tcPr>
            <w:tcW w:w="1786" w:type="pct"/>
          </w:tcPr>
          <w:p w14:paraId="091EC893" w14:textId="139E755F" w:rsidR="00186098" w:rsidRPr="00EE76BA" w:rsidRDefault="00186098" w:rsidP="00725483">
            <w:pPr>
              <w:spacing w:line="280" w:lineRule="atLeas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color w:val="000000"/>
                <w:sz w:val="18"/>
                <w:lang w:val="de-CH"/>
              </w:rPr>
              <w:br/>
            </w:r>
            <w:r w:rsidRPr="00EE76BA">
              <w:rPr>
                <w:rFonts w:eastAsia="Times New Roman" w:cs="Arial"/>
                <w:b w:val="0"/>
                <w:color w:val="000000"/>
                <w:sz w:val="18"/>
                <w:lang w:val="de-CH"/>
              </w:rPr>
              <w:t>Gesetz vom 12. Mai 2016 über die sozialmedizinischen Leistungen (SmLG)</w:t>
            </w:r>
            <w:r w:rsidRPr="00EE76BA">
              <w:rPr>
                <w:rFonts w:eastAsia="Times New Roman" w:cs="Arial"/>
                <w:b w:val="0"/>
                <w:color w:val="000000"/>
                <w:sz w:val="18"/>
                <w:lang w:val="de-CH"/>
              </w:rPr>
              <w:br/>
              <w:t>Gesetz vom 14. Februar 2008 über die Stipendien und Studiendarlehen (StiG</w:t>
            </w:r>
            <w:r w:rsidRPr="00AB777B">
              <w:rPr>
                <w:rFonts w:eastAsia="Times New Roman" w:cs="Arial"/>
                <w:color w:val="000000"/>
                <w:sz w:val="18"/>
                <w:lang w:val="de-CH"/>
              </w:rPr>
              <w:t>)</w:t>
            </w:r>
            <w:r w:rsidRPr="00EE76BA">
              <w:rPr>
                <w:rFonts w:eastAsia="Times New Roman" w:cs="Arial"/>
                <w:b w:val="0"/>
                <w:color w:val="000000"/>
                <w:sz w:val="18"/>
                <w:lang w:val="de-CH"/>
              </w:rPr>
              <w:br/>
              <w:t>Sozialhilfegesetz vom 14. November 1991 (SHG),</w:t>
            </w:r>
            <w:r w:rsidRPr="00EE76BA">
              <w:rPr>
                <w:rFonts w:eastAsia="Times New Roman" w:cs="Arial"/>
                <w:b w:val="0"/>
                <w:color w:val="000000"/>
                <w:sz w:val="18"/>
                <w:lang w:val="de-CH"/>
              </w:rPr>
              <w:br/>
              <w:t xml:space="preserve">Ausführungsgesetz vom 8. Oktober 1992 zur Bundesgesetzgebung über die Hilfe an Opfer von Straftaten (AGOHG) </w:t>
            </w:r>
            <w:r w:rsidRPr="00EE76BA">
              <w:rPr>
                <w:rFonts w:eastAsia="Times New Roman" w:cs="Arial"/>
                <w:b w:val="0"/>
                <w:color w:val="000000"/>
                <w:sz w:val="18"/>
                <w:lang w:val="de-CH"/>
              </w:rPr>
              <w:br/>
              <w:t>Gesetz vom 8. September 2021 über</w:t>
            </w:r>
            <w:r w:rsidRPr="00EE76BA">
              <w:rPr>
                <w:rFonts w:eastAsia="Times New Roman" w:cs="Arial"/>
                <w:color w:val="000000"/>
                <w:sz w:val="18"/>
                <w:lang w:val="de-CH"/>
              </w:rPr>
              <w:t xml:space="preserve"> </w:t>
            </w:r>
            <w:r w:rsidRPr="00AB777B">
              <w:rPr>
                <w:rFonts w:eastAsia="Times New Roman" w:cs="Arial"/>
                <w:b w:val="0"/>
                <w:color w:val="000000"/>
                <w:sz w:val="18"/>
                <w:lang w:val="de-CH"/>
              </w:rPr>
              <w:t>Inkassohilfe und Bevorschussung von Unterhaltsbeiträgen (IHBUG)</w:t>
            </w:r>
            <w:r w:rsidRPr="00AB777B">
              <w:rPr>
                <w:rFonts w:eastAsia="Times New Roman" w:cs="Arial"/>
                <w:b w:val="0"/>
                <w:color w:val="000000"/>
                <w:sz w:val="18"/>
                <w:lang w:val="de-CH"/>
              </w:rPr>
              <w:br/>
              <w:t>Gesetz vom 9. Juni 2011 über die familienergänzenden Tagesbetreuungseinrichtungen (FBG)</w:t>
            </w:r>
            <w:r w:rsidRPr="00AB777B">
              <w:rPr>
                <w:rFonts w:eastAsia="Times New Roman" w:cs="Arial"/>
                <w:b w:val="0"/>
                <w:color w:val="000000"/>
                <w:sz w:val="18"/>
                <w:lang w:val="de-CH"/>
              </w:rPr>
              <w:br/>
              <w:t>Gesetz vom 11. Oktober 2005 über Beiträge an Schulbauten für den Kindergarten, die Primarschule und die Orientierungsschule</w:t>
            </w:r>
            <w:r w:rsidRPr="00AB777B">
              <w:rPr>
                <w:rFonts w:eastAsia="Times New Roman" w:cs="Arial"/>
                <w:b w:val="0"/>
                <w:color w:val="000000"/>
                <w:sz w:val="18"/>
                <w:lang w:val="de-CH"/>
              </w:rPr>
              <w:br/>
            </w:r>
            <w:r w:rsidRPr="00EE76BA">
              <w:rPr>
                <w:rFonts w:eastAsia="Times New Roman" w:cs="Arial"/>
                <w:b w:val="0"/>
                <w:bCs/>
                <w:color w:val="000000"/>
                <w:sz w:val="18"/>
                <w:lang w:val="de-CH"/>
              </w:rPr>
              <w:t>Gesetz vom 2. März</w:t>
            </w:r>
            <w:r w:rsidRPr="00EE76BA">
              <w:rPr>
                <w:rFonts w:eastAsia="Times New Roman" w:cs="Arial"/>
                <w:b w:val="0"/>
                <w:color w:val="000000"/>
                <w:sz w:val="18"/>
                <w:lang w:val="de-CH"/>
              </w:rPr>
              <w:t xml:space="preserve"> 1999 über den Wald und den Schutz vor Naturereignissen (WSG)</w:t>
            </w:r>
            <w:r w:rsidRPr="00EE76BA">
              <w:rPr>
                <w:rFonts w:eastAsia="Times New Roman" w:cs="Arial"/>
                <w:b w:val="0"/>
                <w:color w:val="000000"/>
                <w:sz w:val="18"/>
                <w:lang w:val="de-CH"/>
              </w:rPr>
              <w:br/>
              <w:t>Gesetz vom 22. Juni 2001 über die finanzielle Beteiligung des Staates an Wahlkampfkosten (BWKG)</w:t>
            </w:r>
          </w:p>
        </w:tc>
      </w:tr>
    </w:tbl>
    <w:p w14:paraId="3985E00C" w14:textId="77777777" w:rsidR="00186098" w:rsidRPr="00D7196F" w:rsidRDefault="00186098" w:rsidP="00186098">
      <w:pPr>
        <w:pStyle w:val="Listealphabtique"/>
        <w:numPr>
          <w:ilvl w:val="0"/>
          <w:numId w:val="25"/>
        </w:numPr>
        <w:ind w:left="426" w:hanging="426"/>
        <w:rPr>
          <w:b/>
          <w:bCs/>
          <w:lang w:val="de-CH"/>
        </w:rPr>
      </w:pPr>
      <w:r w:rsidRPr="00EE76BA">
        <w:rPr>
          <w:rFonts w:ascii="Times New Roman" w:eastAsia="Times New Roman" w:hAnsi="Times New Roman" w:cs="Times New Roman"/>
          <w:b/>
          <w:lang w:val="de-CH"/>
        </w:rPr>
        <w:t>Zu</w:t>
      </w:r>
      <w:r>
        <w:rPr>
          <w:rFonts w:ascii="Times New Roman" w:eastAsia="Times New Roman" w:hAnsi="Times New Roman" w:cs="Times New Roman"/>
          <w:b/>
          <w:lang w:val="de-CH"/>
        </w:rPr>
        <w:t>r</w:t>
      </w:r>
      <w:r w:rsidRPr="00EE76BA">
        <w:rPr>
          <w:rFonts w:ascii="Times New Roman" w:eastAsia="Times New Roman" w:hAnsi="Times New Roman" w:cs="Times New Roman"/>
          <w:b/>
          <w:lang w:val="de-CH"/>
        </w:rPr>
        <w:t xml:space="preserve"> Einhaltung des Finanzplans notwendige Massnahmen</w:t>
      </w:r>
    </w:p>
    <w:p w14:paraId="5FF10DB1" w14:textId="370D16E7" w:rsidR="00186098" w:rsidRPr="00EE76BA" w:rsidRDefault="00186098" w:rsidP="00186098">
      <w:pPr>
        <w:rPr>
          <w:rFonts w:ascii="Times New Roman" w:eastAsia="Times New Roman" w:hAnsi="Times New Roman" w:cs="Times New Roman"/>
          <w:lang w:val="de-CH"/>
        </w:rPr>
      </w:pPr>
      <w:r w:rsidRPr="00D7196F">
        <w:rPr>
          <w:lang w:val="de-CH"/>
        </w:rPr>
        <w:t>&gt;</w:t>
      </w:r>
      <w:r w:rsidRPr="00D7196F">
        <w:rPr>
          <w:lang w:val="de-CH"/>
        </w:rPr>
        <w:tab/>
      </w:r>
      <w:r w:rsidRPr="00AB777B">
        <w:rPr>
          <w:rFonts w:ascii="Times New Roman" w:eastAsia="Times New Roman" w:hAnsi="Times New Roman" w:cs="Times New Roman"/>
          <w:b/>
          <w:lang w:val="de-CH"/>
        </w:rPr>
        <w:t>Erhöhung der den in einem Heim untergebrachten Personen fakturierten Pflegekosten auf 23.-/Tag</w:t>
      </w:r>
      <w:r w:rsidRPr="00EE76BA">
        <w:rPr>
          <w:rFonts w:ascii="Times New Roman" w:eastAsia="Times New Roman" w:hAnsi="Times New Roman" w:cs="Times New Roman"/>
          <w:b/>
          <w:lang w:val="de-CH"/>
        </w:rPr>
        <w:t xml:space="preserve"> </w:t>
      </w:r>
    </w:p>
    <w:p w14:paraId="3DA71744"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 xml:space="preserve">Massnahme: Erhöhung der den in einem Heim untergebrachten Personen fakturierten Pflegekosten. Gemäss dem nach KVG zulässigen Höchstbetrag würde </w:t>
      </w:r>
      <w:r w:rsidRPr="00AB777B">
        <w:rPr>
          <w:rFonts w:ascii="Times New Roman" w:eastAsia="Times New Roman" w:hAnsi="Times New Roman" w:cs="Times New Roman"/>
          <w:lang w:val="de-CH"/>
        </w:rPr>
        <w:t>jeder in einem Pflegeheim untergebrachten Person</w:t>
      </w:r>
      <w:r w:rsidRPr="00EE76BA">
        <w:rPr>
          <w:rFonts w:ascii="Times New Roman" w:eastAsia="Times New Roman" w:hAnsi="Times New Roman" w:cs="Times New Roman"/>
          <w:lang w:val="de-CH"/>
        </w:rPr>
        <w:t xml:space="preserve"> ein Betrag von 23</w:t>
      </w:r>
      <w:r>
        <w:rPr>
          <w:rFonts w:ascii="Times New Roman" w:eastAsia="Times New Roman" w:hAnsi="Times New Roman" w:cs="Times New Roman"/>
          <w:lang w:val="de-CH"/>
        </w:rPr>
        <w:t> </w:t>
      </w:r>
      <w:r w:rsidRPr="00EE76BA">
        <w:rPr>
          <w:rFonts w:ascii="Times New Roman" w:eastAsia="Times New Roman" w:hAnsi="Times New Roman" w:cs="Times New Roman"/>
          <w:lang w:val="de-CH"/>
        </w:rPr>
        <w:t xml:space="preserve">Franken pro Tag in Rechnung gestellt, gegenüber derzeit durchschnittlich 13 Franken. Der </w:t>
      </w:r>
      <w:r w:rsidRPr="00EE76BA">
        <w:rPr>
          <w:rFonts w:ascii="Times New Roman" w:eastAsia="Times New Roman" w:hAnsi="Times New Roman" w:cs="Times New Roman"/>
          <w:lang w:val="de-CH"/>
        </w:rPr>
        <w:lastRenderedPageBreak/>
        <w:t>Kostenverteilungsschlüssel zwischen Staat und Gemeinden bliebe unverändert. Der Staat würde 45 % der Kosten übernehmen, die Gemeinden 55 %.</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303EF8E7"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E346EFC"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4C9286DF"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2C4D043C"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21A848DE"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500022AC"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22900791"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ADF7647"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69C9831E"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1 145 000</w:t>
            </w:r>
          </w:p>
        </w:tc>
        <w:tc>
          <w:tcPr>
            <w:tcW w:w="833" w:type="pct"/>
          </w:tcPr>
          <w:p w14:paraId="72B80384"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1 145 000</w:t>
            </w:r>
          </w:p>
        </w:tc>
        <w:tc>
          <w:tcPr>
            <w:tcW w:w="833" w:type="pct"/>
          </w:tcPr>
          <w:p w14:paraId="186BD531"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1 145 000</w:t>
            </w:r>
          </w:p>
        </w:tc>
        <w:tc>
          <w:tcPr>
            <w:tcW w:w="833" w:type="pct"/>
          </w:tcPr>
          <w:p w14:paraId="7BDE848D"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3 435 000</w:t>
            </w:r>
          </w:p>
        </w:tc>
      </w:tr>
      <w:tr w:rsidR="00186098" w:rsidRPr="00EE76BA" w14:paraId="39BC5921"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A7F0059"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453D126D"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w:t>
            </w:r>
            <w:r w:rsidRPr="00EE76BA">
              <w:rPr>
                <w:rFonts w:eastAsia="Times New Roman" w:cs="Arial"/>
                <w:color w:val="000000"/>
                <w:sz w:val="18"/>
                <w:lang w:val="de-CH"/>
              </w:rPr>
              <w:t> </w:t>
            </w:r>
            <w:r w:rsidRPr="00EE76BA">
              <w:rPr>
                <w:rFonts w:eastAsia="Times New Roman" w:cs="Arial"/>
                <w:b w:val="0"/>
                <w:color w:val="000000"/>
                <w:sz w:val="18"/>
                <w:lang w:val="de-CH"/>
              </w:rPr>
              <w:t>400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52F8ACFF"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w:t>
            </w:r>
            <w:r w:rsidRPr="00EE76BA">
              <w:rPr>
                <w:rFonts w:eastAsia="Times New Roman" w:cs="Arial"/>
                <w:color w:val="000000"/>
                <w:sz w:val="18"/>
                <w:lang w:val="de-CH"/>
              </w:rPr>
              <w:t> </w:t>
            </w:r>
            <w:r w:rsidRPr="00EE76BA">
              <w:rPr>
                <w:rFonts w:eastAsia="Times New Roman" w:cs="Arial"/>
                <w:b w:val="0"/>
                <w:color w:val="000000"/>
                <w:sz w:val="18"/>
                <w:lang w:val="de-CH"/>
              </w:rPr>
              <w:t>400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2911A4D4"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w:t>
            </w:r>
            <w:r w:rsidRPr="00EE76BA">
              <w:rPr>
                <w:rFonts w:eastAsia="Times New Roman" w:cs="Arial"/>
                <w:color w:val="000000"/>
                <w:sz w:val="18"/>
                <w:lang w:val="de-CH"/>
              </w:rPr>
              <w:t> </w:t>
            </w:r>
            <w:r w:rsidRPr="00EE76BA">
              <w:rPr>
                <w:rFonts w:eastAsia="Times New Roman" w:cs="Arial"/>
                <w:b w:val="0"/>
                <w:color w:val="000000"/>
                <w:sz w:val="18"/>
                <w:lang w:val="de-CH"/>
              </w:rPr>
              <w:t>400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24ED2BF7"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200</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09B41BE3"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AB777B">
        <w:rPr>
          <w:rFonts w:ascii="Times New Roman" w:eastAsia="Times New Roman" w:hAnsi="Times New Roman" w:cs="Times New Roman"/>
          <w:b/>
          <w:lang w:val="de-CH"/>
        </w:rPr>
        <w:t>Aussetzen der Teuerungsanpassung in den Pflegeheimen</w:t>
      </w:r>
    </w:p>
    <w:p w14:paraId="5D9E7F39" w14:textId="77777777" w:rsidR="00186098" w:rsidRPr="00743628" w:rsidRDefault="00186098" w:rsidP="00186098">
      <w:pPr>
        <w:pStyle w:val="Corpsdetexte"/>
        <w:rPr>
          <w:lang w:val="de-CH"/>
        </w:rPr>
      </w:pPr>
      <w:r w:rsidRPr="00EE76BA">
        <w:rPr>
          <w:rFonts w:ascii="Times New Roman" w:eastAsia="Times New Roman" w:hAnsi="Times New Roman" w:cs="Times New Roman"/>
          <w:lang w:val="de-CH"/>
        </w:rPr>
        <w:t>Massnahme: Aussetzen der Teuerungsanpassung der Pensionspreise in den Pflegeheimen. Zurzeit ist dafür kein Betrag im Finanzplan vorgesehen. Der Beschluss des Grossen Rates würde daher erst ab 2029 und nicht früher umgesetzt. Die finanziellen Auswirkungen berechnen sich auf der Grundlage einer theoretischen Erhöhung des Pensionspreises um 1 Franken pro Jahr.</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FE3A13" w14:paraId="3FCDB5DF"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4838A8C" w14:textId="77777777" w:rsidR="00186098" w:rsidRPr="00FE3A13" w:rsidRDefault="00186098" w:rsidP="00725483">
            <w:pPr>
              <w:pStyle w:val="NIVtableau"/>
              <w:rPr>
                <w:color w:val="auto"/>
                <w:sz w:val="21"/>
                <w:lang w:val="en-US"/>
              </w:rPr>
            </w:pPr>
            <w:r w:rsidRPr="00EE76BA">
              <w:rPr>
                <w:rFonts w:eastAsia="Times New Roman"/>
                <w:lang w:val="de-CH"/>
              </w:rPr>
              <w:t>Finanzielle Auswirkungen in Franken</w:t>
            </w:r>
          </w:p>
        </w:tc>
        <w:tc>
          <w:tcPr>
            <w:tcW w:w="833" w:type="pct"/>
          </w:tcPr>
          <w:p w14:paraId="6566D25B"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2026</w:t>
            </w:r>
          </w:p>
        </w:tc>
        <w:tc>
          <w:tcPr>
            <w:tcW w:w="833" w:type="pct"/>
          </w:tcPr>
          <w:p w14:paraId="34A0E16C"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2027</w:t>
            </w:r>
          </w:p>
        </w:tc>
        <w:tc>
          <w:tcPr>
            <w:tcW w:w="833" w:type="pct"/>
          </w:tcPr>
          <w:p w14:paraId="1AF4C973"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2028</w:t>
            </w:r>
          </w:p>
        </w:tc>
        <w:tc>
          <w:tcPr>
            <w:tcW w:w="831" w:type="pct"/>
          </w:tcPr>
          <w:p w14:paraId="3BE0F2C1"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Total</w:t>
            </w:r>
          </w:p>
        </w:tc>
      </w:tr>
      <w:tr w:rsidR="00186098" w:rsidRPr="00FE3A13" w14:paraId="5B0AC346"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1C70B18" w14:textId="77777777" w:rsidR="00186098" w:rsidRPr="00FE3A13" w:rsidRDefault="00186098" w:rsidP="00725483">
            <w:pPr>
              <w:pStyle w:val="NIVtableau"/>
              <w:rPr>
                <w:lang w:val="en-US"/>
              </w:rPr>
            </w:pPr>
            <w:r w:rsidRPr="00EE76BA">
              <w:rPr>
                <w:rFonts w:eastAsia="Times New Roman"/>
                <w:lang w:val="de-CH"/>
              </w:rPr>
              <w:t>Staat</w:t>
            </w:r>
          </w:p>
        </w:tc>
        <w:tc>
          <w:tcPr>
            <w:tcW w:w="833" w:type="pct"/>
          </w:tcPr>
          <w:p w14:paraId="5C0184D0"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325 000</w:t>
            </w:r>
          </w:p>
        </w:tc>
        <w:tc>
          <w:tcPr>
            <w:tcW w:w="833" w:type="pct"/>
          </w:tcPr>
          <w:p w14:paraId="41510B62"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650 000</w:t>
            </w:r>
          </w:p>
        </w:tc>
        <w:tc>
          <w:tcPr>
            <w:tcW w:w="833" w:type="pct"/>
          </w:tcPr>
          <w:p w14:paraId="5D2E970D"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975 000</w:t>
            </w:r>
          </w:p>
        </w:tc>
        <w:tc>
          <w:tcPr>
            <w:tcW w:w="831" w:type="pct"/>
          </w:tcPr>
          <w:p w14:paraId="5F65AF81"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1 950 000</w:t>
            </w:r>
          </w:p>
        </w:tc>
      </w:tr>
      <w:tr w:rsidR="00186098" w:rsidRPr="00FE3A13" w14:paraId="7879F610"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6F24559" w14:textId="77777777" w:rsidR="00186098" w:rsidRPr="00FE3A13" w:rsidRDefault="00186098" w:rsidP="00725483">
            <w:pPr>
              <w:pStyle w:val="NIVtableau"/>
              <w:rPr>
                <w:b w:val="0"/>
                <w:bCs w:val="0"/>
                <w:lang w:val="en-US"/>
              </w:rPr>
            </w:pPr>
            <w:r w:rsidRPr="00EE76BA">
              <w:rPr>
                <w:rFonts w:eastAsia="Times New Roman"/>
                <w:b w:val="0"/>
                <w:lang w:val="de-CH"/>
              </w:rPr>
              <w:t>Gemeinden</w:t>
            </w:r>
          </w:p>
        </w:tc>
        <w:tc>
          <w:tcPr>
            <w:tcW w:w="833" w:type="pct"/>
          </w:tcPr>
          <w:p w14:paraId="575B36E8"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400</w:t>
            </w:r>
            <w:r w:rsidRPr="00EE76BA">
              <w:rPr>
                <w:rFonts w:eastAsia="Times New Roman"/>
                <w:color w:val="000000"/>
                <w:lang w:val="de-CH"/>
              </w:rPr>
              <w:t> </w:t>
            </w:r>
            <w:r w:rsidRPr="00EE76BA">
              <w:rPr>
                <w:rFonts w:eastAsia="Times New Roman"/>
                <w:b w:val="0"/>
                <w:color w:val="000000"/>
                <w:lang w:val="de-CH"/>
              </w:rPr>
              <w:t>000</w:t>
            </w:r>
          </w:p>
        </w:tc>
        <w:tc>
          <w:tcPr>
            <w:tcW w:w="833" w:type="pct"/>
          </w:tcPr>
          <w:p w14:paraId="6156385F"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795</w:t>
            </w:r>
            <w:r w:rsidRPr="00EE76BA">
              <w:rPr>
                <w:rFonts w:eastAsia="Times New Roman"/>
                <w:color w:val="000000"/>
                <w:lang w:val="de-CH"/>
              </w:rPr>
              <w:t> </w:t>
            </w:r>
            <w:r w:rsidRPr="00EE76BA">
              <w:rPr>
                <w:rFonts w:eastAsia="Times New Roman"/>
                <w:b w:val="0"/>
                <w:color w:val="000000"/>
                <w:lang w:val="de-CH"/>
              </w:rPr>
              <w:t>000</w:t>
            </w:r>
          </w:p>
        </w:tc>
        <w:tc>
          <w:tcPr>
            <w:tcW w:w="833" w:type="pct"/>
          </w:tcPr>
          <w:p w14:paraId="43BD8966"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1</w:t>
            </w:r>
            <w:r w:rsidRPr="00EE76BA">
              <w:rPr>
                <w:rFonts w:eastAsia="Times New Roman"/>
                <w:color w:val="000000"/>
                <w:lang w:val="de-CH"/>
              </w:rPr>
              <w:t> </w:t>
            </w:r>
            <w:r w:rsidRPr="00EE76BA">
              <w:rPr>
                <w:rFonts w:eastAsia="Times New Roman"/>
                <w:b w:val="0"/>
                <w:color w:val="000000"/>
                <w:lang w:val="de-CH"/>
              </w:rPr>
              <w:t>190</w:t>
            </w:r>
            <w:r w:rsidRPr="00EE76BA">
              <w:rPr>
                <w:rFonts w:eastAsia="Times New Roman"/>
                <w:color w:val="000000"/>
                <w:lang w:val="de-CH"/>
              </w:rPr>
              <w:t> </w:t>
            </w:r>
            <w:r w:rsidRPr="00EE76BA">
              <w:rPr>
                <w:rFonts w:eastAsia="Times New Roman"/>
                <w:b w:val="0"/>
                <w:color w:val="000000"/>
                <w:lang w:val="de-CH"/>
              </w:rPr>
              <w:t>000</w:t>
            </w:r>
          </w:p>
        </w:tc>
        <w:tc>
          <w:tcPr>
            <w:tcW w:w="831" w:type="pct"/>
          </w:tcPr>
          <w:p w14:paraId="594CF5AE"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2</w:t>
            </w:r>
            <w:r w:rsidRPr="00EE76BA">
              <w:rPr>
                <w:rFonts w:eastAsia="Times New Roman"/>
                <w:color w:val="000000"/>
                <w:lang w:val="de-CH"/>
              </w:rPr>
              <w:t> </w:t>
            </w:r>
            <w:r w:rsidRPr="00EE76BA">
              <w:rPr>
                <w:rFonts w:eastAsia="Times New Roman"/>
                <w:b w:val="0"/>
                <w:color w:val="000000"/>
                <w:lang w:val="de-CH"/>
              </w:rPr>
              <w:t>385</w:t>
            </w:r>
            <w:r w:rsidRPr="00EE76BA">
              <w:rPr>
                <w:rFonts w:eastAsia="Times New Roman"/>
                <w:color w:val="000000"/>
                <w:lang w:val="de-CH"/>
              </w:rPr>
              <w:t> </w:t>
            </w:r>
            <w:r w:rsidRPr="00EE76BA">
              <w:rPr>
                <w:rFonts w:eastAsia="Times New Roman"/>
                <w:b w:val="0"/>
                <w:color w:val="000000"/>
                <w:lang w:val="de-CH"/>
              </w:rPr>
              <w:t>000</w:t>
            </w:r>
          </w:p>
        </w:tc>
      </w:tr>
    </w:tbl>
    <w:p w14:paraId="66715074" w14:textId="77777777" w:rsidR="00186098" w:rsidRPr="00FE3A13" w:rsidRDefault="00186098" w:rsidP="00186098">
      <w:pPr>
        <w:pStyle w:val="Corpsdetexte"/>
      </w:pPr>
    </w:p>
    <w:p w14:paraId="24286F7F" w14:textId="77777777" w:rsidR="00186098" w:rsidRPr="00FE3A13" w:rsidRDefault="00186098" w:rsidP="00186098">
      <w:pPr>
        <w:pStyle w:val="Listealphabtique"/>
        <w:numPr>
          <w:ilvl w:val="0"/>
          <w:numId w:val="25"/>
        </w:numPr>
        <w:ind w:left="426" w:hanging="426"/>
        <w:rPr>
          <w:b/>
          <w:bCs/>
        </w:rPr>
      </w:pPr>
      <w:r w:rsidRPr="00EB6310">
        <w:rPr>
          <w:b/>
          <w:bCs/>
          <w:lang w:val="de-CH"/>
        </w:rPr>
        <w:t>Massnahmen</w:t>
      </w:r>
      <w:r>
        <w:rPr>
          <w:b/>
          <w:bCs/>
        </w:rPr>
        <w:t xml:space="preserve"> des PSKF</w:t>
      </w:r>
    </w:p>
    <w:p w14:paraId="3E4A308E" w14:textId="77777777" w:rsidR="00186098" w:rsidRPr="00EE76BA" w:rsidRDefault="00186098" w:rsidP="00186098">
      <w:pPr>
        <w:contextualSpacing/>
        <w:rPr>
          <w:rFonts w:ascii="Times New Roman" w:eastAsia="Times New Roman" w:hAnsi="Times New Roman" w:cs="Times New Roman"/>
          <w:lang w:val="de-CH"/>
        </w:rPr>
      </w:pPr>
      <w:r w:rsidRPr="009C7462">
        <w:rPr>
          <w:lang w:val="de-CH"/>
        </w:rPr>
        <w:t>&gt;</w:t>
      </w:r>
      <w:r w:rsidRPr="009C7462">
        <w:rPr>
          <w:lang w:val="de-CH"/>
        </w:rPr>
        <w:tab/>
      </w:r>
      <w:r w:rsidRPr="00AB777B">
        <w:rPr>
          <w:rFonts w:ascii="Times New Roman" w:eastAsia="Times New Roman" w:hAnsi="Times New Roman" w:cs="Times New Roman"/>
          <w:b/>
          <w:lang w:val="de-CH"/>
        </w:rPr>
        <w:t>Stärkere Berücksichtigung des Vermögens bei der Kostenbeteiligung von im Pflegeheim untergebrachten Personen</w:t>
      </w:r>
      <w:r w:rsidRPr="00EE76BA">
        <w:rPr>
          <w:rFonts w:ascii="Times New Roman" w:eastAsia="Times New Roman" w:hAnsi="Times New Roman" w:cs="Times New Roman"/>
          <w:b/>
          <w:lang w:val="de-CH"/>
        </w:rPr>
        <w:t xml:space="preserve"> </w:t>
      </w:r>
    </w:p>
    <w:p w14:paraId="3F35941F" w14:textId="7DE1F311"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 xml:space="preserve">Massnahme: Senkung des Vermögensfreibetrags von </w:t>
      </w:r>
      <w:r w:rsidRPr="008E7BE6">
        <w:rPr>
          <w:rFonts w:ascii="Times New Roman" w:eastAsia="Times New Roman" w:hAnsi="Times New Roman" w:cs="Times New Roman"/>
          <w:lang w:val="de-CH"/>
        </w:rPr>
        <w:t xml:space="preserve">200 000 </w:t>
      </w:r>
      <w:r w:rsidR="00292920" w:rsidRPr="00A3723C">
        <w:rPr>
          <w:rFonts w:ascii="Times New Roman" w:eastAsia="Times New Roman" w:hAnsi="Times New Roman" w:cs="Times New Roman"/>
          <w:lang w:val="de-CH"/>
        </w:rPr>
        <w:t>Franken</w:t>
      </w:r>
      <w:r w:rsidR="00292920" w:rsidRPr="008E7BE6">
        <w:rPr>
          <w:rFonts w:ascii="Times New Roman" w:eastAsia="Times New Roman" w:hAnsi="Times New Roman" w:cs="Times New Roman"/>
          <w:lang w:val="de-CH"/>
        </w:rPr>
        <w:t xml:space="preserve"> </w:t>
      </w:r>
      <w:r w:rsidRPr="008E7BE6">
        <w:rPr>
          <w:rFonts w:ascii="Times New Roman" w:eastAsia="Times New Roman" w:hAnsi="Times New Roman" w:cs="Times New Roman"/>
          <w:lang w:val="de-CH"/>
        </w:rPr>
        <w:t>für Pflegeheimbewohnende</w:t>
      </w:r>
      <w:r w:rsidRPr="00EE76BA">
        <w:rPr>
          <w:rFonts w:ascii="Times New Roman" w:eastAsia="Times New Roman" w:hAnsi="Times New Roman" w:cs="Times New Roman"/>
          <w:lang w:val="de-CH"/>
        </w:rPr>
        <w:t xml:space="preserve"> analog zu anderen Kantonen. Mit der gewählten Variante würde der Freibetrag für die Subventionierung der Betreuungskosten auf 100 000 Franken gesenkt.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16C2D174"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5804F9E"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267B1886"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5B688207"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53512CF8"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6C370B8B"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2CD1E313"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AEA0FA7"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10676292"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1 125 000</w:t>
            </w:r>
          </w:p>
        </w:tc>
        <w:tc>
          <w:tcPr>
            <w:tcW w:w="833" w:type="pct"/>
          </w:tcPr>
          <w:p w14:paraId="693D39E7"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1 125 000</w:t>
            </w:r>
          </w:p>
        </w:tc>
        <w:tc>
          <w:tcPr>
            <w:tcW w:w="833" w:type="pct"/>
          </w:tcPr>
          <w:p w14:paraId="6CE33BF7"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1 125 000</w:t>
            </w:r>
          </w:p>
        </w:tc>
        <w:tc>
          <w:tcPr>
            <w:tcW w:w="833" w:type="pct"/>
          </w:tcPr>
          <w:p w14:paraId="648065E5"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3 375 000</w:t>
            </w:r>
          </w:p>
        </w:tc>
      </w:tr>
      <w:tr w:rsidR="00186098" w:rsidRPr="00EE76BA" w14:paraId="70DE938B"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B01246D"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45DF18E1"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w:t>
            </w:r>
            <w:r w:rsidRPr="00EE76BA">
              <w:rPr>
                <w:rFonts w:eastAsia="Times New Roman" w:cs="Arial"/>
                <w:color w:val="000000"/>
                <w:sz w:val="18"/>
                <w:lang w:val="de-CH"/>
              </w:rPr>
              <w:t> </w:t>
            </w:r>
            <w:r w:rsidRPr="00EE76BA">
              <w:rPr>
                <w:rFonts w:eastAsia="Times New Roman" w:cs="Arial"/>
                <w:b w:val="0"/>
                <w:color w:val="000000"/>
                <w:sz w:val="18"/>
                <w:lang w:val="de-CH"/>
              </w:rPr>
              <w:t>375</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1ACA3AD2"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w:t>
            </w:r>
            <w:r w:rsidRPr="00EE76BA">
              <w:rPr>
                <w:rFonts w:eastAsia="Times New Roman" w:cs="Arial"/>
                <w:color w:val="000000"/>
                <w:sz w:val="18"/>
                <w:lang w:val="de-CH"/>
              </w:rPr>
              <w:t> </w:t>
            </w:r>
            <w:r w:rsidRPr="00EE76BA">
              <w:rPr>
                <w:rFonts w:eastAsia="Times New Roman" w:cs="Arial"/>
                <w:b w:val="0"/>
                <w:color w:val="000000"/>
                <w:sz w:val="18"/>
                <w:lang w:val="de-CH"/>
              </w:rPr>
              <w:t>375</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5B3F3DEA"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1</w:t>
            </w:r>
            <w:r w:rsidRPr="00EE76BA">
              <w:rPr>
                <w:rFonts w:eastAsia="Times New Roman" w:cs="Arial"/>
                <w:color w:val="000000"/>
                <w:sz w:val="18"/>
                <w:lang w:val="de-CH"/>
              </w:rPr>
              <w:t> </w:t>
            </w:r>
            <w:r w:rsidRPr="00EE76BA">
              <w:rPr>
                <w:rFonts w:eastAsia="Times New Roman" w:cs="Arial"/>
                <w:b w:val="0"/>
                <w:color w:val="000000"/>
                <w:sz w:val="18"/>
                <w:lang w:val="de-CH"/>
              </w:rPr>
              <w:t>375</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2437199E"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125</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25CF30D6"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EE76BA">
        <w:rPr>
          <w:rFonts w:ascii="Times New Roman" w:eastAsia="Times New Roman" w:hAnsi="Times New Roman" w:cs="Times New Roman"/>
          <w:b/>
          <w:lang w:val="de-CH"/>
        </w:rPr>
        <w:t>Höhere Einkommensanrechnung bei der Berechnung von Stipendien und Anrechnung des Einkommens des anderen Elternteils bei Konkubinat</w:t>
      </w:r>
    </w:p>
    <w:p w14:paraId="1891469B" w14:textId="48091B82"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 xml:space="preserve">Massnahme: Höhere Einkommensanrechnung bei der Berechnung von Stipendien. Derzeit werden die Einkünfte anderer Personen, die gesetzlich zum Unterhalt der Person in Ausbildung verpflichtet sind, die Einkünfte des Ehepartners und die an der Quelle besteuerten Einkünfte der Eltern nur zu 65 % berücksichtigt Dieser Satz soll auf 70 % erhöht </w:t>
      </w:r>
      <w:r w:rsidRPr="008E7BE6">
        <w:rPr>
          <w:rFonts w:ascii="Times New Roman" w:eastAsia="Times New Roman" w:hAnsi="Times New Roman" w:cs="Times New Roman"/>
          <w:lang w:val="de-CH"/>
        </w:rPr>
        <w:t xml:space="preserve">werden. </w:t>
      </w:r>
      <w:r w:rsidRPr="00A3723C">
        <w:rPr>
          <w:rFonts w:ascii="Times New Roman" w:eastAsia="Times New Roman" w:hAnsi="Times New Roman" w:cs="Times New Roman"/>
          <w:lang w:val="de-CH"/>
        </w:rPr>
        <w:t>Hat die Person</w:t>
      </w:r>
      <w:r w:rsidRPr="008E7BE6">
        <w:rPr>
          <w:rFonts w:ascii="Times New Roman" w:eastAsia="Times New Roman" w:hAnsi="Times New Roman" w:cs="Times New Roman"/>
          <w:lang w:val="de-CH"/>
        </w:rPr>
        <w:t xml:space="preserve"> in Ausbildung</w:t>
      </w:r>
      <w:r w:rsidRPr="00EE76BA">
        <w:rPr>
          <w:rFonts w:ascii="Times New Roman" w:eastAsia="Times New Roman" w:hAnsi="Times New Roman" w:cs="Times New Roman"/>
          <w:lang w:val="de-CH"/>
        </w:rPr>
        <w:t xml:space="preserve"> ausserdem mindestens ein Kind, würde das Bruttoeinkommen des anderen Elternteils bei gemeinsamem Haushalt ebenfalls zu 70 % eingerechnet. Lediglich ein Teil dieser Massnahme erfordert eine gesetzliche Anpassung. Damit die Umsetzung zum Schuljahresbeginn 2025/2026 möglich ist, wird diese Anpassung im Rahmen eines umfassenderen Projekts zur Änderung des Gesetzes über die Stipendien und Studiendarlehen </w:t>
      </w:r>
      <w:r w:rsidRPr="00AB777B">
        <w:rPr>
          <w:rFonts w:ascii="Times New Roman" w:eastAsia="Times New Roman" w:hAnsi="Times New Roman" w:cs="Times New Roman"/>
          <w:lang w:val="de-CH"/>
        </w:rPr>
        <w:t>(StiG)</w:t>
      </w:r>
      <w:r w:rsidRPr="00EE76BA">
        <w:rPr>
          <w:rFonts w:ascii="Times New Roman" w:eastAsia="Times New Roman" w:hAnsi="Times New Roman" w:cs="Times New Roman"/>
          <w:lang w:val="de-CH"/>
        </w:rPr>
        <w:t xml:space="preserve"> vorgeschlagen, das dem Grossen Rat in seiner Junisession vorgelegt werden soll.</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5E24DE8C"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84E5904"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10B9A47B"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3CE7B4BC"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200D7707"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3F9BFC25"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699D71A9"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77A8929"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42ECBDBD"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225 000</w:t>
            </w:r>
          </w:p>
        </w:tc>
        <w:tc>
          <w:tcPr>
            <w:tcW w:w="833" w:type="pct"/>
          </w:tcPr>
          <w:p w14:paraId="0F37DF51" w14:textId="0906923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22</w:t>
            </w:r>
            <w:r w:rsidR="00EE1562">
              <w:rPr>
                <w:rFonts w:eastAsia="Times New Roman" w:cs="Arial"/>
                <w:color w:val="000000"/>
                <w:sz w:val="18"/>
                <w:lang w:val="de-CH"/>
              </w:rPr>
              <w:t>5</w:t>
            </w:r>
            <w:r w:rsidRPr="00EE76BA">
              <w:rPr>
                <w:rFonts w:eastAsia="Times New Roman" w:cs="Arial"/>
                <w:color w:val="000000"/>
                <w:sz w:val="18"/>
                <w:lang w:val="de-CH"/>
              </w:rPr>
              <w:t> 000</w:t>
            </w:r>
          </w:p>
        </w:tc>
        <w:tc>
          <w:tcPr>
            <w:tcW w:w="833" w:type="pct"/>
          </w:tcPr>
          <w:p w14:paraId="6D7EF03A"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225 000</w:t>
            </w:r>
          </w:p>
        </w:tc>
        <w:tc>
          <w:tcPr>
            <w:tcW w:w="833" w:type="pct"/>
          </w:tcPr>
          <w:p w14:paraId="39D2DE0D"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675 000</w:t>
            </w:r>
          </w:p>
        </w:tc>
      </w:tr>
      <w:tr w:rsidR="00186098" w:rsidRPr="00EE76BA" w14:paraId="69221666"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81E5189"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1E2AD940"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6CDD35FA"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7D6CADD4"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4D55A184"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r>
    </w:tbl>
    <w:p w14:paraId="5BC231E7" w14:textId="50BBB6C2" w:rsidR="00186098" w:rsidRPr="008E7BE6" w:rsidRDefault="00186098" w:rsidP="00186098">
      <w:pPr>
        <w:rPr>
          <w:rFonts w:ascii="Times New Roman" w:eastAsia="Times New Roman" w:hAnsi="Times New Roman" w:cs="Times New Roman"/>
          <w:b/>
          <w:bCs/>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AB777B">
        <w:rPr>
          <w:rFonts w:ascii="Times New Roman" w:eastAsia="Times New Roman" w:hAnsi="Times New Roman" w:cs="Times New Roman"/>
          <w:b/>
          <w:lang w:val="de-CH"/>
        </w:rPr>
        <w:t xml:space="preserve">Änderung und Vereinfachung der </w:t>
      </w:r>
      <w:r w:rsidRPr="008E7BE6">
        <w:rPr>
          <w:rFonts w:ascii="Times New Roman" w:eastAsia="Times New Roman" w:hAnsi="Times New Roman" w:cs="Times New Roman"/>
          <w:b/>
          <w:lang w:val="de-CH"/>
        </w:rPr>
        <w:t xml:space="preserve">Subventionsaufteilung </w:t>
      </w:r>
      <w:r w:rsidRPr="00A3723C">
        <w:rPr>
          <w:rFonts w:ascii="Times New Roman" w:eastAsia="Times New Roman" w:hAnsi="Times New Roman" w:cs="Times New Roman"/>
          <w:b/>
          <w:lang w:val="de-CH"/>
        </w:rPr>
        <w:t>i</w:t>
      </w:r>
      <w:r w:rsidR="00992017" w:rsidRPr="00A3723C">
        <w:rPr>
          <w:rFonts w:ascii="Times New Roman" w:eastAsia="Times New Roman" w:hAnsi="Times New Roman" w:cs="Times New Roman"/>
          <w:b/>
          <w:lang w:val="de-CH"/>
        </w:rPr>
        <w:t>m</w:t>
      </w:r>
      <w:r w:rsidRPr="008E7BE6">
        <w:rPr>
          <w:rFonts w:ascii="Times New Roman" w:eastAsia="Times New Roman" w:hAnsi="Times New Roman" w:cs="Times New Roman"/>
          <w:b/>
          <w:lang w:val="de-CH"/>
        </w:rPr>
        <w:t xml:space="preserve"> Bereich der Sozialhilfe</w:t>
      </w:r>
    </w:p>
    <w:p w14:paraId="44014582" w14:textId="47746B91" w:rsidR="00186098" w:rsidRPr="00EE76BA" w:rsidRDefault="00186098" w:rsidP="00186098">
      <w:pPr>
        <w:rPr>
          <w:rFonts w:ascii="Times New Roman" w:eastAsia="Times New Roman" w:hAnsi="Times New Roman" w:cs="Times New Roman"/>
          <w:lang w:val="de-CH"/>
        </w:rPr>
      </w:pPr>
      <w:r w:rsidRPr="008E7BE6">
        <w:rPr>
          <w:rFonts w:ascii="Times New Roman" w:eastAsia="Times New Roman" w:hAnsi="Times New Roman" w:cs="Times New Roman"/>
          <w:lang w:val="de-CH"/>
        </w:rPr>
        <w:lastRenderedPageBreak/>
        <w:t xml:space="preserve">Massnahme: Änderung der SHG-Kostenaufteilung zwischen Staat und Gemeinden. Gegenwärtig </w:t>
      </w:r>
      <w:r w:rsidRPr="00A3723C">
        <w:rPr>
          <w:rFonts w:ascii="Times New Roman" w:eastAsia="Times New Roman" w:hAnsi="Times New Roman" w:cs="Times New Roman"/>
          <w:lang w:val="de-CH"/>
        </w:rPr>
        <w:t>übern</w:t>
      </w:r>
      <w:r w:rsidR="00992017" w:rsidRPr="00A3723C">
        <w:rPr>
          <w:rFonts w:ascii="Times New Roman" w:eastAsia="Times New Roman" w:hAnsi="Times New Roman" w:cs="Times New Roman"/>
          <w:lang w:val="de-CH"/>
        </w:rPr>
        <w:t>ehmen</w:t>
      </w:r>
      <w:r w:rsidRPr="008E7BE6">
        <w:rPr>
          <w:rFonts w:ascii="Times New Roman" w:eastAsia="Times New Roman" w:hAnsi="Times New Roman" w:cs="Times New Roman"/>
          <w:lang w:val="de-CH"/>
        </w:rPr>
        <w:t xml:space="preserve"> der</w:t>
      </w:r>
      <w:r w:rsidRPr="00EE76BA">
        <w:rPr>
          <w:rFonts w:ascii="Times New Roman" w:eastAsia="Times New Roman" w:hAnsi="Times New Roman" w:cs="Times New Roman"/>
          <w:lang w:val="de-CH"/>
        </w:rPr>
        <w:t xml:space="preserve"> Staat 40 % der Kosten und die Gemeinden 60 %, nach der neuen Aufteilung wären es 20 % für den Staat und 80 % für die Gemeinden. Im Gegenzug würde das Subventionierungssystem vereinfacht. Der Staat würde die OHG- und IHBUG-Kosten zu 100 % übernehmen, was der Logik der Zuständigkeiten entspricht.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7AB630EF"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FD456DA"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1014E61B"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0CCC457F"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1392C8A5"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01281B9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37BDBE13"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A8047EC"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6653FAEE"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3 932 000</w:t>
            </w:r>
          </w:p>
        </w:tc>
        <w:tc>
          <w:tcPr>
            <w:tcW w:w="833" w:type="pct"/>
          </w:tcPr>
          <w:p w14:paraId="3ECE6044"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4 091 500</w:t>
            </w:r>
          </w:p>
        </w:tc>
        <w:tc>
          <w:tcPr>
            <w:tcW w:w="833" w:type="pct"/>
          </w:tcPr>
          <w:p w14:paraId="0E4FE873"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4 127 500</w:t>
            </w:r>
          </w:p>
        </w:tc>
        <w:tc>
          <w:tcPr>
            <w:tcW w:w="833" w:type="pct"/>
          </w:tcPr>
          <w:p w14:paraId="2A952BCA"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12 151 000</w:t>
            </w:r>
          </w:p>
        </w:tc>
      </w:tr>
      <w:tr w:rsidR="00186098" w:rsidRPr="00EE76BA" w14:paraId="115C6B82"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531A2A4"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5C3928D8"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3</w:t>
            </w:r>
            <w:r w:rsidRPr="00EE76BA">
              <w:rPr>
                <w:rFonts w:eastAsia="Times New Roman" w:cs="Arial"/>
                <w:color w:val="000000"/>
                <w:sz w:val="18"/>
                <w:lang w:val="de-CH"/>
              </w:rPr>
              <w:t> </w:t>
            </w:r>
            <w:r w:rsidRPr="00EE76BA">
              <w:rPr>
                <w:rFonts w:eastAsia="Times New Roman" w:cs="Arial"/>
                <w:b w:val="0"/>
                <w:color w:val="000000"/>
                <w:sz w:val="18"/>
                <w:lang w:val="de-CH"/>
              </w:rPr>
              <w:t>932</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17E0DA50"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091</w:t>
            </w:r>
            <w:r w:rsidRPr="00EE76BA">
              <w:rPr>
                <w:rFonts w:eastAsia="Times New Roman" w:cs="Arial"/>
                <w:color w:val="000000"/>
                <w:sz w:val="18"/>
                <w:lang w:val="de-CH"/>
              </w:rPr>
              <w:t> </w:t>
            </w:r>
            <w:r w:rsidRPr="00EE76BA">
              <w:rPr>
                <w:rFonts w:eastAsia="Times New Roman" w:cs="Arial"/>
                <w:b w:val="0"/>
                <w:color w:val="000000"/>
                <w:sz w:val="18"/>
                <w:lang w:val="de-CH"/>
              </w:rPr>
              <w:t>500</w:t>
            </w:r>
          </w:p>
        </w:tc>
        <w:tc>
          <w:tcPr>
            <w:tcW w:w="833" w:type="pct"/>
          </w:tcPr>
          <w:p w14:paraId="2823DB7F"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4</w:t>
            </w:r>
            <w:r w:rsidRPr="00EE76BA">
              <w:rPr>
                <w:rFonts w:eastAsia="Times New Roman" w:cs="Arial"/>
                <w:color w:val="000000"/>
                <w:sz w:val="18"/>
                <w:lang w:val="de-CH"/>
              </w:rPr>
              <w:t> </w:t>
            </w:r>
            <w:r w:rsidRPr="00EE76BA">
              <w:rPr>
                <w:rFonts w:eastAsia="Times New Roman" w:cs="Arial"/>
                <w:b w:val="0"/>
                <w:color w:val="000000"/>
                <w:sz w:val="18"/>
                <w:lang w:val="de-CH"/>
              </w:rPr>
              <w:t>127</w:t>
            </w:r>
            <w:r w:rsidRPr="00EE76BA">
              <w:rPr>
                <w:rFonts w:eastAsia="Times New Roman" w:cs="Arial"/>
                <w:color w:val="000000"/>
                <w:sz w:val="18"/>
                <w:lang w:val="de-CH"/>
              </w:rPr>
              <w:t> </w:t>
            </w:r>
            <w:r w:rsidRPr="00EE76BA">
              <w:rPr>
                <w:rFonts w:eastAsia="Times New Roman" w:cs="Arial"/>
                <w:b w:val="0"/>
                <w:color w:val="000000"/>
                <w:sz w:val="18"/>
                <w:lang w:val="de-CH"/>
              </w:rPr>
              <w:t>500</w:t>
            </w:r>
          </w:p>
        </w:tc>
        <w:tc>
          <w:tcPr>
            <w:tcW w:w="833" w:type="pct"/>
          </w:tcPr>
          <w:p w14:paraId="02A865F7"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12</w:t>
            </w:r>
            <w:r w:rsidRPr="00EE76BA">
              <w:rPr>
                <w:rFonts w:eastAsia="Times New Roman" w:cs="Arial"/>
                <w:color w:val="000000"/>
                <w:sz w:val="18"/>
                <w:lang w:val="de-CH"/>
              </w:rPr>
              <w:t> </w:t>
            </w:r>
            <w:r w:rsidRPr="00EE76BA">
              <w:rPr>
                <w:rFonts w:eastAsia="Times New Roman" w:cs="Arial"/>
                <w:b w:val="0"/>
                <w:color w:val="000000"/>
                <w:sz w:val="18"/>
                <w:lang w:val="de-CH"/>
              </w:rPr>
              <w:t>151</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2195053D" w14:textId="77777777" w:rsidR="00186098" w:rsidRPr="00EE76BA" w:rsidRDefault="00186098" w:rsidP="00186098">
      <w:pPr>
        <w:rPr>
          <w:rFonts w:ascii="Times New Roman" w:eastAsia="Times New Roman" w:hAnsi="Times New Roman" w:cs="Times New Roman"/>
          <w:b/>
          <w:bCs/>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AB777B">
        <w:rPr>
          <w:rFonts w:ascii="Times New Roman" w:eastAsia="Times New Roman" w:hAnsi="Times New Roman" w:cs="Times New Roman"/>
          <w:b/>
          <w:lang w:val="de-CH"/>
        </w:rPr>
        <w:t>Begrenzung des finanziellen Beitrags für familienergänzende Betreuungsplätze</w:t>
      </w:r>
    </w:p>
    <w:p w14:paraId="6CF6C9AD" w14:textId="77777777" w:rsidR="00186098"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Massnahme: Vermehrte Pauschalsubventionierung statt Bindung an die Kosten der subventionierten Leistung. Nach der geltenden Gesetzesgrundlage leistet der Staat einen finanziellen Beitrag an vorschulische Betreuungseinrichtungen in Form einer Pauschale nach tatsächlich geleisteten Betreuungsstunden und Art der Betreuungseinrichtung. Mit seinem Beitrag übernimmt der Staat 10 % der durchschnittlichen Kosten der subventionierten Einrichtungen. Es soll vermehrt pauschal subventioniert werden und nicht mehr an die Kosten der subventionierten Leistung gebunden.</w:t>
      </w:r>
    </w:p>
    <w:p w14:paraId="52A3EDDA" w14:textId="77777777" w:rsidR="00186098" w:rsidRPr="00EE76BA" w:rsidRDefault="00186098" w:rsidP="00186098">
      <w:pPr>
        <w:rPr>
          <w:rFonts w:ascii="Times New Roman" w:eastAsia="Times New Roman" w:hAnsi="Times New Roman" w:cs="Times New Roman"/>
          <w:lang w:val="de-CH"/>
        </w:rPr>
      </w:pP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5FFC8011"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5E8B5B5"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7B8FE812"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5AC6FC8A"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1ED319AB"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1" w:type="pct"/>
          </w:tcPr>
          <w:p w14:paraId="238C7F4D"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44886D28"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4C9F6DF"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0310BC08"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700 000</w:t>
            </w:r>
          </w:p>
        </w:tc>
        <w:tc>
          <w:tcPr>
            <w:tcW w:w="833" w:type="pct"/>
          </w:tcPr>
          <w:p w14:paraId="340A2B7D"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750 000</w:t>
            </w:r>
          </w:p>
        </w:tc>
        <w:tc>
          <w:tcPr>
            <w:tcW w:w="833" w:type="pct"/>
          </w:tcPr>
          <w:p w14:paraId="0533372D"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800 000</w:t>
            </w:r>
          </w:p>
        </w:tc>
        <w:tc>
          <w:tcPr>
            <w:tcW w:w="831" w:type="pct"/>
          </w:tcPr>
          <w:p w14:paraId="18D87EE2"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2 250 000</w:t>
            </w:r>
          </w:p>
        </w:tc>
      </w:tr>
      <w:tr w:rsidR="00186098" w:rsidRPr="00EE76BA" w14:paraId="0B880230"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0D07531"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t>Gemeinden</w:t>
            </w:r>
          </w:p>
        </w:tc>
        <w:tc>
          <w:tcPr>
            <w:tcW w:w="833" w:type="pct"/>
          </w:tcPr>
          <w:p w14:paraId="182CB497"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0618CBE4"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3" w:type="pct"/>
          </w:tcPr>
          <w:p w14:paraId="0052A4CD"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c>
          <w:tcPr>
            <w:tcW w:w="831" w:type="pct"/>
          </w:tcPr>
          <w:p w14:paraId="7D88FE12"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EE76BA">
              <w:rPr>
                <w:rFonts w:eastAsia="Times New Roman" w:cs="Arial"/>
                <w:b w:val="0"/>
                <w:color w:val="000000"/>
                <w:sz w:val="18"/>
                <w:lang w:val="de-CH"/>
              </w:rPr>
              <w:t>0</w:t>
            </w:r>
          </w:p>
        </w:tc>
      </w:tr>
    </w:tbl>
    <w:p w14:paraId="7BC8A0DC" w14:textId="77777777" w:rsidR="00186098" w:rsidRPr="00EE76BA" w:rsidRDefault="00186098" w:rsidP="00186098">
      <w:pPr>
        <w:rPr>
          <w:rFonts w:ascii="Times New Roman" w:eastAsia="Times New Roman" w:hAnsi="Times New Roman" w:cs="Times New Roman"/>
          <w:b/>
          <w:bCs/>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AB777B">
        <w:rPr>
          <w:rFonts w:ascii="Times New Roman" w:eastAsia="Times New Roman" w:hAnsi="Times New Roman" w:cs="Times New Roman"/>
          <w:b/>
          <w:lang w:val="de-CH"/>
        </w:rPr>
        <w:t>Neubeurteilung der Beiträge an Schulbauten</w:t>
      </w:r>
    </w:p>
    <w:p w14:paraId="5AD00551" w14:textId="569EFCF5" w:rsidR="00186098" w:rsidRPr="00783FD2" w:rsidRDefault="00186098" w:rsidP="00186098">
      <w:pPr>
        <w:rPr>
          <w:rFonts w:ascii="Times New Roman" w:eastAsia="Times New Roman" w:hAnsi="Times New Roman" w:cs="Times New Roman"/>
          <w:lang w:val="de-CH"/>
        </w:rPr>
      </w:pPr>
      <w:r w:rsidRPr="00AB777B">
        <w:rPr>
          <w:rFonts w:ascii="Times New Roman" w:eastAsia="Times New Roman" w:hAnsi="Times New Roman" w:cs="Times New Roman"/>
          <w:lang w:val="de-CH"/>
        </w:rPr>
        <w:t xml:space="preserve">Der Massnahme zufolge soll auf die Subventionierung des beitragsberechtigten Betrags für Schulbauten für Primarschulen und Kindergärten verzichtet werden. Dieser Wegfall betrifft auch die ausserschulischen Betreuungseinrichtungen, die über denselben Kanal finanziert werden. Die </w:t>
      </w:r>
      <w:r w:rsidRPr="008E7BE6">
        <w:rPr>
          <w:rFonts w:ascii="Times New Roman" w:eastAsia="Times New Roman" w:hAnsi="Times New Roman" w:cs="Times New Roman"/>
          <w:lang w:val="de-CH"/>
        </w:rPr>
        <w:t xml:space="preserve">effektiven </w:t>
      </w:r>
      <w:r w:rsidRPr="00A3723C">
        <w:rPr>
          <w:rFonts w:ascii="Times New Roman" w:eastAsia="Times New Roman" w:hAnsi="Times New Roman" w:cs="Times New Roman"/>
          <w:lang w:val="de-CH"/>
        </w:rPr>
        <w:t>Subventionssätze sind</w:t>
      </w:r>
      <w:r w:rsidRPr="008E7BE6">
        <w:rPr>
          <w:rFonts w:ascii="Times New Roman" w:eastAsia="Times New Roman" w:hAnsi="Times New Roman" w:cs="Times New Roman"/>
          <w:lang w:val="de-CH"/>
        </w:rPr>
        <w:t xml:space="preserve"> hier</w:t>
      </w:r>
      <w:r w:rsidRPr="00AB777B">
        <w:rPr>
          <w:rFonts w:ascii="Times New Roman" w:eastAsia="Times New Roman" w:hAnsi="Times New Roman" w:cs="Times New Roman"/>
          <w:lang w:val="de-CH"/>
        </w:rPr>
        <w:t xml:space="preserve"> relativ gering. An der Subventionierung für Orientierungsschulbauten wird festgehalten. </w:t>
      </w:r>
      <w:r w:rsidRPr="00EB6310">
        <w:rPr>
          <w:rFonts w:ascii="Times New Roman" w:eastAsia="Times New Roman" w:hAnsi="Times New Roman" w:cs="Times New Roman"/>
          <w:lang w:val="de-CH"/>
        </w:rPr>
        <w:t xml:space="preserve">Diese Massnahme </w:t>
      </w:r>
      <w:r>
        <w:rPr>
          <w:rFonts w:ascii="Times New Roman" w:eastAsia="Times New Roman" w:hAnsi="Times New Roman" w:cs="Times New Roman"/>
          <w:lang w:val="de-CH"/>
        </w:rPr>
        <w:t>soll</w:t>
      </w:r>
      <w:r w:rsidRPr="00EB6310">
        <w:rPr>
          <w:rFonts w:ascii="Times New Roman" w:eastAsia="Times New Roman" w:hAnsi="Times New Roman" w:cs="Times New Roman"/>
          <w:lang w:val="de-CH"/>
        </w:rPr>
        <w:t xml:space="preserve"> die Anwendung der Normen im Bereich de</w:t>
      </w:r>
      <w:r>
        <w:rPr>
          <w:rFonts w:ascii="Times New Roman" w:eastAsia="Times New Roman" w:hAnsi="Times New Roman" w:cs="Times New Roman"/>
          <w:lang w:val="de-CH"/>
        </w:rPr>
        <w:t>r</w:t>
      </w:r>
      <w:r w:rsidRPr="00EB6310">
        <w:rPr>
          <w:rFonts w:ascii="Times New Roman" w:eastAsia="Times New Roman" w:hAnsi="Times New Roman" w:cs="Times New Roman"/>
          <w:lang w:val="de-CH"/>
        </w:rPr>
        <w:t xml:space="preserve"> Schulbau</w:t>
      </w:r>
      <w:r>
        <w:rPr>
          <w:rFonts w:ascii="Times New Roman" w:eastAsia="Times New Roman" w:hAnsi="Times New Roman" w:cs="Times New Roman"/>
          <w:lang w:val="de-CH"/>
        </w:rPr>
        <w:t>ten</w:t>
      </w:r>
      <w:r w:rsidRPr="00EB6310">
        <w:rPr>
          <w:rFonts w:ascii="Times New Roman" w:eastAsia="Times New Roman" w:hAnsi="Times New Roman" w:cs="Times New Roman"/>
          <w:lang w:val="de-CH"/>
        </w:rPr>
        <w:t xml:space="preserve"> vereinfachen</w:t>
      </w:r>
      <w:r w:rsidRPr="00783FD2">
        <w:rPr>
          <w:rFonts w:ascii="Times New Roman" w:eastAsia="Times New Roman" w:hAnsi="Times New Roman" w:cs="Times New Roman"/>
          <w:lang w:val="de-CH"/>
        </w:rPr>
        <w:t xml:space="preserve">. </w:t>
      </w:r>
      <w:r w:rsidRPr="00EB6310">
        <w:rPr>
          <w:rFonts w:ascii="Times New Roman" w:eastAsia="Times New Roman" w:hAnsi="Times New Roman" w:cs="Times New Roman"/>
          <w:lang w:val="de-CH"/>
        </w:rPr>
        <w:t>Die Einsparungen durch diese Massnahme werden</w:t>
      </w:r>
      <w:r w:rsidR="00EF380A">
        <w:rPr>
          <w:rFonts w:ascii="Times New Roman" w:eastAsia="Times New Roman" w:hAnsi="Times New Roman" w:cs="Times New Roman"/>
          <w:lang w:val="de-CH"/>
        </w:rPr>
        <w:t xml:space="preserve"> </w:t>
      </w:r>
      <w:r w:rsidRPr="00EB6310">
        <w:rPr>
          <w:rFonts w:ascii="Times New Roman" w:eastAsia="Times New Roman" w:hAnsi="Times New Roman" w:cs="Times New Roman"/>
          <w:lang w:val="de-CH"/>
        </w:rPr>
        <w:t xml:space="preserve">auf </w:t>
      </w:r>
      <w:r w:rsidR="00EF380A">
        <w:rPr>
          <w:rFonts w:ascii="Times New Roman" w:eastAsia="Times New Roman" w:hAnsi="Times New Roman" w:cs="Times New Roman"/>
          <w:lang w:val="de-CH"/>
        </w:rPr>
        <w:t xml:space="preserve">letztlich </w:t>
      </w:r>
      <w:r w:rsidRPr="00EB6310">
        <w:rPr>
          <w:rFonts w:ascii="Times New Roman" w:eastAsia="Times New Roman" w:hAnsi="Times New Roman" w:cs="Times New Roman"/>
          <w:lang w:val="de-CH"/>
        </w:rPr>
        <w:t>rund 5 Millionen Franken pro Jahr geschätzt. Allerdings wird die Wirkung nicht sofort eintreten</w:t>
      </w:r>
      <w:r w:rsidRPr="00783FD2">
        <w:rPr>
          <w:rFonts w:ascii="Times New Roman" w:eastAsia="Times New Roman" w:hAnsi="Times New Roman" w:cs="Times New Roman"/>
          <w:lang w:val="de-CH"/>
        </w:rPr>
        <w:t xml:space="preserve">. </w:t>
      </w:r>
      <w:r w:rsidRPr="00EB6310">
        <w:rPr>
          <w:rFonts w:ascii="Times New Roman" w:eastAsia="Times New Roman" w:hAnsi="Times New Roman" w:cs="Times New Roman"/>
          <w:lang w:val="de-CH"/>
        </w:rPr>
        <w:t>So unterstehen Projekte, deren Raumprogramm zum Zeitpunkt des Inkrafttretens der Gesetzesänderung Gegenstand einer Genehmigung sind, weiterhin dem alten Recht und können somit noch subventioniert werden. Die finanziellen Auswirkungen dieser Massnahme werden daher schrittweise und langfristig spürbar werden</w:t>
      </w:r>
      <w:r w:rsidRPr="00783FD2">
        <w:rPr>
          <w:rFonts w:ascii="Times New Roman" w:eastAsia="Times New Roman" w:hAnsi="Times New Roman" w:cs="Times New Roman"/>
          <w:lang w:val="de-CH"/>
        </w:rPr>
        <w: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7F9F9D01" w14:textId="77777777" w:rsidTr="00992CA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968D5C1"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45DD4B7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55A4117B"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123F76F3"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1" w:type="pct"/>
          </w:tcPr>
          <w:p w14:paraId="27C304E5"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992CA5" w:rsidRPr="00EE76BA" w14:paraId="5E38A339" w14:textId="77777777" w:rsidTr="00992CA5">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9572B12" w14:textId="77777777" w:rsidR="00992CA5" w:rsidRPr="00EE76BA" w:rsidRDefault="00992CA5" w:rsidP="00992CA5">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101C272F" w14:textId="597FE3AD" w:rsidR="00992CA5" w:rsidRPr="00EB7308" w:rsidRDefault="00992CA5" w:rsidP="00992CA5">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20"/>
                <w:lang w:val="de-CH"/>
              </w:rPr>
            </w:pPr>
            <w:r w:rsidRPr="00EB7308">
              <w:rPr>
                <w:color w:val="auto"/>
              </w:rPr>
              <w:t>0</w:t>
            </w:r>
          </w:p>
        </w:tc>
        <w:tc>
          <w:tcPr>
            <w:tcW w:w="833" w:type="pct"/>
          </w:tcPr>
          <w:p w14:paraId="23180128" w14:textId="10AEF30D" w:rsidR="00992CA5" w:rsidRPr="00EB7308" w:rsidRDefault="00992CA5" w:rsidP="00992CA5">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20"/>
                <w:lang w:val="de-CH"/>
              </w:rPr>
            </w:pPr>
            <w:r w:rsidRPr="00EB7308">
              <w:rPr>
                <w:color w:val="auto"/>
              </w:rPr>
              <w:t>200 000</w:t>
            </w:r>
          </w:p>
        </w:tc>
        <w:tc>
          <w:tcPr>
            <w:tcW w:w="833" w:type="pct"/>
          </w:tcPr>
          <w:p w14:paraId="6AF10F28" w14:textId="706A194F" w:rsidR="00992CA5" w:rsidRPr="00EB7308" w:rsidRDefault="00992CA5" w:rsidP="00992CA5">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20"/>
                <w:lang w:val="de-CH"/>
              </w:rPr>
            </w:pPr>
            <w:r w:rsidRPr="00EB7308">
              <w:rPr>
                <w:color w:val="auto"/>
              </w:rPr>
              <w:t>400 000</w:t>
            </w:r>
          </w:p>
        </w:tc>
        <w:tc>
          <w:tcPr>
            <w:tcW w:w="831" w:type="pct"/>
          </w:tcPr>
          <w:p w14:paraId="3CDF5124" w14:textId="67156D14" w:rsidR="00992CA5" w:rsidRPr="00EB7308" w:rsidRDefault="00992CA5" w:rsidP="00992CA5">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20"/>
                <w:lang w:val="de-CH"/>
              </w:rPr>
            </w:pPr>
            <w:r w:rsidRPr="00EB7308">
              <w:rPr>
                <w:color w:val="auto"/>
              </w:rPr>
              <w:t>600 000</w:t>
            </w:r>
          </w:p>
        </w:tc>
      </w:tr>
      <w:tr w:rsidR="00992CA5" w:rsidRPr="00EE76BA" w14:paraId="3ABAB047" w14:textId="77777777" w:rsidTr="00992CA5">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DDAB70C" w14:textId="77777777" w:rsidR="00992CA5" w:rsidRPr="00EE76BA" w:rsidRDefault="00992CA5" w:rsidP="00992CA5">
            <w:pPr>
              <w:spacing w:after="0"/>
              <w:rPr>
                <w:rFonts w:eastAsia="Times New Roman" w:cs="Arial"/>
                <w:b w:val="0"/>
                <w:bCs/>
                <w:sz w:val="18"/>
                <w:szCs w:val="20"/>
                <w:lang w:val="de-CH"/>
              </w:rPr>
            </w:pPr>
            <w:r w:rsidRPr="00EE76BA">
              <w:rPr>
                <w:rFonts w:eastAsia="Times New Roman" w:cs="Arial"/>
                <w:b w:val="0"/>
                <w:bCs/>
                <w:sz w:val="18"/>
                <w:lang w:val="de-CH"/>
              </w:rPr>
              <w:t>Gemeinden</w:t>
            </w:r>
          </w:p>
        </w:tc>
        <w:tc>
          <w:tcPr>
            <w:tcW w:w="833" w:type="pct"/>
          </w:tcPr>
          <w:p w14:paraId="0AAD0C12" w14:textId="5C33C280" w:rsidR="00992CA5" w:rsidRPr="00A3723C" w:rsidRDefault="00992CA5" w:rsidP="00992CA5">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sidRPr="00A3723C">
              <w:rPr>
                <w:b w:val="0"/>
                <w:color w:val="auto"/>
              </w:rPr>
              <w:t>0</w:t>
            </w:r>
          </w:p>
        </w:tc>
        <w:tc>
          <w:tcPr>
            <w:tcW w:w="833" w:type="pct"/>
          </w:tcPr>
          <w:p w14:paraId="2BB4D7AC" w14:textId="7F815269" w:rsidR="00992CA5" w:rsidRPr="00A3723C" w:rsidRDefault="00992CA5" w:rsidP="00992CA5">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sidRPr="00A3723C">
              <w:rPr>
                <w:rFonts w:eastAsia="Times New Roman" w:cs="Arial"/>
                <w:b w:val="0"/>
                <w:color w:val="auto"/>
                <w:sz w:val="18"/>
                <w:lang w:val="de-CH"/>
              </w:rPr>
              <w:t>– </w:t>
            </w:r>
            <w:r w:rsidRPr="00A3723C">
              <w:rPr>
                <w:b w:val="0"/>
                <w:color w:val="auto"/>
              </w:rPr>
              <w:t>200 000</w:t>
            </w:r>
          </w:p>
        </w:tc>
        <w:tc>
          <w:tcPr>
            <w:tcW w:w="833" w:type="pct"/>
          </w:tcPr>
          <w:p w14:paraId="53C29FC0" w14:textId="55153EC1" w:rsidR="00992CA5" w:rsidRPr="00A3723C" w:rsidRDefault="00992CA5" w:rsidP="00992CA5">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sidRPr="00A3723C">
              <w:rPr>
                <w:rFonts w:eastAsia="Times New Roman" w:cs="Arial"/>
                <w:b w:val="0"/>
                <w:color w:val="auto"/>
                <w:sz w:val="18"/>
                <w:lang w:val="de-CH"/>
              </w:rPr>
              <w:t>– </w:t>
            </w:r>
            <w:r w:rsidRPr="00A3723C">
              <w:rPr>
                <w:b w:val="0"/>
                <w:color w:val="auto"/>
              </w:rPr>
              <w:t>400 000</w:t>
            </w:r>
          </w:p>
        </w:tc>
        <w:tc>
          <w:tcPr>
            <w:tcW w:w="831" w:type="pct"/>
          </w:tcPr>
          <w:p w14:paraId="6C77606A" w14:textId="0D5B3BE6" w:rsidR="00992CA5" w:rsidRPr="00A3723C" w:rsidRDefault="00992CA5" w:rsidP="00992CA5">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sidRPr="00A3723C">
              <w:rPr>
                <w:rFonts w:eastAsia="Times New Roman" w:cs="Arial"/>
                <w:b w:val="0"/>
                <w:color w:val="auto"/>
                <w:sz w:val="18"/>
                <w:lang w:val="de-CH"/>
              </w:rPr>
              <w:t>– </w:t>
            </w:r>
            <w:r w:rsidRPr="00A3723C">
              <w:rPr>
                <w:b w:val="0"/>
                <w:color w:val="auto"/>
              </w:rPr>
              <w:t>600 000</w:t>
            </w:r>
          </w:p>
        </w:tc>
      </w:tr>
    </w:tbl>
    <w:p w14:paraId="270971AE" w14:textId="358FE2E8" w:rsidR="00186098" w:rsidRPr="00EE76BA" w:rsidRDefault="00186098" w:rsidP="00186098">
      <w:pPr>
        <w:rPr>
          <w:rFonts w:ascii="Times New Roman" w:eastAsia="Times New Roman" w:hAnsi="Times New Roman" w:cs="Times New Roman"/>
          <w:b/>
          <w:bCs/>
          <w:lang w:val="de-CH"/>
        </w:rPr>
      </w:pPr>
      <w:r w:rsidRPr="00EE76BA">
        <w:rPr>
          <w:rFonts w:ascii="Times New Roman" w:eastAsia="Times New Roman" w:hAnsi="Times New Roman" w:cs="Times New Roman"/>
          <w:lang w:val="de-CH"/>
        </w:rPr>
        <w:t>&gt;</w:t>
      </w:r>
      <w:r w:rsidRPr="00EE76BA">
        <w:rPr>
          <w:rFonts w:ascii="Times New Roman" w:eastAsia="Times New Roman" w:hAnsi="Times New Roman" w:cs="Times New Roman"/>
          <w:lang w:val="de-CH"/>
        </w:rPr>
        <w:tab/>
      </w:r>
      <w:r w:rsidRPr="00AB777B">
        <w:rPr>
          <w:rFonts w:ascii="Times New Roman" w:eastAsia="Times New Roman" w:hAnsi="Times New Roman" w:cs="Times New Roman"/>
          <w:b/>
          <w:lang w:val="de-CH"/>
        </w:rPr>
        <w:t>Kürzung der waldbaulichen Subventionen</w:t>
      </w:r>
    </w:p>
    <w:p w14:paraId="305AEA8B" w14:textId="77777777" w:rsidR="00186098" w:rsidRPr="00EE76BA" w:rsidRDefault="00186098" w:rsidP="00186098">
      <w:pPr>
        <w:rPr>
          <w:rFonts w:ascii="Times New Roman" w:eastAsia="Times New Roman" w:hAnsi="Times New Roman" w:cs="Times New Roman"/>
          <w:lang w:val="de-CH"/>
        </w:rPr>
      </w:pPr>
      <w:r w:rsidRPr="00EE76BA">
        <w:rPr>
          <w:rFonts w:ascii="Times New Roman" w:eastAsia="Times New Roman" w:hAnsi="Times New Roman" w:cs="Times New Roman"/>
          <w:lang w:val="de-CH"/>
        </w:rPr>
        <w:t>Massnahme: Kürzung des Budgets für die Verjüngung und die Jungwaldpflege. Zur Umsetzung einer Motion (2022-GC-182) hätte das Budget 2026 erheblich aufgestockt werden müssen. Der verfügbare Betrag soll auf den Stand von 2025, das heisst auf 425 000 Franken gesenkt werden, was somit keine Reduktion der gegenwärtigen Leistungen zur Folge hat.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EE76BA" w14:paraId="0ED9A38C"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AE4912B" w14:textId="77777777" w:rsidR="00186098" w:rsidRPr="00EE76BA" w:rsidRDefault="00186098" w:rsidP="00725483">
            <w:pPr>
              <w:spacing w:after="0"/>
              <w:rPr>
                <w:rFonts w:eastAsia="Times New Roman" w:cs="Arial"/>
                <w:bCs/>
                <w:sz w:val="21"/>
                <w:szCs w:val="20"/>
                <w:lang w:val="de-CH"/>
              </w:rPr>
            </w:pPr>
            <w:r w:rsidRPr="00EE76BA">
              <w:rPr>
                <w:rFonts w:eastAsia="Times New Roman" w:cs="Arial"/>
                <w:sz w:val="18"/>
                <w:lang w:val="de-CH"/>
              </w:rPr>
              <w:t>Finanzielle Auswirkungen in Franken</w:t>
            </w:r>
          </w:p>
        </w:tc>
        <w:tc>
          <w:tcPr>
            <w:tcW w:w="833" w:type="pct"/>
          </w:tcPr>
          <w:p w14:paraId="1DA1DAB7"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2026</w:t>
            </w:r>
          </w:p>
        </w:tc>
        <w:tc>
          <w:tcPr>
            <w:tcW w:w="833" w:type="pct"/>
          </w:tcPr>
          <w:p w14:paraId="65506BE1"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2027</w:t>
            </w:r>
          </w:p>
        </w:tc>
        <w:tc>
          <w:tcPr>
            <w:tcW w:w="833" w:type="pct"/>
          </w:tcPr>
          <w:p w14:paraId="594788EE"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2028</w:t>
            </w:r>
          </w:p>
        </w:tc>
        <w:tc>
          <w:tcPr>
            <w:tcW w:w="833" w:type="pct"/>
          </w:tcPr>
          <w:p w14:paraId="285CE569" w14:textId="77777777" w:rsidR="00186098" w:rsidRPr="00EE76BA"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EE76BA">
              <w:rPr>
                <w:rFonts w:eastAsia="Times New Roman" w:cs="Arial"/>
                <w:sz w:val="18"/>
                <w:lang w:val="de-CH"/>
              </w:rPr>
              <w:t>Total</w:t>
            </w:r>
          </w:p>
        </w:tc>
      </w:tr>
      <w:tr w:rsidR="00186098" w:rsidRPr="00EE76BA" w14:paraId="585EED89"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E63E064" w14:textId="77777777" w:rsidR="00186098" w:rsidRPr="00EE76BA" w:rsidRDefault="00186098" w:rsidP="00725483">
            <w:pPr>
              <w:spacing w:after="0"/>
              <w:rPr>
                <w:rFonts w:eastAsia="Times New Roman" w:cs="Arial"/>
                <w:bCs/>
                <w:sz w:val="18"/>
                <w:szCs w:val="20"/>
                <w:lang w:val="de-CH"/>
              </w:rPr>
            </w:pPr>
            <w:r w:rsidRPr="00EE76BA">
              <w:rPr>
                <w:rFonts w:eastAsia="Times New Roman" w:cs="Arial"/>
                <w:sz w:val="18"/>
                <w:lang w:val="de-CH"/>
              </w:rPr>
              <w:t>Staat</w:t>
            </w:r>
          </w:p>
        </w:tc>
        <w:tc>
          <w:tcPr>
            <w:tcW w:w="833" w:type="pct"/>
          </w:tcPr>
          <w:p w14:paraId="68A42E73"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425 000</w:t>
            </w:r>
          </w:p>
        </w:tc>
        <w:tc>
          <w:tcPr>
            <w:tcW w:w="833" w:type="pct"/>
          </w:tcPr>
          <w:p w14:paraId="7D96CE9C"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425 000</w:t>
            </w:r>
          </w:p>
        </w:tc>
        <w:tc>
          <w:tcPr>
            <w:tcW w:w="833" w:type="pct"/>
          </w:tcPr>
          <w:p w14:paraId="1D8138E6"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425 000</w:t>
            </w:r>
          </w:p>
        </w:tc>
        <w:tc>
          <w:tcPr>
            <w:tcW w:w="833" w:type="pct"/>
          </w:tcPr>
          <w:p w14:paraId="01709DB6" w14:textId="77777777" w:rsidR="00186098" w:rsidRPr="00EE76BA"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EE76BA">
              <w:rPr>
                <w:rFonts w:eastAsia="Times New Roman" w:cs="Arial"/>
                <w:color w:val="000000"/>
                <w:sz w:val="18"/>
                <w:lang w:val="de-CH"/>
              </w:rPr>
              <w:t>1 275 000</w:t>
            </w:r>
          </w:p>
        </w:tc>
      </w:tr>
      <w:tr w:rsidR="00186098" w:rsidRPr="00EE76BA" w14:paraId="548A7504"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CCB973B" w14:textId="77777777" w:rsidR="00186098" w:rsidRPr="00EE76BA" w:rsidRDefault="00186098" w:rsidP="00725483">
            <w:pPr>
              <w:spacing w:after="0"/>
              <w:rPr>
                <w:rFonts w:eastAsia="Times New Roman" w:cs="Arial"/>
                <w:b w:val="0"/>
                <w:sz w:val="18"/>
                <w:szCs w:val="20"/>
                <w:lang w:val="de-CH"/>
              </w:rPr>
            </w:pPr>
            <w:r w:rsidRPr="00EE76BA">
              <w:rPr>
                <w:rFonts w:eastAsia="Times New Roman" w:cs="Arial"/>
                <w:b w:val="0"/>
                <w:sz w:val="18"/>
                <w:lang w:val="de-CH"/>
              </w:rPr>
              <w:lastRenderedPageBreak/>
              <w:t>Gemeinden</w:t>
            </w:r>
          </w:p>
        </w:tc>
        <w:tc>
          <w:tcPr>
            <w:tcW w:w="833" w:type="pct"/>
          </w:tcPr>
          <w:p w14:paraId="39759E68"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140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704ACBCD"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140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00797761"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140</w:t>
            </w:r>
            <w:r w:rsidRPr="00EE76BA">
              <w:rPr>
                <w:rFonts w:eastAsia="Times New Roman" w:cs="Arial"/>
                <w:color w:val="000000"/>
                <w:sz w:val="18"/>
                <w:lang w:val="de-CH"/>
              </w:rPr>
              <w:t> </w:t>
            </w:r>
            <w:r w:rsidRPr="00EE76BA">
              <w:rPr>
                <w:rFonts w:eastAsia="Times New Roman" w:cs="Arial"/>
                <w:b w:val="0"/>
                <w:color w:val="000000"/>
                <w:sz w:val="18"/>
                <w:lang w:val="de-CH"/>
              </w:rPr>
              <w:t>000</w:t>
            </w:r>
          </w:p>
        </w:tc>
        <w:tc>
          <w:tcPr>
            <w:tcW w:w="833" w:type="pct"/>
          </w:tcPr>
          <w:p w14:paraId="4EE57A1C" w14:textId="77777777" w:rsidR="00186098" w:rsidRPr="00EE76BA"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EE76BA">
              <w:rPr>
                <w:rFonts w:eastAsia="Times New Roman" w:cs="Arial"/>
                <w:b w:val="0"/>
                <w:color w:val="000000"/>
                <w:sz w:val="18"/>
                <w:lang w:val="de-CH"/>
              </w:rPr>
              <w:t>420</w:t>
            </w:r>
            <w:r w:rsidRPr="00EE76BA">
              <w:rPr>
                <w:rFonts w:eastAsia="Times New Roman" w:cs="Arial"/>
                <w:color w:val="000000"/>
                <w:sz w:val="18"/>
                <w:lang w:val="de-CH"/>
              </w:rPr>
              <w:t> </w:t>
            </w:r>
            <w:r w:rsidRPr="00EE76BA">
              <w:rPr>
                <w:rFonts w:eastAsia="Times New Roman" w:cs="Arial"/>
                <w:b w:val="0"/>
                <w:color w:val="000000"/>
                <w:sz w:val="18"/>
                <w:lang w:val="de-CH"/>
              </w:rPr>
              <w:t>000</w:t>
            </w:r>
          </w:p>
        </w:tc>
      </w:tr>
    </w:tbl>
    <w:p w14:paraId="12BAEEE3" w14:textId="41A8A90C" w:rsidR="00A3723C" w:rsidRDefault="00A3723C" w:rsidP="00186098">
      <w:pPr>
        <w:rPr>
          <w:rFonts w:ascii="Times New Roman" w:eastAsia="Times New Roman" w:hAnsi="Times New Roman" w:cs="Times New Roman"/>
          <w:lang w:val="de-CH"/>
        </w:rPr>
      </w:pPr>
    </w:p>
    <w:p w14:paraId="5EB7EE85" w14:textId="5D600D71" w:rsidR="00186098" w:rsidRPr="00EE76BA" w:rsidRDefault="00A3723C" w:rsidP="00186098">
      <w:pPr>
        <w:rPr>
          <w:rFonts w:ascii="Times New Roman" w:eastAsia="Times New Roman" w:hAnsi="Times New Roman" w:cs="Times New Roman"/>
          <w:b/>
          <w:bCs/>
          <w:lang w:val="de-CH"/>
        </w:rPr>
      </w:pPr>
      <w:r w:rsidRPr="006F19D6">
        <w:rPr>
          <w:lang w:val="de-CH"/>
        </w:rPr>
        <w:t>&gt;</w:t>
      </w:r>
      <w:r w:rsidRPr="006F19D6">
        <w:rPr>
          <w:lang w:val="de-CH"/>
        </w:rPr>
        <w:tab/>
      </w:r>
      <w:r w:rsidR="00186098" w:rsidRPr="00AB777B">
        <w:rPr>
          <w:rFonts w:ascii="Times New Roman" w:eastAsia="Times New Roman" w:hAnsi="Times New Roman" w:cs="Times New Roman"/>
          <w:b/>
          <w:lang w:val="de-CH"/>
        </w:rPr>
        <w:t>Kürzung der staatlichen Beteiligung an den Wahlkampfkosten</w:t>
      </w:r>
    </w:p>
    <w:p w14:paraId="51465CE0" w14:textId="33A3EC3C" w:rsidR="00186098" w:rsidRPr="00743628" w:rsidRDefault="00186098" w:rsidP="00186098">
      <w:pPr>
        <w:pStyle w:val="Listealphabtique"/>
        <w:numPr>
          <w:ilvl w:val="0"/>
          <w:numId w:val="0"/>
        </w:numPr>
        <w:rPr>
          <w:lang w:val="de-CH"/>
        </w:rPr>
      </w:pPr>
      <w:r w:rsidRPr="00EE76BA">
        <w:rPr>
          <w:rFonts w:ascii="Times New Roman" w:eastAsia="Times New Roman" w:hAnsi="Times New Roman" w:cs="Times New Roman"/>
          <w:lang w:val="de-CH"/>
        </w:rPr>
        <w:t>Massnahme: Reduktion der staatlichen Beteiligung</w:t>
      </w:r>
      <w:r w:rsidRPr="00EE76BA" w:rsidDel="00C82147">
        <w:rPr>
          <w:rFonts w:ascii="Times New Roman" w:eastAsia="Times New Roman" w:hAnsi="Times New Roman" w:cs="Times New Roman"/>
          <w:lang w:val="de-CH"/>
        </w:rPr>
        <w:t xml:space="preserve"> </w:t>
      </w:r>
      <w:r w:rsidRPr="00EE76BA">
        <w:rPr>
          <w:rFonts w:ascii="Times New Roman" w:eastAsia="Times New Roman" w:hAnsi="Times New Roman" w:cs="Times New Roman"/>
          <w:lang w:val="de-CH"/>
        </w:rPr>
        <w:t>an den Kosten für den Wahlkampf der Parteien bei kantonalen und nationalen Wahlen. Der fixe Betrag soll proportional auf die Summe der letzten veröffentlichten Schlussabrechnungen der Wahlkampfkosten gesenkt werden. Für kantonale Wahlen würde somit ein Beitrag von 10 % und nicht mehr 20 % gewährt. Die nationalen Wahlen würden mit 10 % und nicht mehr mit 15 % unterstützt. Diese Massnahme entspricht dem Auftrag 2025-GC-94, auf den in Kapitel 5.2.</w:t>
      </w:r>
      <w:r w:rsidR="00EF380A">
        <w:rPr>
          <w:rFonts w:ascii="Times New Roman" w:eastAsia="Times New Roman" w:hAnsi="Times New Roman" w:cs="Times New Roman"/>
          <w:lang w:val="de-CH"/>
        </w:rPr>
        <w:t>6</w:t>
      </w:r>
      <w:r w:rsidRPr="00EE76BA">
        <w:rPr>
          <w:rFonts w:ascii="Times New Roman" w:eastAsia="Times New Roman" w:hAnsi="Times New Roman" w:cs="Times New Roman"/>
          <w:lang w:val="de-CH"/>
        </w:rPr>
        <w:t xml:space="preserve"> eingegangen wird.</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FE3A13" w14:paraId="7833597A"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365E12F" w14:textId="77777777" w:rsidR="00186098" w:rsidRPr="00FE3A13" w:rsidRDefault="00186098" w:rsidP="00725483">
            <w:pPr>
              <w:pStyle w:val="NIVtableau"/>
              <w:rPr>
                <w:color w:val="auto"/>
                <w:sz w:val="21"/>
                <w:lang w:val="en-US"/>
              </w:rPr>
            </w:pPr>
            <w:r w:rsidRPr="00EE76BA">
              <w:rPr>
                <w:rFonts w:eastAsia="Times New Roman"/>
                <w:lang w:val="de-CH"/>
              </w:rPr>
              <w:t>Finanzielle Auswirkungen in Franken</w:t>
            </w:r>
          </w:p>
        </w:tc>
        <w:tc>
          <w:tcPr>
            <w:tcW w:w="833" w:type="pct"/>
          </w:tcPr>
          <w:p w14:paraId="467C7974"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2026</w:t>
            </w:r>
          </w:p>
        </w:tc>
        <w:tc>
          <w:tcPr>
            <w:tcW w:w="833" w:type="pct"/>
          </w:tcPr>
          <w:p w14:paraId="304C2584"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2027</w:t>
            </w:r>
          </w:p>
        </w:tc>
        <w:tc>
          <w:tcPr>
            <w:tcW w:w="833" w:type="pct"/>
          </w:tcPr>
          <w:p w14:paraId="744812A4"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2028</w:t>
            </w:r>
          </w:p>
        </w:tc>
        <w:tc>
          <w:tcPr>
            <w:tcW w:w="831" w:type="pct"/>
          </w:tcPr>
          <w:p w14:paraId="0C0007AE"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EE76BA">
              <w:rPr>
                <w:rFonts w:eastAsia="Times New Roman"/>
                <w:lang w:val="de-CH"/>
              </w:rPr>
              <w:t>Total</w:t>
            </w:r>
          </w:p>
        </w:tc>
      </w:tr>
      <w:tr w:rsidR="00186098" w:rsidRPr="00FE3A13" w14:paraId="5954C13C"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4FC9128" w14:textId="77777777" w:rsidR="00186098" w:rsidRPr="00FE3A13" w:rsidRDefault="00186098" w:rsidP="00725483">
            <w:pPr>
              <w:pStyle w:val="NIVtableau"/>
              <w:rPr>
                <w:lang w:val="en-US"/>
              </w:rPr>
            </w:pPr>
            <w:r w:rsidRPr="00EE76BA">
              <w:rPr>
                <w:rFonts w:eastAsia="Times New Roman"/>
                <w:lang w:val="de-CH"/>
              </w:rPr>
              <w:t>Staat</w:t>
            </w:r>
          </w:p>
        </w:tc>
        <w:tc>
          <w:tcPr>
            <w:tcW w:w="833" w:type="pct"/>
          </w:tcPr>
          <w:p w14:paraId="4859A4D7"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235 291</w:t>
            </w:r>
          </w:p>
        </w:tc>
        <w:tc>
          <w:tcPr>
            <w:tcW w:w="833" w:type="pct"/>
          </w:tcPr>
          <w:p w14:paraId="3215A8DE"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117 550</w:t>
            </w:r>
          </w:p>
        </w:tc>
        <w:tc>
          <w:tcPr>
            <w:tcW w:w="833" w:type="pct"/>
          </w:tcPr>
          <w:p w14:paraId="03FC218C"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0</w:t>
            </w:r>
          </w:p>
        </w:tc>
        <w:tc>
          <w:tcPr>
            <w:tcW w:w="831" w:type="pct"/>
          </w:tcPr>
          <w:p w14:paraId="7A9FA39D"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EE76BA">
              <w:rPr>
                <w:rFonts w:eastAsia="Times New Roman"/>
                <w:color w:val="000000"/>
                <w:lang w:val="de-CH"/>
              </w:rPr>
              <w:t>352 841</w:t>
            </w:r>
          </w:p>
        </w:tc>
      </w:tr>
      <w:tr w:rsidR="00186098" w:rsidRPr="00FE3A13" w14:paraId="3500754A"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385F6BC" w14:textId="77777777" w:rsidR="00186098" w:rsidRPr="00FE3A13" w:rsidRDefault="00186098" w:rsidP="00725483">
            <w:pPr>
              <w:pStyle w:val="NIVtableau"/>
              <w:rPr>
                <w:b w:val="0"/>
                <w:bCs w:val="0"/>
                <w:lang w:val="en-US"/>
              </w:rPr>
            </w:pPr>
            <w:r w:rsidRPr="00EE76BA">
              <w:rPr>
                <w:rFonts w:eastAsia="Times New Roman"/>
                <w:b w:val="0"/>
                <w:lang w:val="de-CH"/>
              </w:rPr>
              <w:t>Gemeinden</w:t>
            </w:r>
          </w:p>
        </w:tc>
        <w:tc>
          <w:tcPr>
            <w:tcW w:w="833" w:type="pct"/>
          </w:tcPr>
          <w:p w14:paraId="65575F43"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0</w:t>
            </w:r>
          </w:p>
        </w:tc>
        <w:tc>
          <w:tcPr>
            <w:tcW w:w="833" w:type="pct"/>
          </w:tcPr>
          <w:p w14:paraId="63EE8CCA"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0</w:t>
            </w:r>
          </w:p>
        </w:tc>
        <w:tc>
          <w:tcPr>
            <w:tcW w:w="833" w:type="pct"/>
          </w:tcPr>
          <w:p w14:paraId="519C2076"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0</w:t>
            </w:r>
          </w:p>
        </w:tc>
        <w:tc>
          <w:tcPr>
            <w:tcW w:w="831" w:type="pct"/>
          </w:tcPr>
          <w:p w14:paraId="6D962B1A"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EE76BA">
              <w:rPr>
                <w:rFonts w:eastAsia="Times New Roman"/>
                <w:b w:val="0"/>
                <w:color w:val="000000"/>
                <w:lang w:val="de-CH"/>
              </w:rPr>
              <w:t>0</w:t>
            </w:r>
          </w:p>
        </w:tc>
      </w:tr>
    </w:tbl>
    <w:p w14:paraId="6F66DF35" w14:textId="77777777" w:rsidR="00A3723C" w:rsidRPr="00FE3A13" w:rsidRDefault="00A3723C" w:rsidP="00186098"/>
    <w:p w14:paraId="3CA8355E" w14:textId="77777777" w:rsidR="00186098" w:rsidRPr="00EB6310" w:rsidRDefault="00186098" w:rsidP="00186098">
      <w:pPr>
        <w:pStyle w:val="Titre3"/>
        <w:rPr>
          <w:lang w:val="de-CH"/>
        </w:rPr>
      </w:pPr>
      <w:bookmarkStart w:id="24" w:name="_Toc196226213"/>
      <w:r w:rsidRPr="00EB6310">
        <w:rPr>
          <w:lang w:val="de-CH"/>
        </w:rPr>
        <w:t>Projekte und Reformen</w:t>
      </w:r>
      <w:bookmarkEnd w:id="24"/>
    </w:p>
    <w:tbl>
      <w:tblPr>
        <w:tblStyle w:val="TableauEtatFR"/>
        <w:tblW w:w="5000" w:type="pct"/>
        <w:tblLook w:val="04E0" w:firstRow="1" w:lastRow="1" w:firstColumn="1" w:lastColumn="0" w:noHBand="0" w:noVBand="1"/>
      </w:tblPr>
      <w:tblGrid>
        <w:gridCol w:w="5385"/>
        <w:gridCol w:w="992"/>
        <w:gridCol w:w="3543"/>
      </w:tblGrid>
      <w:tr w:rsidR="00186098" w:rsidRPr="005B3823" w14:paraId="4AB14DB9" w14:textId="77777777" w:rsidTr="00725483">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1C141D35" w14:textId="05950F01" w:rsidR="00186098" w:rsidRPr="00863106" w:rsidRDefault="00186098" w:rsidP="00725483">
            <w:pPr>
              <w:pStyle w:val="NIVtableau"/>
              <w:rPr>
                <w:b w:val="0"/>
                <w:color w:val="auto"/>
                <w:sz w:val="21"/>
                <w:lang w:val="de-CH"/>
              </w:rPr>
            </w:pPr>
            <w:r w:rsidRPr="000513D2">
              <w:rPr>
                <w:rFonts w:eastAsia="Times New Roman"/>
                <w:lang w:val="de-CH"/>
              </w:rPr>
              <w:t xml:space="preserve">Massnahmen in der Zuständigkeit des Grossen Rats, die Projekte und Reformen betreffen </w:t>
            </w:r>
          </w:p>
        </w:tc>
      </w:tr>
      <w:tr w:rsidR="00186098" w:rsidRPr="005B3823" w14:paraId="2CC7FED6" w14:textId="77777777" w:rsidTr="00725483">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0EFF9963" w14:textId="77777777" w:rsidR="00186098" w:rsidRPr="00FE3A13" w:rsidRDefault="00186098" w:rsidP="00725483">
            <w:pPr>
              <w:pStyle w:val="NIVtableau"/>
              <w:rPr>
                <w:lang w:val="fr-FR"/>
              </w:rPr>
            </w:pPr>
            <w:r w:rsidRPr="000513D2">
              <w:rPr>
                <w:rFonts w:eastAsia="Times New Roman"/>
                <w:lang w:val="de-CH"/>
              </w:rPr>
              <w:t>Bezeichnung der Massnahme</w:t>
            </w:r>
          </w:p>
        </w:tc>
        <w:tc>
          <w:tcPr>
            <w:tcW w:w="2286" w:type="pct"/>
            <w:gridSpan w:val="2"/>
          </w:tcPr>
          <w:p w14:paraId="7EAC2302" w14:textId="77777777" w:rsidR="00186098" w:rsidRPr="00863106" w:rsidRDefault="00186098" w:rsidP="00725483">
            <w:pPr>
              <w:pStyle w:val="NIVtableau"/>
              <w:cnfStyle w:val="000000000000" w:firstRow="0" w:lastRow="0" w:firstColumn="0" w:lastColumn="0" w:oddVBand="0" w:evenVBand="0" w:oddHBand="0" w:evenHBand="0" w:firstRowFirstColumn="0" w:firstRowLastColumn="0" w:lastRowFirstColumn="0" w:lastRowLastColumn="0"/>
              <w:rPr>
                <w:lang w:val="de-CH"/>
              </w:rPr>
            </w:pPr>
            <w:r w:rsidRPr="000513D2">
              <w:rPr>
                <w:rFonts w:eastAsia="Times New Roman"/>
                <w:color w:val="000000"/>
                <w:lang w:val="de-CH"/>
              </w:rPr>
              <w:t>Gesetzliche Grundlage, die geändert werden muss</w:t>
            </w:r>
          </w:p>
        </w:tc>
      </w:tr>
      <w:tr w:rsidR="00186098" w:rsidRPr="00FE3A13" w14:paraId="2E876131"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0F881C01" w14:textId="77777777" w:rsidR="00186098" w:rsidRPr="00863106" w:rsidRDefault="00186098" w:rsidP="00725483">
            <w:pPr>
              <w:pStyle w:val="NIVtableau"/>
              <w:rPr>
                <w:lang w:val="de-CH"/>
              </w:rPr>
            </w:pPr>
          </w:p>
        </w:tc>
        <w:tc>
          <w:tcPr>
            <w:tcW w:w="500" w:type="pct"/>
          </w:tcPr>
          <w:p w14:paraId="73A7180B" w14:textId="77777777" w:rsidR="00186098" w:rsidRPr="00FE3A13" w:rsidRDefault="00186098" w:rsidP="00725483">
            <w:pPr>
              <w:pStyle w:val="NIVtableau"/>
              <w:cnfStyle w:val="000000000000" w:firstRow="0" w:lastRow="0" w:firstColumn="0" w:lastColumn="0" w:oddVBand="0" w:evenVBand="0" w:oddHBand="0" w:evenHBand="0" w:firstRowFirstColumn="0" w:firstRowLastColumn="0" w:lastRowFirstColumn="0" w:lastRowLastColumn="0"/>
              <w:rPr>
                <w:lang w:val="fr-FR"/>
              </w:rPr>
            </w:pPr>
            <w:r w:rsidRPr="000513D2">
              <w:rPr>
                <w:rFonts w:eastAsia="Times New Roman"/>
                <w:color w:val="000000"/>
                <w:lang w:val="de-CH"/>
              </w:rPr>
              <w:t>SGF-Nr.</w:t>
            </w:r>
          </w:p>
        </w:tc>
        <w:tc>
          <w:tcPr>
            <w:tcW w:w="1786" w:type="pct"/>
          </w:tcPr>
          <w:p w14:paraId="6C525B59" w14:textId="3C9AA0A7" w:rsidR="00186098" w:rsidRPr="00FE3A13" w:rsidRDefault="0031546B" w:rsidP="00725483">
            <w:pPr>
              <w:pStyle w:val="NIVtableau"/>
              <w:cnfStyle w:val="000000000000" w:firstRow="0" w:lastRow="0" w:firstColumn="0" w:lastColumn="0" w:oddVBand="0" w:evenVBand="0" w:oddHBand="0" w:evenHBand="0" w:firstRowFirstColumn="0" w:firstRowLastColumn="0" w:lastRowFirstColumn="0" w:lastRowLastColumn="0"/>
              <w:rPr>
                <w:lang w:val="fr-FR"/>
              </w:rPr>
            </w:pPr>
            <w:r>
              <w:rPr>
                <w:rFonts w:eastAsia="Times New Roman"/>
                <w:color w:val="000000"/>
                <w:lang w:val="de-CH"/>
              </w:rPr>
              <w:t>Titel</w:t>
            </w:r>
          </w:p>
        </w:tc>
      </w:tr>
      <w:tr w:rsidR="00186098" w:rsidRPr="005B3823" w14:paraId="6733D758" w14:textId="77777777" w:rsidTr="00725483">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1AA85205" w14:textId="77777777" w:rsidR="00186098" w:rsidRPr="00863106" w:rsidRDefault="00186098" w:rsidP="00725483">
            <w:pPr>
              <w:pStyle w:val="NIVtableau"/>
              <w:spacing w:before="100" w:after="100" w:line="280" w:lineRule="atLeast"/>
              <w:rPr>
                <w:lang w:val="de-CH"/>
              </w:rPr>
            </w:pPr>
            <w:r w:rsidRPr="000513D2">
              <w:rPr>
                <w:rFonts w:eastAsia="Times New Roman"/>
                <w:b/>
                <w:lang w:val="de-CH"/>
              </w:rPr>
              <w:t>a) Zur Einhaltung des Finanzplans notwendige Massnahmen</w:t>
            </w:r>
            <w:r w:rsidRPr="000513D2">
              <w:rPr>
                <w:rFonts w:eastAsia="Times New Roman"/>
                <w:lang w:val="de-CH"/>
              </w:rPr>
              <w:br/>
              <w:t>- Weiterverrechnung der kantonalen Aufträge der Pflegeheime an die Gemeinden</w:t>
            </w:r>
          </w:p>
        </w:tc>
        <w:tc>
          <w:tcPr>
            <w:tcW w:w="500" w:type="pct"/>
          </w:tcPr>
          <w:p w14:paraId="465F4CA7" w14:textId="77777777" w:rsidR="00186098" w:rsidRPr="00FE3A13" w:rsidRDefault="00186098" w:rsidP="00725483">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0513D2">
              <w:rPr>
                <w:rFonts w:eastAsia="Times New Roman"/>
                <w:color w:val="000000"/>
                <w:lang w:val="de-CH"/>
              </w:rPr>
              <w:br/>
              <w:t>820.2</w:t>
            </w:r>
          </w:p>
        </w:tc>
        <w:tc>
          <w:tcPr>
            <w:tcW w:w="1786" w:type="pct"/>
          </w:tcPr>
          <w:p w14:paraId="510C7D68" w14:textId="77777777" w:rsidR="00186098" w:rsidRPr="00863106" w:rsidRDefault="00186098" w:rsidP="00725483">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de-CH"/>
              </w:rPr>
            </w:pPr>
            <w:r w:rsidRPr="000513D2">
              <w:rPr>
                <w:rFonts w:eastAsia="Times New Roman"/>
                <w:color w:val="000000"/>
                <w:lang w:val="de-CH"/>
              </w:rPr>
              <w:br/>
              <w:t>Gesetz vom 12. Mai 2016 über die sozialmedizinischen Leistungen (SmLG)</w:t>
            </w:r>
          </w:p>
        </w:tc>
      </w:tr>
      <w:tr w:rsidR="00186098" w:rsidRPr="00FE3A13" w14:paraId="1881D43C"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4AD93FA2" w14:textId="747D72B2" w:rsidR="00186098" w:rsidRPr="00863106" w:rsidRDefault="00186098" w:rsidP="00725483">
            <w:pPr>
              <w:pStyle w:val="NIVtableau"/>
              <w:spacing w:before="100" w:after="100" w:line="280" w:lineRule="atLeast"/>
              <w:rPr>
                <w:bCs w:val="0"/>
                <w:lang w:val="de-CH"/>
              </w:rPr>
            </w:pPr>
            <w:r w:rsidRPr="000513D2">
              <w:rPr>
                <w:rFonts w:eastAsia="Times New Roman"/>
                <w:lang w:val="de-CH"/>
              </w:rPr>
              <w:t>b) Massnahmen des PSKF</w:t>
            </w:r>
            <w:r w:rsidRPr="000513D2">
              <w:rPr>
                <w:rFonts w:eastAsia="Times New Roman"/>
                <w:lang w:val="de-CH"/>
              </w:rPr>
              <w:br/>
            </w:r>
            <w:r w:rsidRPr="000513D2">
              <w:rPr>
                <w:rFonts w:eastAsia="Times New Roman"/>
                <w:b w:val="0"/>
                <w:lang w:val="de-CH"/>
              </w:rPr>
              <w:t>- Verzicht auf die künftige Übernahme der Portokosten der Briefwahl durch den Staat</w:t>
            </w:r>
            <w:r w:rsidRPr="000513D2">
              <w:rPr>
                <w:rFonts w:eastAsia="Times New Roman"/>
                <w:b w:val="0"/>
                <w:lang w:val="de-CH"/>
              </w:rPr>
              <w:br/>
              <w:t>- Abschaffung des Versands von Wahlpropagandamaterial an Auslandschweizerinnen und Auslandschweizer</w:t>
            </w:r>
            <w:r w:rsidRPr="000513D2">
              <w:rPr>
                <w:rFonts w:eastAsia="Times New Roman"/>
                <w:b w:val="0"/>
                <w:lang w:val="de-CH"/>
              </w:rPr>
              <w:br/>
            </w:r>
            <w:r w:rsidRPr="000513D2">
              <w:rPr>
                <w:rFonts w:eastAsia="Times New Roman"/>
                <w:b w:val="0"/>
                <w:lang w:val="de-CH"/>
              </w:rPr>
              <w:br/>
              <w:t>- Änderung des Verfahrens einer ordentlichen Einbürgerung</w:t>
            </w:r>
            <w:r w:rsidRPr="000513D2">
              <w:rPr>
                <w:rFonts w:eastAsia="Times New Roman"/>
                <w:b w:val="0"/>
                <w:lang w:val="de-CH"/>
              </w:rPr>
              <w:br/>
            </w:r>
            <w:r w:rsidRPr="000513D2">
              <w:rPr>
                <w:rFonts w:eastAsia="Times New Roman"/>
                <w:b w:val="0"/>
                <w:lang w:val="de-CH"/>
              </w:rPr>
              <w:br/>
              <w:t>- Beiträge der Gemeinden an die Finanzierung von nicht professionellen Pflegefamilien</w:t>
            </w:r>
            <w:r w:rsidRPr="000513D2">
              <w:rPr>
                <w:rFonts w:eastAsia="Times New Roman"/>
                <w:b w:val="0"/>
                <w:lang w:val="de-CH"/>
              </w:rPr>
              <w:br/>
            </w:r>
            <w:r w:rsidRPr="000513D2">
              <w:rPr>
                <w:rFonts w:eastAsia="Times New Roman"/>
                <w:b w:val="0"/>
                <w:lang w:val="de-CH"/>
              </w:rPr>
              <w:br/>
              <w:t>- Plafonierung des interkommunalen Bedarfsausgleichs auf dem Niveau von 2025</w:t>
            </w:r>
            <w:r w:rsidRPr="000513D2">
              <w:rPr>
                <w:rFonts w:eastAsia="Times New Roman"/>
                <w:b w:val="0"/>
                <w:lang w:val="de-CH"/>
              </w:rPr>
              <w:br/>
              <w:t xml:space="preserve">- </w:t>
            </w:r>
            <w:r w:rsidR="00EF380A" w:rsidRPr="00EF380A">
              <w:rPr>
                <w:rFonts w:eastAsia="Times New Roman"/>
                <w:b w:val="0"/>
                <w:lang w:val="de-CH"/>
              </w:rPr>
              <w:t>Beendigung der Übergangsregelung der Übernahme des Gemeindeanteils an den AHV/IV-Ergänzungsleistungen durch den Kanton</w:t>
            </w:r>
            <w:r w:rsidRPr="000513D2">
              <w:rPr>
                <w:rFonts w:eastAsia="Times New Roman"/>
                <w:b w:val="0"/>
                <w:lang w:val="de-CH"/>
              </w:rPr>
              <w:br/>
            </w:r>
            <w:r w:rsidRPr="000513D2">
              <w:rPr>
                <w:rFonts w:eastAsia="Times New Roman"/>
                <w:b w:val="0"/>
                <w:lang w:val="de-CH"/>
              </w:rPr>
              <w:br/>
              <w:t>- Einführung eines Gemeindeanteils an den Ergänzungsleistungen für Familien</w:t>
            </w:r>
            <w:r w:rsidRPr="000513D2">
              <w:rPr>
                <w:rFonts w:eastAsia="Times New Roman"/>
                <w:b w:val="0"/>
                <w:lang w:val="de-CH"/>
              </w:rPr>
              <w:br/>
            </w:r>
            <w:r w:rsidRPr="000513D2">
              <w:rPr>
                <w:rFonts w:eastAsia="Times New Roman"/>
                <w:b w:val="0"/>
                <w:lang w:val="de-CH"/>
              </w:rPr>
              <w:br/>
              <w:t>- Anpassung der Gemeindebeteiligung an der Abgeltung des lokalen Personenverkehrs</w:t>
            </w:r>
            <w:r w:rsidRPr="000513D2">
              <w:rPr>
                <w:rFonts w:eastAsia="Times New Roman"/>
                <w:b w:val="0"/>
                <w:lang w:val="de-CH"/>
              </w:rPr>
              <w:br/>
            </w:r>
            <w:r w:rsidRPr="000513D2">
              <w:rPr>
                <w:rFonts w:eastAsia="Times New Roman"/>
                <w:b w:val="0"/>
                <w:lang w:val="de-CH"/>
              </w:rPr>
              <w:br/>
            </w:r>
            <w:r w:rsidRPr="000513D2">
              <w:rPr>
                <w:rFonts w:eastAsia="Times New Roman"/>
                <w:b w:val="0"/>
                <w:lang w:val="de-CH"/>
              </w:rPr>
              <w:lastRenderedPageBreak/>
              <w:t>- Anpassung der Gemeindebeteiligung an der Abgeltung des regionalen Personenverkehrs</w:t>
            </w:r>
            <w:r w:rsidRPr="000513D2">
              <w:rPr>
                <w:rFonts w:eastAsia="Times New Roman"/>
                <w:b w:val="0"/>
                <w:lang w:val="de-CH"/>
              </w:rPr>
              <w:br/>
              <w:t>- Verschiebung auf die Gemeinden der Unterhaltskosten für die Abschnitte des kantonalen Velowegnetzes auf Gemeindestrassen</w:t>
            </w:r>
            <w:r w:rsidRPr="000513D2">
              <w:rPr>
                <w:rFonts w:eastAsia="Times New Roman"/>
                <w:b w:val="0"/>
                <w:lang w:val="de-CH"/>
              </w:rPr>
              <w:br/>
              <w:t>- Aufschub der Umsetzung des Projekts DAOS</w:t>
            </w:r>
          </w:p>
        </w:tc>
        <w:tc>
          <w:tcPr>
            <w:tcW w:w="500" w:type="pct"/>
          </w:tcPr>
          <w:p w14:paraId="0B6AFC93" w14:textId="77777777" w:rsidR="00186098" w:rsidRPr="00FE3A13" w:rsidRDefault="00186098" w:rsidP="00725483">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0513D2">
              <w:rPr>
                <w:rFonts w:eastAsia="Times New Roman"/>
                <w:color w:val="000000"/>
                <w:lang w:val="de-CH"/>
              </w:rPr>
              <w:lastRenderedPageBreak/>
              <w:br/>
            </w:r>
            <w:r w:rsidRPr="000513D2">
              <w:rPr>
                <w:rFonts w:eastAsia="Times New Roman"/>
                <w:b w:val="0"/>
                <w:color w:val="000000"/>
                <w:lang w:val="de-CH"/>
              </w:rPr>
              <w:t>115.1</w:t>
            </w:r>
            <w:r w:rsidRPr="000513D2">
              <w:rPr>
                <w:rFonts w:eastAsia="Times New Roman"/>
                <w:b w:val="0"/>
                <w:color w:val="000000"/>
                <w:lang w:val="de-CH"/>
              </w:rPr>
              <w:br/>
            </w:r>
            <w:r w:rsidRPr="000513D2">
              <w:rPr>
                <w:rFonts w:eastAsia="Times New Roman"/>
                <w:b w:val="0"/>
                <w:color w:val="000000"/>
                <w:lang w:val="de-CH"/>
              </w:rPr>
              <w:br/>
              <w:t>115.6</w:t>
            </w:r>
            <w:r w:rsidRPr="000513D2">
              <w:rPr>
                <w:rFonts w:eastAsia="Times New Roman"/>
                <w:b w:val="0"/>
                <w:color w:val="000000"/>
                <w:lang w:val="de-CH"/>
              </w:rPr>
              <w:br/>
            </w:r>
            <w:r w:rsidRPr="000513D2">
              <w:rPr>
                <w:rFonts w:eastAsia="Times New Roman"/>
                <w:b w:val="0"/>
                <w:color w:val="000000"/>
                <w:lang w:val="de-CH"/>
              </w:rPr>
              <w:br/>
            </w:r>
            <w:r w:rsidRPr="000513D2">
              <w:rPr>
                <w:rFonts w:eastAsia="Times New Roman"/>
                <w:b w:val="0"/>
                <w:color w:val="000000"/>
                <w:lang w:val="de-CH"/>
              </w:rPr>
              <w:br/>
              <w:t>114.1.1</w:t>
            </w:r>
            <w:r w:rsidRPr="000513D2">
              <w:rPr>
                <w:rFonts w:eastAsia="Times New Roman"/>
                <w:b w:val="0"/>
                <w:color w:val="000000"/>
                <w:lang w:val="de-CH"/>
              </w:rPr>
              <w:br/>
            </w:r>
            <w:r w:rsidRPr="000513D2">
              <w:rPr>
                <w:rFonts w:eastAsia="Times New Roman"/>
                <w:b w:val="0"/>
                <w:color w:val="000000"/>
                <w:lang w:val="de-CH"/>
              </w:rPr>
              <w:br/>
              <w:t>834.1.2</w:t>
            </w:r>
            <w:r w:rsidRPr="000513D2">
              <w:rPr>
                <w:rFonts w:eastAsia="Times New Roman"/>
                <w:b w:val="0"/>
                <w:color w:val="000000"/>
                <w:lang w:val="de-CH"/>
              </w:rPr>
              <w:br/>
            </w:r>
            <w:r w:rsidRPr="000513D2">
              <w:rPr>
                <w:rFonts w:eastAsia="Times New Roman"/>
                <w:b w:val="0"/>
                <w:color w:val="000000"/>
                <w:lang w:val="de-CH"/>
              </w:rPr>
              <w:br/>
            </w:r>
            <w:r w:rsidRPr="000513D2">
              <w:rPr>
                <w:rFonts w:eastAsia="Times New Roman"/>
                <w:b w:val="0"/>
                <w:color w:val="000000"/>
                <w:lang w:val="de-CH"/>
              </w:rPr>
              <w:br/>
              <w:t>142.1</w:t>
            </w:r>
            <w:r w:rsidRPr="000513D2">
              <w:rPr>
                <w:rFonts w:eastAsia="Times New Roman"/>
                <w:b w:val="0"/>
                <w:color w:val="000000"/>
                <w:lang w:val="de-CH"/>
              </w:rPr>
              <w:br/>
            </w:r>
            <w:r w:rsidRPr="000513D2">
              <w:rPr>
                <w:rFonts w:eastAsia="Times New Roman"/>
                <w:b w:val="0"/>
                <w:color w:val="000000"/>
                <w:lang w:val="de-CH"/>
              </w:rPr>
              <w:br/>
              <w:t>841.3.1</w:t>
            </w:r>
            <w:r w:rsidRPr="000513D2">
              <w:rPr>
                <w:rFonts w:eastAsia="Times New Roman"/>
                <w:b w:val="0"/>
                <w:color w:val="000000"/>
                <w:lang w:val="de-CH"/>
              </w:rPr>
              <w:br/>
            </w:r>
            <w:r w:rsidRPr="000513D2">
              <w:rPr>
                <w:rFonts w:eastAsia="Times New Roman"/>
                <w:b w:val="0"/>
                <w:color w:val="000000"/>
                <w:lang w:val="de-CH"/>
              </w:rPr>
              <w:br/>
            </w:r>
            <w:r w:rsidRPr="000513D2">
              <w:rPr>
                <w:rFonts w:eastAsia="Times New Roman"/>
                <w:b w:val="0"/>
                <w:color w:val="000000"/>
                <w:lang w:val="de-CH"/>
              </w:rPr>
              <w:br/>
              <w:t>836.4</w:t>
            </w:r>
            <w:r w:rsidRPr="000513D2">
              <w:rPr>
                <w:rFonts w:eastAsia="Times New Roman"/>
                <w:b w:val="0"/>
                <w:color w:val="000000"/>
                <w:lang w:val="de-CH"/>
              </w:rPr>
              <w:br/>
            </w:r>
            <w:r w:rsidRPr="000513D2">
              <w:rPr>
                <w:rFonts w:eastAsia="Times New Roman"/>
                <w:b w:val="0"/>
                <w:color w:val="000000"/>
                <w:lang w:val="de-CH"/>
              </w:rPr>
              <w:br/>
            </w:r>
            <w:r w:rsidRPr="000513D2">
              <w:rPr>
                <w:rFonts w:eastAsia="Times New Roman"/>
                <w:b w:val="0"/>
                <w:color w:val="000000"/>
                <w:lang w:val="de-CH"/>
              </w:rPr>
              <w:br/>
              <w:t>780.1</w:t>
            </w:r>
            <w:r w:rsidRPr="000513D2">
              <w:rPr>
                <w:rFonts w:eastAsia="Times New Roman"/>
                <w:b w:val="0"/>
                <w:color w:val="000000"/>
                <w:lang w:val="de-CH"/>
              </w:rPr>
              <w:br/>
            </w:r>
            <w:r w:rsidRPr="000513D2">
              <w:rPr>
                <w:rFonts w:eastAsia="Times New Roman"/>
                <w:b w:val="0"/>
                <w:color w:val="000000"/>
                <w:lang w:val="de-CH"/>
              </w:rPr>
              <w:br/>
            </w:r>
            <w:r w:rsidRPr="000513D2">
              <w:rPr>
                <w:rFonts w:eastAsia="Times New Roman"/>
                <w:b w:val="0"/>
                <w:color w:val="000000"/>
                <w:lang w:val="de-CH"/>
              </w:rPr>
              <w:br/>
            </w:r>
            <w:r w:rsidRPr="000513D2">
              <w:rPr>
                <w:rFonts w:eastAsia="Times New Roman"/>
                <w:b w:val="0"/>
                <w:color w:val="000000"/>
                <w:lang w:val="de-CH"/>
              </w:rPr>
              <w:lastRenderedPageBreak/>
              <w:t>780.1</w:t>
            </w:r>
            <w:r w:rsidRPr="000513D2">
              <w:rPr>
                <w:rFonts w:eastAsia="Times New Roman"/>
                <w:b w:val="0"/>
                <w:color w:val="000000"/>
                <w:lang w:val="de-CH"/>
              </w:rPr>
              <w:br/>
            </w:r>
            <w:r w:rsidRPr="000513D2">
              <w:rPr>
                <w:rFonts w:eastAsia="Times New Roman"/>
                <w:b w:val="0"/>
                <w:color w:val="000000"/>
                <w:lang w:val="de-CH"/>
              </w:rPr>
              <w:br/>
              <w:t>780.1</w:t>
            </w:r>
            <w:r w:rsidRPr="000513D2">
              <w:rPr>
                <w:rFonts w:eastAsia="Times New Roman"/>
                <w:b w:val="0"/>
                <w:color w:val="000000"/>
                <w:lang w:val="de-CH"/>
              </w:rPr>
              <w:br/>
            </w:r>
            <w:r w:rsidRPr="000513D2">
              <w:rPr>
                <w:rFonts w:eastAsia="Times New Roman"/>
                <w:b w:val="0"/>
                <w:color w:val="000000"/>
                <w:lang w:val="de-CH"/>
              </w:rPr>
              <w:br/>
              <w:t>TBD</w:t>
            </w:r>
          </w:p>
        </w:tc>
        <w:tc>
          <w:tcPr>
            <w:tcW w:w="1786" w:type="pct"/>
          </w:tcPr>
          <w:p w14:paraId="22685B43" w14:textId="77777777" w:rsidR="00186098" w:rsidRPr="00FE3A13" w:rsidRDefault="00186098" w:rsidP="00725483">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0513D2">
              <w:rPr>
                <w:rFonts w:eastAsia="Times New Roman"/>
                <w:color w:val="000000"/>
                <w:lang w:val="de-CH"/>
              </w:rPr>
              <w:lastRenderedPageBreak/>
              <w:br/>
            </w:r>
            <w:r w:rsidRPr="000513D2">
              <w:rPr>
                <w:rFonts w:eastAsia="Times New Roman"/>
                <w:b w:val="0"/>
                <w:color w:val="000000"/>
                <w:lang w:val="de-CH"/>
              </w:rPr>
              <w:t>Gesetz vom 6. April 2001 über die Ausübung der politischen Rechte (PRG)</w:t>
            </w:r>
            <w:r w:rsidRPr="000513D2">
              <w:rPr>
                <w:rFonts w:eastAsia="Times New Roman"/>
                <w:b w:val="0"/>
                <w:color w:val="000000"/>
                <w:lang w:val="de-CH"/>
              </w:rPr>
              <w:br/>
              <w:t>Gesetz vom 22. Juni 2001 über die finanzielle Beteiligung des Staates an Wahlkampfkosten (BWKG)</w:t>
            </w:r>
            <w:r w:rsidRPr="000513D2">
              <w:rPr>
                <w:rFonts w:eastAsia="Times New Roman"/>
                <w:b w:val="0"/>
                <w:color w:val="000000"/>
                <w:lang w:val="de-CH"/>
              </w:rPr>
              <w:br/>
              <w:t>Gesetz vom 14. Dezember 2017 über das freiburgische Bürgerrecht (BRG)</w:t>
            </w:r>
            <w:r w:rsidRPr="000513D2">
              <w:rPr>
                <w:rFonts w:eastAsia="Times New Roman"/>
                <w:b w:val="0"/>
                <w:color w:val="000000"/>
                <w:lang w:val="de-CH"/>
              </w:rPr>
              <w:br/>
            </w:r>
            <w:r w:rsidRPr="000513D2">
              <w:rPr>
                <w:b w:val="0"/>
                <w:color w:val="auto"/>
                <w:szCs w:val="18"/>
                <w:lang w:val="de-CH"/>
              </w:rPr>
              <w:t>Gesetz vom 16. November 2017 über die sonder- und sozialpädagogischen Institutionen und die professionellen Pflegefamilien (SIPG</w:t>
            </w:r>
            <w:r w:rsidRPr="000513D2">
              <w:rPr>
                <w:b w:val="0"/>
                <w:color w:val="auto"/>
                <w:lang w:val="de-CH"/>
              </w:rPr>
              <w:t>)</w:t>
            </w:r>
            <w:r w:rsidRPr="000513D2">
              <w:rPr>
                <w:rFonts w:eastAsia="Times New Roman"/>
                <w:color w:val="auto"/>
                <w:lang w:val="de-CH"/>
              </w:rPr>
              <w:br/>
            </w:r>
            <w:r w:rsidRPr="009F2BBB">
              <w:rPr>
                <w:rFonts w:eastAsia="Times New Roman"/>
                <w:b w:val="0"/>
                <w:color w:val="000000"/>
                <w:lang w:val="de-CH"/>
              </w:rPr>
              <w:t>Gesetz vom 16. November</w:t>
            </w:r>
            <w:r w:rsidRPr="000513D2">
              <w:rPr>
                <w:rFonts w:eastAsia="Times New Roman"/>
                <w:b w:val="0"/>
                <w:color w:val="000000"/>
                <w:lang w:val="de-CH"/>
              </w:rPr>
              <w:t xml:space="preserve"> 2009 über den interkommunalen Finanzausgleich (IFAG)</w:t>
            </w:r>
            <w:r w:rsidRPr="000513D2">
              <w:rPr>
                <w:rFonts w:eastAsia="Times New Roman"/>
                <w:b w:val="0"/>
                <w:color w:val="000000"/>
                <w:lang w:val="de-CH"/>
              </w:rPr>
              <w:br/>
              <w:t>Gesetz vom 16. November 1965 über Ergänzungsleistungen zur Alters-, Hinterlassenen- und Invalidenversicherung</w:t>
            </w:r>
            <w:r w:rsidRPr="000513D2">
              <w:rPr>
                <w:rFonts w:eastAsia="Times New Roman"/>
                <w:b w:val="0"/>
                <w:color w:val="000000"/>
                <w:lang w:val="de-CH"/>
              </w:rPr>
              <w:br/>
              <w:t>Gesetz vom 8. Februar 2024 über die Ergänzungsleistungen für Familien (FamELG)</w:t>
            </w:r>
            <w:r w:rsidRPr="000513D2">
              <w:rPr>
                <w:rFonts w:eastAsia="Times New Roman"/>
                <w:b w:val="0"/>
                <w:color w:val="000000"/>
                <w:lang w:val="de-CH"/>
              </w:rPr>
              <w:br/>
            </w:r>
            <w:r>
              <w:rPr>
                <w:rFonts w:eastAsia="Times New Roman"/>
                <w:b w:val="0"/>
                <w:color w:val="000000"/>
                <w:lang w:val="de-CH"/>
              </w:rPr>
              <w:br/>
            </w:r>
            <w:r w:rsidRPr="000513D2">
              <w:rPr>
                <w:rFonts w:eastAsia="Times New Roman"/>
                <w:b w:val="0"/>
                <w:color w:val="000000"/>
                <w:lang w:val="de-CH"/>
              </w:rPr>
              <w:t>Mobilitätsgesetz vom 5. November 2021 (MobG)</w:t>
            </w:r>
            <w:r w:rsidRPr="000513D2">
              <w:rPr>
                <w:rFonts w:eastAsia="Times New Roman"/>
                <w:b w:val="0"/>
                <w:color w:val="000000"/>
                <w:lang w:val="de-CH"/>
              </w:rPr>
              <w:br/>
            </w:r>
            <w:r w:rsidRPr="000513D2">
              <w:rPr>
                <w:rFonts w:eastAsia="Times New Roman"/>
                <w:b w:val="0"/>
                <w:color w:val="000000"/>
                <w:lang w:val="de-CH"/>
              </w:rPr>
              <w:br/>
            </w:r>
            <w:r>
              <w:rPr>
                <w:rFonts w:eastAsia="Times New Roman"/>
                <w:b w:val="0"/>
                <w:color w:val="000000"/>
                <w:lang w:val="de-CH"/>
              </w:rPr>
              <w:br/>
            </w:r>
            <w:r w:rsidRPr="000513D2">
              <w:rPr>
                <w:rFonts w:eastAsia="Times New Roman"/>
                <w:b w:val="0"/>
                <w:color w:val="000000"/>
                <w:lang w:val="de-CH"/>
              </w:rPr>
              <w:lastRenderedPageBreak/>
              <w:t>Mobilitätsgesetz vom 5. November 2021 (MobG)</w:t>
            </w:r>
            <w:r w:rsidRPr="000513D2">
              <w:rPr>
                <w:rFonts w:eastAsia="Times New Roman"/>
                <w:b w:val="0"/>
                <w:color w:val="000000"/>
                <w:lang w:val="de-CH"/>
              </w:rPr>
              <w:br/>
            </w:r>
            <w:r>
              <w:rPr>
                <w:rFonts w:eastAsia="Times New Roman"/>
                <w:b w:val="0"/>
                <w:color w:val="000000"/>
                <w:lang w:val="de-CH"/>
              </w:rPr>
              <w:br/>
            </w:r>
            <w:r w:rsidRPr="000513D2">
              <w:rPr>
                <w:rFonts w:eastAsia="Times New Roman"/>
                <w:b w:val="0"/>
                <w:color w:val="000000"/>
                <w:lang w:val="de-CH"/>
              </w:rPr>
              <w:t>Mobilitätsgesetz vom 5. November 2021 (MobG)</w:t>
            </w:r>
            <w:r w:rsidRPr="000513D2">
              <w:rPr>
                <w:rFonts w:eastAsia="Times New Roman"/>
                <w:b w:val="0"/>
                <w:color w:val="000000"/>
                <w:lang w:val="de-CH"/>
              </w:rPr>
              <w:br/>
            </w:r>
            <w:r w:rsidRPr="000513D2">
              <w:rPr>
                <w:rFonts w:eastAsia="Times New Roman"/>
                <w:b w:val="0"/>
                <w:color w:val="000000"/>
                <w:lang w:val="de-CH"/>
              </w:rPr>
              <w:br/>
              <w:t>TBD</w:t>
            </w:r>
          </w:p>
        </w:tc>
      </w:tr>
    </w:tbl>
    <w:p w14:paraId="47B7D2CB" w14:textId="77777777" w:rsidR="00186098" w:rsidRPr="000B0E13" w:rsidRDefault="00186098" w:rsidP="00186098">
      <w:pPr>
        <w:pStyle w:val="Listealphabtique"/>
        <w:numPr>
          <w:ilvl w:val="0"/>
          <w:numId w:val="37"/>
        </w:numPr>
        <w:ind w:left="426" w:hanging="426"/>
        <w:rPr>
          <w:b/>
          <w:lang w:val="de-CH"/>
        </w:rPr>
      </w:pPr>
      <w:r w:rsidRPr="000513D2">
        <w:rPr>
          <w:rFonts w:ascii="Times New Roman" w:eastAsia="Times New Roman" w:hAnsi="Times New Roman" w:cs="Times New Roman"/>
          <w:b/>
          <w:lang w:val="de-CH"/>
        </w:rPr>
        <w:lastRenderedPageBreak/>
        <w:t>Zur Einhaltung des Finanzplans notwendige Massnahme</w:t>
      </w:r>
    </w:p>
    <w:p w14:paraId="721E9D25" w14:textId="77777777" w:rsidR="00186098" w:rsidRPr="00623EA8" w:rsidRDefault="00186098" w:rsidP="00186098">
      <w:pPr>
        <w:rPr>
          <w:b/>
          <w:bCs/>
          <w:lang w:val="de-CH"/>
        </w:rPr>
      </w:pPr>
      <w:r w:rsidRPr="000B0E13">
        <w:rPr>
          <w:lang w:val="de-CH"/>
        </w:rPr>
        <w:t>&gt;</w:t>
      </w:r>
      <w:r w:rsidRPr="000B0E13">
        <w:rPr>
          <w:lang w:val="de-CH"/>
        </w:rPr>
        <w:tab/>
      </w:r>
      <w:r w:rsidRPr="000513D2">
        <w:rPr>
          <w:rFonts w:ascii="Times New Roman" w:eastAsia="Times New Roman" w:hAnsi="Times New Roman" w:cs="Times New Roman"/>
          <w:b/>
          <w:lang w:val="de-CH"/>
        </w:rPr>
        <w:t>Weiterverrechnung der kantonalen Aufträge der Pflegeheime an die Gemeinden</w:t>
      </w:r>
    </w:p>
    <w:p w14:paraId="1B7F87C2" w14:textId="77777777" w:rsidR="00186098" w:rsidRPr="00623EA8" w:rsidRDefault="00186098" w:rsidP="00186098">
      <w:pPr>
        <w:rPr>
          <w:lang w:val="de-CH"/>
        </w:rPr>
      </w:pPr>
      <w:r w:rsidRPr="000513D2">
        <w:rPr>
          <w:rFonts w:ascii="Times New Roman" w:eastAsia="Times New Roman" w:hAnsi="Times New Roman" w:cs="Times New Roman"/>
          <w:lang w:val="de-CH"/>
        </w:rPr>
        <w:t>Massnahme: Weiterverrechnung der kantonalen Aufträge der Pflegeheime an die Gemeinden. Aufgrund des im Bericht zur Planung der Langzeitpflege aufgezeigten Bedarfs und insbesondere aufgrund von Verzögerungen beim Bau von Pflegeheimen verlängert sich der Spitalaufenthalt gewisser Personen. Die Spitäler und andere Einrichtungen werden für solche Unterbringungen einen kantonalen Auftrag erhalten, und die Mehrkosten werden vollständig an die sozialmedizinischen Netzwerke der betroffenen Bezirke weiterverrechnet.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FE3A13" w14:paraId="503CDBB3"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687E5F0" w14:textId="77777777" w:rsidR="00186098" w:rsidRPr="00FE3A13" w:rsidRDefault="00186098" w:rsidP="00725483">
            <w:pPr>
              <w:pStyle w:val="NIVtableau"/>
              <w:rPr>
                <w:color w:val="auto"/>
                <w:sz w:val="21"/>
                <w:lang w:val="en-US"/>
              </w:rPr>
            </w:pPr>
            <w:r w:rsidRPr="000513D2">
              <w:rPr>
                <w:rFonts w:eastAsia="Times New Roman"/>
                <w:lang w:val="de-CH"/>
              </w:rPr>
              <w:t>Finanzielle Auswirkungen in Franken</w:t>
            </w:r>
          </w:p>
        </w:tc>
        <w:tc>
          <w:tcPr>
            <w:tcW w:w="833" w:type="pct"/>
          </w:tcPr>
          <w:p w14:paraId="268CCE1A"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2026</w:t>
            </w:r>
          </w:p>
        </w:tc>
        <w:tc>
          <w:tcPr>
            <w:tcW w:w="833" w:type="pct"/>
          </w:tcPr>
          <w:p w14:paraId="02CB91D7"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2027</w:t>
            </w:r>
          </w:p>
        </w:tc>
        <w:tc>
          <w:tcPr>
            <w:tcW w:w="833" w:type="pct"/>
          </w:tcPr>
          <w:p w14:paraId="56A6A924"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2028</w:t>
            </w:r>
          </w:p>
        </w:tc>
        <w:tc>
          <w:tcPr>
            <w:tcW w:w="831" w:type="pct"/>
          </w:tcPr>
          <w:p w14:paraId="52B3A139"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Total</w:t>
            </w:r>
          </w:p>
        </w:tc>
      </w:tr>
      <w:tr w:rsidR="00186098" w:rsidRPr="00FE3A13" w14:paraId="367322BE"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9C5539E" w14:textId="77777777" w:rsidR="00186098" w:rsidRPr="00FE3A13" w:rsidRDefault="00186098" w:rsidP="00725483">
            <w:pPr>
              <w:pStyle w:val="NIVtableau"/>
              <w:rPr>
                <w:lang w:val="en-US"/>
              </w:rPr>
            </w:pPr>
            <w:r w:rsidRPr="000513D2">
              <w:rPr>
                <w:rFonts w:eastAsia="Times New Roman"/>
                <w:lang w:val="de-CH"/>
              </w:rPr>
              <w:t>Staat</w:t>
            </w:r>
          </w:p>
        </w:tc>
        <w:tc>
          <w:tcPr>
            <w:tcW w:w="833" w:type="pct"/>
          </w:tcPr>
          <w:p w14:paraId="3225BC53"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500 000</w:t>
            </w:r>
          </w:p>
        </w:tc>
        <w:tc>
          <w:tcPr>
            <w:tcW w:w="833" w:type="pct"/>
          </w:tcPr>
          <w:p w14:paraId="6CB69384"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500 000</w:t>
            </w:r>
          </w:p>
        </w:tc>
        <w:tc>
          <w:tcPr>
            <w:tcW w:w="833" w:type="pct"/>
          </w:tcPr>
          <w:p w14:paraId="33462737"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500 000</w:t>
            </w:r>
          </w:p>
        </w:tc>
        <w:tc>
          <w:tcPr>
            <w:tcW w:w="831" w:type="pct"/>
          </w:tcPr>
          <w:p w14:paraId="255B30FD"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1 500 000</w:t>
            </w:r>
          </w:p>
        </w:tc>
      </w:tr>
      <w:tr w:rsidR="00186098" w:rsidRPr="00FE3A13" w14:paraId="5D115356"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A089BC7" w14:textId="77777777" w:rsidR="00186098" w:rsidRPr="00FE3A13" w:rsidRDefault="00186098" w:rsidP="00725483">
            <w:pPr>
              <w:pStyle w:val="NIVtableau"/>
              <w:rPr>
                <w:b w:val="0"/>
                <w:bCs w:val="0"/>
                <w:lang w:val="en-US"/>
              </w:rPr>
            </w:pPr>
            <w:r w:rsidRPr="000513D2">
              <w:rPr>
                <w:rFonts w:eastAsia="Times New Roman"/>
                <w:b w:val="0"/>
                <w:lang w:val="de-CH"/>
              </w:rPr>
              <w:t>Gemeinden</w:t>
            </w:r>
          </w:p>
        </w:tc>
        <w:tc>
          <w:tcPr>
            <w:tcW w:w="833" w:type="pct"/>
          </w:tcPr>
          <w:p w14:paraId="374D0972"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0513D2">
              <w:rPr>
                <w:rFonts w:eastAsia="Times New Roman"/>
                <w:b w:val="0"/>
                <w:color w:val="000000"/>
                <w:lang w:val="de-CH"/>
              </w:rPr>
              <w:t>500</w:t>
            </w:r>
            <w:r w:rsidRPr="000513D2">
              <w:rPr>
                <w:rFonts w:eastAsia="Times New Roman"/>
                <w:color w:val="000000"/>
                <w:lang w:val="de-CH"/>
              </w:rPr>
              <w:t> </w:t>
            </w:r>
            <w:r w:rsidRPr="000513D2">
              <w:rPr>
                <w:rFonts w:eastAsia="Times New Roman"/>
                <w:b w:val="0"/>
                <w:color w:val="000000"/>
                <w:lang w:val="de-CH"/>
              </w:rPr>
              <w:t>000</w:t>
            </w:r>
          </w:p>
        </w:tc>
        <w:tc>
          <w:tcPr>
            <w:tcW w:w="833" w:type="pct"/>
          </w:tcPr>
          <w:p w14:paraId="21702079"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0513D2">
              <w:rPr>
                <w:rFonts w:eastAsia="Times New Roman"/>
                <w:b w:val="0"/>
                <w:color w:val="000000"/>
                <w:lang w:val="de-CH"/>
              </w:rPr>
              <w:t>500</w:t>
            </w:r>
            <w:r w:rsidRPr="000513D2">
              <w:rPr>
                <w:rFonts w:eastAsia="Times New Roman"/>
                <w:color w:val="000000"/>
                <w:lang w:val="de-CH"/>
              </w:rPr>
              <w:t> </w:t>
            </w:r>
            <w:r w:rsidRPr="000513D2">
              <w:rPr>
                <w:rFonts w:eastAsia="Times New Roman"/>
                <w:b w:val="0"/>
                <w:color w:val="000000"/>
                <w:lang w:val="de-CH"/>
              </w:rPr>
              <w:t>000</w:t>
            </w:r>
          </w:p>
        </w:tc>
        <w:tc>
          <w:tcPr>
            <w:tcW w:w="833" w:type="pct"/>
          </w:tcPr>
          <w:p w14:paraId="659A956D"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0513D2">
              <w:rPr>
                <w:rFonts w:eastAsia="Times New Roman"/>
                <w:b w:val="0"/>
                <w:color w:val="000000"/>
                <w:lang w:val="de-CH"/>
              </w:rPr>
              <w:t>500</w:t>
            </w:r>
            <w:r w:rsidRPr="000513D2">
              <w:rPr>
                <w:rFonts w:eastAsia="Times New Roman"/>
                <w:color w:val="000000"/>
                <w:lang w:val="de-CH"/>
              </w:rPr>
              <w:t> </w:t>
            </w:r>
            <w:r w:rsidRPr="000513D2">
              <w:rPr>
                <w:rFonts w:eastAsia="Times New Roman"/>
                <w:b w:val="0"/>
                <w:color w:val="000000"/>
                <w:lang w:val="de-CH"/>
              </w:rPr>
              <w:t>000</w:t>
            </w:r>
          </w:p>
        </w:tc>
        <w:tc>
          <w:tcPr>
            <w:tcW w:w="831" w:type="pct"/>
          </w:tcPr>
          <w:p w14:paraId="76635DC5"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rFonts w:eastAsia="Times New Roman"/>
                <w:b w:val="0"/>
                <w:color w:val="000000"/>
                <w:lang w:val="de-CH"/>
              </w:rPr>
              <w:t>– </w:t>
            </w:r>
            <w:r w:rsidRPr="000513D2">
              <w:rPr>
                <w:rFonts w:eastAsia="Times New Roman"/>
                <w:b w:val="0"/>
                <w:color w:val="000000"/>
                <w:lang w:val="de-CH"/>
              </w:rPr>
              <w:t>1</w:t>
            </w:r>
            <w:r w:rsidRPr="000513D2">
              <w:rPr>
                <w:rFonts w:eastAsia="Times New Roman"/>
                <w:color w:val="000000"/>
                <w:lang w:val="de-CH"/>
              </w:rPr>
              <w:t> </w:t>
            </w:r>
            <w:r w:rsidRPr="000513D2">
              <w:rPr>
                <w:rFonts w:eastAsia="Times New Roman"/>
                <w:b w:val="0"/>
                <w:color w:val="000000"/>
                <w:lang w:val="de-CH"/>
              </w:rPr>
              <w:t>500</w:t>
            </w:r>
            <w:r w:rsidRPr="000513D2">
              <w:rPr>
                <w:rFonts w:eastAsia="Times New Roman"/>
                <w:color w:val="000000"/>
                <w:lang w:val="de-CH"/>
              </w:rPr>
              <w:t> </w:t>
            </w:r>
            <w:r w:rsidRPr="000513D2">
              <w:rPr>
                <w:rFonts w:eastAsia="Times New Roman"/>
                <w:b w:val="0"/>
                <w:color w:val="000000"/>
                <w:lang w:val="de-CH"/>
              </w:rPr>
              <w:t>000</w:t>
            </w:r>
          </w:p>
        </w:tc>
      </w:tr>
    </w:tbl>
    <w:p w14:paraId="7CB70559" w14:textId="77777777" w:rsidR="00186098" w:rsidRPr="00FE3A13" w:rsidRDefault="00186098" w:rsidP="00186098">
      <w:pPr>
        <w:pStyle w:val="Listealphabtique"/>
        <w:numPr>
          <w:ilvl w:val="0"/>
          <w:numId w:val="37"/>
        </w:numPr>
        <w:ind w:left="426" w:hanging="426"/>
        <w:rPr>
          <w:b/>
          <w:bCs/>
        </w:rPr>
      </w:pPr>
      <w:r w:rsidRPr="00EB6310">
        <w:rPr>
          <w:b/>
          <w:bCs/>
          <w:lang w:val="de-CH"/>
        </w:rPr>
        <w:t>Massnahmen</w:t>
      </w:r>
      <w:r>
        <w:rPr>
          <w:b/>
          <w:bCs/>
        </w:rPr>
        <w:t xml:space="preserve"> des PSKF</w:t>
      </w:r>
    </w:p>
    <w:p w14:paraId="145511E2" w14:textId="77777777" w:rsidR="00186098" w:rsidRPr="000513D2" w:rsidRDefault="00186098" w:rsidP="00186098">
      <w:pPr>
        <w:rPr>
          <w:rFonts w:ascii="Times New Roman" w:eastAsia="Times New Roman" w:hAnsi="Times New Roman" w:cs="Times New Roman"/>
          <w:b/>
          <w:bCs/>
          <w:lang w:val="de-CH"/>
        </w:rPr>
      </w:pPr>
      <w:r w:rsidRPr="006F19D6">
        <w:rPr>
          <w:lang w:val="de-CH"/>
        </w:rPr>
        <w:t>&gt;</w:t>
      </w:r>
      <w:r w:rsidRPr="006F19D6">
        <w:rPr>
          <w:lang w:val="de-CH"/>
        </w:rPr>
        <w:tab/>
      </w:r>
      <w:r w:rsidRPr="000513D2">
        <w:rPr>
          <w:rFonts w:ascii="Times New Roman" w:eastAsia="Times New Roman" w:hAnsi="Times New Roman" w:cs="Times New Roman"/>
          <w:b/>
          <w:lang w:val="de-CH"/>
        </w:rPr>
        <w:t>Verzicht auf die künftige Übernahme der Portokosten der Briefwahl durch den Staat</w:t>
      </w:r>
    </w:p>
    <w:p w14:paraId="1E9BC9F8"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 xml:space="preserve">Massnahme: Verzicht auf die Übernahme der Portokosten für die Briefwahl. Die Bevölkerung hat die Möglichkeit, ihr Abstimmungskuvert ohne Portokosten bei allen Gemeindeverwaltungen abzugeben. Es ist daher nachvollziehbar, dass der Staat keine Portokosten übernimmt. Obschon diese Massnahme Teil des PSKF ist, musste der Staatsrat insofern schon im Voraus handeln, als der Grosse Rat am 25. und 27. März 2025 direkt mit einer Änderung des Gesetzes über die Ausübung der politischen Rechte befasst war, mit der eine Kostenübernahme durch den Staat </w:t>
      </w:r>
      <w:r>
        <w:rPr>
          <w:rFonts w:ascii="Times New Roman" w:eastAsia="Times New Roman" w:hAnsi="Times New Roman" w:cs="Times New Roman"/>
          <w:lang w:val="de-CH"/>
        </w:rPr>
        <w:t>eingeführt werden sollte</w:t>
      </w:r>
      <w:r w:rsidRPr="000513D2">
        <w:rPr>
          <w:rFonts w:ascii="Times New Roman" w:eastAsia="Times New Roman" w:hAnsi="Times New Roman" w:cs="Times New Roman"/>
          <w:lang w:val="de-CH"/>
        </w:rPr>
        <w:t>. Der Grosse Rat hat diese Kostenübernahme bereits abgelehnt.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3B16FC2D"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99FF1C7"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680B5275"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15673350"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3328519D"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3" w:type="pct"/>
          </w:tcPr>
          <w:p w14:paraId="2CCFCDCD"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2FC693E1"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BD527DB" w14:textId="77777777" w:rsidR="00186098" w:rsidRPr="000513D2" w:rsidRDefault="00186098" w:rsidP="00725483">
            <w:pPr>
              <w:spacing w:after="0"/>
              <w:rPr>
                <w:rFonts w:eastAsia="Times New Roman" w:cs="Arial"/>
                <w:sz w:val="18"/>
                <w:szCs w:val="20"/>
                <w:lang w:val="de-CH"/>
              </w:rPr>
            </w:pPr>
            <w:r w:rsidRPr="000513D2">
              <w:rPr>
                <w:rFonts w:eastAsia="Times New Roman" w:cs="Arial"/>
                <w:sz w:val="18"/>
                <w:lang w:val="de-CH"/>
              </w:rPr>
              <w:t>Staat</w:t>
            </w:r>
          </w:p>
        </w:tc>
        <w:tc>
          <w:tcPr>
            <w:tcW w:w="833" w:type="pct"/>
          </w:tcPr>
          <w:p w14:paraId="3B66F0C6"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0513D2">
              <w:rPr>
                <w:rFonts w:eastAsia="Times New Roman" w:cs="Arial"/>
                <w:color w:val="000000"/>
                <w:sz w:val="18"/>
                <w:lang w:val="de-CH"/>
              </w:rPr>
              <w:t>0</w:t>
            </w:r>
          </w:p>
        </w:tc>
        <w:tc>
          <w:tcPr>
            <w:tcW w:w="833" w:type="pct"/>
          </w:tcPr>
          <w:p w14:paraId="772FAB47"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0513D2">
              <w:rPr>
                <w:rFonts w:eastAsia="Times New Roman" w:cs="Arial"/>
                <w:color w:val="000000"/>
                <w:sz w:val="18"/>
                <w:lang w:val="de-CH"/>
              </w:rPr>
              <w:t>600 000</w:t>
            </w:r>
          </w:p>
        </w:tc>
        <w:tc>
          <w:tcPr>
            <w:tcW w:w="833" w:type="pct"/>
          </w:tcPr>
          <w:p w14:paraId="7ACAAA57"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0513D2">
              <w:rPr>
                <w:rFonts w:eastAsia="Times New Roman" w:cs="Arial"/>
                <w:color w:val="000000"/>
                <w:sz w:val="18"/>
                <w:lang w:val="de-CH"/>
              </w:rPr>
              <w:t>480 000</w:t>
            </w:r>
          </w:p>
        </w:tc>
        <w:tc>
          <w:tcPr>
            <w:tcW w:w="833" w:type="pct"/>
          </w:tcPr>
          <w:p w14:paraId="4BF5CD02"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0513D2">
              <w:rPr>
                <w:rFonts w:eastAsia="Times New Roman" w:cs="Arial"/>
                <w:color w:val="000000"/>
                <w:sz w:val="18"/>
                <w:lang w:val="de-CH"/>
              </w:rPr>
              <w:t>1 080 000</w:t>
            </w:r>
          </w:p>
        </w:tc>
      </w:tr>
      <w:tr w:rsidR="00186098" w:rsidRPr="000513D2" w14:paraId="2CDAA584"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023E385"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2BDC5BC8"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3FB9C1E0"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544F8D62"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0AEFCEBB"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r>
    </w:tbl>
    <w:p w14:paraId="5B0C7AAA" w14:textId="77777777" w:rsidR="00186098" w:rsidRPr="000513D2" w:rsidRDefault="00186098" w:rsidP="00186098">
      <w:pPr>
        <w:rPr>
          <w:rFonts w:ascii="Times New Roman" w:eastAsia="Times New Roman" w:hAnsi="Times New Roman" w:cs="Times New Roman"/>
          <w:b/>
          <w:bCs/>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Abschaffung des Versands von Wahlpropagandamaterial an Auslandschweizerinnen und Auslandschweizer</w:t>
      </w:r>
    </w:p>
    <w:p w14:paraId="08CAB111"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Massnahme: Kein Versand von Propagandamaterial mehr an Auslandschweizerinnen und Auslandschweizer. Dieser Versand ins Ausland ist teuer und soll ersetzt werden, indem dem Wahlmaterial ein Flyer mit allen Informationen zur Werbung der politischen Parteien (auf der Website des Staates Freiburg aufgeschaltet) beigefügt wird. Der Zugang kann mit einem QR-Code vereinfacht werden, mit dem die entsprechende Webpage auf der Website des Staates direkt geöffnet werden kann.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320D5BD2"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2F77C77"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4B6ED046"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7538EE9C"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2426C711"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7EAF9C55"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3FE005D8"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5885357"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19F21875"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34 000</w:t>
            </w:r>
          </w:p>
        </w:tc>
        <w:tc>
          <w:tcPr>
            <w:tcW w:w="833" w:type="pct"/>
          </w:tcPr>
          <w:p w14:paraId="77A110E6"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55 000</w:t>
            </w:r>
          </w:p>
        </w:tc>
        <w:tc>
          <w:tcPr>
            <w:tcW w:w="833" w:type="pct"/>
          </w:tcPr>
          <w:p w14:paraId="791243EF"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0</w:t>
            </w:r>
          </w:p>
        </w:tc>
        <w:tc>
          <w:tcPr>
            <w:tcW w:w="831" w:type="pct"/>
          </w:tcPr>
          <w:p w14:paraId="4CC515BE"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89 000</w:t>
            </w:r>
          </w:p>
        </w:tc>
      </w:tr>
      <w:tr w:rsidR="00186098" w:rsidRPr="000513D2" w14:paraId="101D6DC5"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04D17EC"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789B7426"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7EC3D794"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3A3239AF"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1" w:type="pct"/>
          </w:tcPr>
          <w:p w14:paraId="33DBBE39"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r>
    </w:tbl>
    <w:p w14:paraId="5408E8F8" w14:textId="77777777" w:rsidR="00186098" w:rsidRPr="000513D2" w:rsidRDefault="00186098" w:rsidP="00186098">
      <w:pPr>
        <w:rPr>
          <w:rFonts w:ascii="Times New Roman" w:eastAsia="Times New Roman" w:hAnsi="Times New Roman" w:cs="Times New Roman"/>
          <w:b/>
          <w:bCs/>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Änderung des Verfahrens einer ordentlichen Einbürgerung</w:t>
      </w:r>
    </w:p>
    <w:p w14:paraId="74DE5A17" w14:textId="1E93EB2A"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Massnahme: Änderung des Verfahrens einer ordentlichen Einbürgerung. Das Verfahren könnte vereinfacht werden, etwa indem das Dossier an d</w:t>
      </w:r>
      <w:r w:rsidR="009370DF">
        <w:rPr>
          <w:rFonts w:ascii="Times New Roman" w:eastAsia="Times New Roman" w:hAnsi="Times New Roman" w:cs="Times New Roman"/>
          <w:lang w:val="de-CH"/>
        </w:rPr>
        <w:t>en Staatsrat</w:t>
      </w:r>
      <w:r w:rsidRPr="000513D2">
        <w:rPr>
          <w:rFonts w:ascii="Times New Roman" w:eastAsia="Times New Roman" w:hAnsi="Times New Roman" w:cs="Times New Roman"/>
          <w:lang w:val="de-CH"/>
        </w:rPr>
        <w:t xml:space="preserve"> weitergeleitet wird, sobald der Bewerberin oder dem Bewerber das </w:t>
      </w:r>
      <w:r w:rsidRPr="000513D2">
        <w:rPr>
          <w:rFonts w:ascii="Times New Roman" w:eastAsia="Times New Roman" w:hAnsi="Times New Roman" w:cs="Times New Roman"/>
          <w:lang w:val="de-CH"/>
        </w:rPr>
        <w:lastRenderedPageBreak/>
        <w:t>Gemeindebürgerrecht und die eidgenössische Einbürgerungsbewilligung verliehen wurde. Damit würde der Staatsrat und nicht mehr der Grosse Rat über die kantonale Einbürgerung entscheiden</w:t>
      </w:r>
      <w:r>
        <w:rPr>
          <w:rFonts w:ascii="Times New Roman" w:eastAsia="Times New Roman" w:hAnsi="Times New Roman" w:cs="Times New Roman"/>
          <w:lang w:val="de-CH"/>
        </w:rPr>
        <w:t>, wie dies bereits in fast allen Westschweizer Kantonen der Fall ist</w:t>
      </w:r>
      <w:r w:rsidRPr="000513D2">
        <w:rPr>
          <w:rFonts w:ascii="Times New Roman" w:eastAsia="Times New Roman" w:hAnsi="Times New Roman" w:cs="Times New Roman"/>
          <w:lang w:val="de-CH"/>
        </w:rPr>
        <w:t>. Eingespart werden können damit Sitzungsgelder der Einbürgerungskommission des Grossen Rates, die sich derzeit damit befasst.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5BE541EE"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133290F"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72BACBEF"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032E8577"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2AC2E09A"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112F3A89"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30786C13"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51F2F17"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185E40DA" w14:textId="1FEC8C64"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88 000</w:t>
            </w:r>
          </w:p>
        </w:tc>
        <w:tc>
          <w:tcPr>
            <w:tcW w:w="833" w:type="pct"/>
          </w:tcPr>
          <w:p w14:paraId="72EAA736" w14:textId="50D2A49B"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88 000</w:t>
            </w:r>
          </w:p>
        </w:tc>
        <w:tc>
          <w:tcPr>
            <w:tcW w:w="833" w:type="pct"/>
          </w:tcPr>
          <w:p w14:paraId="2F1DAF6A" w14:textId="3C01A4B4"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88 000</w:t>
            </w:r>
          </w:p>
        </w:tc>
        <w:tc>
          <w:tcPr>
            <w:tcW w:w="831" w:type="pct"/>
          </w:tcPr>
          <w:p w14:paraId="20DF4575" w14:textId="2618516D"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264 000</w:t>
            </w:r>
          </w:p>
        </w:tc>
      </w:tr>
      <w:tr w:rsidR="00186098" w:rsidRPr="000513D2" w14:paraId="2F28FCEF"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6D6F530"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4F88F593"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5441D8A6"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7D2146BF"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1" w:type="pct"/>
          </w:tcPr>
          <w:p w14:paraId="00A4038E"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r>
    </w:tbl>
    <w:p w14:paraId="527C25F4" w14:textId="77777777" w:rsidR="00186098" w:rsidRPr="000513D2" w:rsidRDefault="00186098" w:rsidP="00186098">
      <w:pPr>
        <w:rPr>
          <w:rFonts w:ascii="Times New Roman" w:eastAsia="Times New Roman" w:hAnsi="Times New Roman" w:cs="Times New Roman"/>
          <w:b/>
          <w:bCs/>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Beiträge der Gemeinden an die Finanzierung von nicht professionellen Pflegefamilien</w:t>
      </w:r>
    </w:p>
    <w:p w14:paraId="7FC8F1C4" w14:textId="77777777" w:rsidR="00186098"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 xml:space="preserve">Massnahme: Beteiligung der Gemeinden an den Vergütungen für nicht professionelle Pflegefamilien. Die Gemeinden würden sich an der vorgesehenen Vergütung der nicht professionellen Pflegefamilien beteiligen, entsprechend der nach dem Gesetz über die sonder- und sozialpädagogischen Institutionen und die professionellen Pflegefamilien (SIPG) vorgesehenen Aufteilung. Der Staat würde also 45 % übernehmen, die Gemeinden 55 %. Die entsprechenden Ausgaben fallen erst ab 2027 an. </w:t>
      </w:r>
    </w:p>
    <w:p w14:paraId="5AEFF8EB" w14:textId="77777777" w:rsidR="00186098" w:rsidRPr="000513D2" w:rsidRDefault="00186098" w:rsidP="00186098">
      <w:pPr>
        <w:rPr>
          <w:rFonts w:ascii="Times New Roman" w:eastAsia="Times New Roman" w:hAnsi="Times New Roman" w:cs="Times New Roman"/>
          <w:lang w:val="de-CH"/>
        </w:rPr>
      </w:pP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0AB37E03"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32D2E01"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374AC603"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4A9B3F46"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40D746A2"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1DBD8567"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1F6DBE8A"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2F5F868"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514773EA"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0</w:t>
            </w:r>
          </w:p>
        </w:tc>
        <w:tc>
          <w:tcPr>
            <w:tcW w:w="833" w:type="pct"/>
          </w:tcPr>
          <w:p w14:paraId="3D36B272"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420 000</w:t>
            </w:r>
          </w:p>
        </w:tc>
        <w:tc>
          <w:tcPr>
            <w:tcW w:w="833" w:type="pct"/>
          </w:tcPr>
          <w:p w14:paraId="7668A277"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470 000</w:t>
            </w:r>
          </w:p>
        </w:tc>
        <w:tc>
          <w:tcPr>
            <w:tcW w:w="831" w:type="pct"/>
          </w:tcPr>
          <w:p w14:paraId="272DB461"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890 000</w:t>
            </w:r>
          </w:p>
        </w:tc>
      </w:tr>
      <w:tr w:rsidR="00186098" w:rsidRPr="000513D2" w14:paraId="7D722796"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0336AAE"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5F90780A"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0513D2">
              <w:rPr>
                <w:rFonts w:eastAsia="Times New Roman" w:cs="Arial"/>
                <w:b w:val="0"/>
                <w:color w:val="000000"/>
                <w:sz w:val="18"/>
                <w:lang w:val="de-CH"/>
              </w:rPr>
              <w:t>0</w:t>
            </w:r>
          </w:p>
        </w:tc>
        <w:tc>
          <w:tcPr>
            <w:tcW w:w="833" w:type="pct"/>
          </w:tcPr>
          <w:p w14:paraId="445A07E0"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420</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3" w:type="pct"/>
          </w:tcPr>
          <w:p w14:paraId="4CECF9F6"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470</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1" w:type="pct"/>
          </w:tcPr>
          <w:p w14:paraId="3A3E2730"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890</w:t>
            </w:r>
            <w:r w:rsidRPr="000513D2">
              <w:rPr>
                <w:rFonts w:eastAsia="Times New Roman" w:cs="Arial"/>
                <w:color w:val="000000"/>
                <w:sz w:val="18"/>
                <w:lang w:val="de-CH"/>
              </w:rPr>
              <w:t> </w:t>
            </w:r>
            <w:r w:rsidRPr="000513D2">
              <w:rPr>
                <w:rFonts w:eastAsia="Times New Roman" w:cs="Arial"/>
                <w:b w:val="0"/>
                <w:color w:val="000000"/>
                <w:sz w:val="18"/>
                <w:lang w:val="de-CH"/>
              </w:rPr>
              <w:t>000</w:t>
            </w:r>
          </w:p>
        </w:tc>
      </w:tr>
    </w:tbl>
    <w:p w14:paraId="1F65ACD1" w14:textId="0955ACCD" w:rsidR="00186098" w:rsidRPr="000513D2" w:rsidRDefault="00186098" w:rsidP="00186098">
      <w:pPr>
        <w:rPr>
          <w:rFonts w:ascii="Times New Roman" w:eastAsia="Times New Roman" w:hAnsi="Times New Roman" w:cs="Times New Roman"/>
          <w:b/>
          <w:bCs/>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Plafonierung des interkommunalen Bedarfsausgleichs auf dem Niveau von 2025</w:t>
      </w:r>
    </w:p>
    <w:p w14:paraId="1AA38334"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Massnahme: Vorübergehende Plafonierung</w:t>
      </w:r>
      <w:r w:rsidRPr="000513D2" w:rsidDel="00147C3A">
        <w:rPr>
          <w:rFonts w:ascii="Times New Roman" w:eastAsia="Times New Roman" w:hAnsi="Times New Roman" w:cs="Times New Roman"/>
          <w:lang w:val="de-CH"/>
        </w:rPr>
        <w:t xml:space="preserve"> </w:t>
      </w:r>
      <w:r w:rsidRPr="000513D2">
        <w:rPr>
          <w:rFonts w:ascii="Times New Roman" w:eastAsia="Times New Roman" w:hAnsi="Times New Roman" w:cs="Times New Roman"/>
          <w:lang w:val="de-CH"/>
        </w:rPr>
        <w:t>des interkommunalen Bedarfsausgleichs. Die vom Staat an die Gemeinden für den Bedarfsausgleich gezahlten Beträge sollen über den Zeitraum des PSKF (2026-2028) auf das Niveau der Beträge von 2025 begrenzt werden. Ab 2029 soll wieder der Normalzustand gelten.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77635F02"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DED1AFD"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5C311F1F"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6383BF7A"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505595A5"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7E5AAB1C"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1D4BB102"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A40CA16"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6295794B"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800 000</w:t>
            </w:r>
          </w:p>
        </w:tc>
        <w:tc>
          <w:tcPr>
            <w:tcW w:w="833" w:type="pct"/>
          </w:tcPr>
          <w:p w14:paraId="1B5B2124"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1 400 000</w:t>
            </w:r>
          </w:p>
        </w:tc>
        <w:tc>
          <w:tcPr>
            <w:tcW w:w="833" w:type="pct"/>
          </w:tcPr>
          <w:p w14:paraId="12133554"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2 000 000</w:t>
            </w:r>
          </w:p>
        </w:tc>
        <w:tc>
          <w:tcPr>
            <w:tcW w:w="831" w:type="pct"/>
          </w:tcPr>
          <w:p w14:paraId="05F1836D"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4 200 000</w:t>
            </w:r>
          </w:p>
        </w:tc>
      </w:tr>
      <w:tr w:rsidR="00186098" w:rsidRPr="000513D2" w14:paraId="73C20D35"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BD26D58" w14:textId="77777777" w:rsidR="00186098" w:rsidRPr="000513D2" w:rsidRDefault="00186098" w:rsidP="00725483">
            <w:pPr>
              <w:spacing w:after="0"/>
              <w:rPr>
                <w:rFonts w:eastAsia="Times New Roman" w:cs="Arial"/>
                <w:b w:val="0"/>
                <w:color w:val="auto"/>
                <w:sz w:val="18"/>
                <w:szCs w:val="20"/>
                <w:lang w:val="de-CH"/>
              </w:rPr>
            </w:pPr>
            <w:r w:rsidRPr="000513D2">
              <w:rPr>
                <w:rFonts w:eastAsia="Times New Roman" w:cs="Arial"/>
                <w:b w:val="0"/>
                <w:color w:val="auto"/>
                <w:sz w:val="18"/>
                <w:lang w:val="de-CH"/>
              </w:rPr>
              <w:t>Gemeinden</w:t>
            </w:r>
          </w:p>
        </w:tc>
        <w:tc>
          <w:tcPr>
            <w:tcW w:w="833" w:type="pct"/>
          </w:tcPr>
          <w:p w14:paraId="52B9BE15"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800 000</w:t>
            </w:r>
          </w:p>
        </w:tc>
        <w:tc>
          <w:tcPr>
            <w:tcW w:w="833" w:type="pct"/>
          </w:tcPr>
          <w:p w14:paraId="3ABE01DF"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1 400 000</w:t>
            </w:r>
          </w:p>
        </w:tc>
        <w:tc>
          <w:tcPr>
            <w:tcW w:w="833" w:type="pct"/>
          </w:tcPr>
          <w:p w14:paraId="265AA47A"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2 000 000</w:t>
            </w:r>
          </w:p>
        </w:tc>
        <w:tc>
          <w:tcPr>
            <w:tcW w:w="831" w:type="pct"/>
          </w:tcPr>
          <w:p w14:paraId="7E649556"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4 200 000</w:t>
            </w:r>
          </w:p>
        </w:tc>
      </w:tr>
    </w:tbl>
    <w:p w14:paraId="7681ABF4" w14:textId="77777777" w:rsidR="00186098" w:rsidRPr="000513D2" w:rsidRDefault="00186098" w:rsidP="00186098">
      <w:pPr>
        <w:rPr>
          <w:rFonts w:ascii="Times New Roman" w:eastAsia="Times New Roman" w:hAnsi="Times New Roman" w:cs="Times New Roman"/>
          <w:b/>
          <w:bCs/>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Pr>
          <w:rFonts w:ascii="Times New Roman" w:eastAsia="Times New Roman" w:hAnsi="Times New Roman" w:cs="Times New Roman"/>
          <w:b/>
          <w:lang w:val="de-CH"/>
        </w:rPr>
        <w:t>Beendigung der Übergangsregelung der Übernahme des</w:t>
      </w:r>
      <w:r w:rsidRPr="000513D2">
        <w:rPr>
          <w:rFonts w:ascii="Times New Roman" w:eastAsia="Times New Roman" w:hAnsi="Times New Roman" w:cs="Times New Roman"/>
          <w:b/>
          <w:lang w:val="de-CH"/>
        </w:rPr>
        <w:t xml:space="preserve"> Gemeindeanteils an den AHV/IV-</w:t>
      </w:r>
      <w:r>
        <w:rPr>
          <w:rFonts w:ascii="Times New Roman" w:eastAsia="Times New Roman" w:hAnsi="Times New Roman" w:cs="Times New Roman"/>
          <w:b/>
          <w:lang w:val="de-CH"/>
        </w:rPr>
        <w:t>Ergänzungsleistungen durch den Kanton</w:t>
      </w:r>
    </w:p>
    <w:p w14:paraId="67AE99A9"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Massnahme: Keine Übergangsregelung</w:t>
      </w:r>
      <w:r w:rsidRPr="000513D2">
        <w:rPr>
          <w:lang w:val="de-CH"/>
        </w:rPr>
        <w:t xml:space="preserve"> </w:t>
      </w:r>
      <w:r w:rsidRPr="000513D2">
        <w:rPr>
          <w:rFonts w:ascii="Times New Roman" w:eastAsia="Times New Roman" w:hAnsi="Times New Roman" w:cs="Times New Roman"/>
          <w:lang w:val="de-CH"/>
        </w:rPr>
        <w:t>für die AHV/IV-Ergänzungsleistungen mehr für die Gemeinden. Nach dem Gesetz über Ergänzungsleistungen zur Alters-, Hinterlassenen- und Invalidenversicherung müssen sich die Gemeinden zu 25 % an den Ergänzungsleistungen beteiligen. Aufgrund einer Übergangsregelung, die ursprünglich mit der NFA und dann mit dem Projekt der Aufgabenentflechtung zwischen Staat und Gemeinden (DETTEC) zusammenhing, sind die Gemeinden jedoch vorübergehend von der Zahlung befreit. Da das DETTEC-Projekt nicht zustande gekommen ist, wird die Übergangsregelung aufgehoben und wieder eine Beteiligung der Gemeinden an den AHV/IV-Ergänzungsleistungen eingeführt.</w:t>
      </w:r>
    </w:p>
    <w:p w14:paraId="3049E97F"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Der Staatsrat betont, dass der Staat die Finanzierung dieser Leistung viel länger als vorgesehen übernommen und die Gemeinden angesichts der jährlichen Beträge grosszügig unterstützt hat.</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7BEF8956"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E8F85B4"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030918B2"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0F051106"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506ADB0A"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2E61E088"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6E58D3D9"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F749078"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25D7188C"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28 847 000</w:t>
            </w:r>
          </w:p>
        </w:tc>
        <w:tc>
          <w:tcPr>
            <w:tcW w:w="833" w:type="pct"/>
          </w:tcPr>
          <w:p w14:paraId="47D57B3D"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29 557 000</w:t>
            </w:r>
          </w:p>
        </w:tc>
        <w:tc>
          <w:tcPr>
            <w:tcW w:w="833" w:type="pct"/>
          </w:tcPr>
          <w:p w14:paraId="63E5BED5"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30 180 000</w:t>
            </w:r>
          </w:p>
        </w:tc>
        <w:tc>
          <w:tcPr>
            <w:tcW w:w="831" w:type="pct"/>
          </w:tcPr>
          <w:p w14:paraId="7FD6CBE4"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88 584 000</w:t>
            </w:r>
          </w:p>
        </w:tc>
      </w:tr>
      <w:tr w:rsidR="00186098" w:rsidRPr="000513D2" w14:paraId="25D94F96"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0C42CEF"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60FCA576"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28</w:t>
            </w:r>
            <w:r w:rsidRPr="000513D2">
              <w:rPr>
                <w:rFonts w:eastAsia="Times New Roman" w:cs="Arial"/>
                <w:color w:val="000000"/>
                <w:sz w:val="18"/>
                <w:lang w:val="de-CH"/>
              </w:rPr>
              <w:t> </w:t>
            </w:r>
            <w:r>
              <w:rPr>
                <w:rFonts w:eastAsia="Times New Roman" w:cs="Arial"/>
                <w:b w:val="0"/>
                <w:color w:val="000000"/>
                <w:sz w:val="18"/>
                <w:lang w:val="de-CH"/>
              </w:rPr>
              <w:t>8</w:t>
            </w:r>
            <w:r w:rsidRPr="000513D2">
              <w:rPr>
                <w:rFonts w:eastAsia="Times New Roman" w:cs="Arial"/>
                <w:b w:val="0"/>
                <w:color w:val="000000"/>
                <w:sz w:val="18"/>
                <w:lang w:val="de-CH"/>
              </w:rPr>
              <w:t>47</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3" w:type="pct"/>
          </w:tcPr>
          <w:p w14:paraId="57649B7F"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29</w:t>
            </w:r>
            <w:r w:rsidRPr="000513D2">
              <w:rPr>
                <w:rFonts w:eastAsia="Times New Roman" w:cs="Arial"/>
                <w:color w:val="000000"/>
                <w:sz w:val="18"/>
                <w:lang w:val="de-CH"/>
              </w:rPr>
              <w:t> </w:t>
            </w:r>
            <w:r w:rsidRPr="000513D2">
              <w:rPr>
                <w:rFonts w:eastAsia="Times New Roman" w:cs="Arial"/>
                <w:b w:val="0"/>
                <w:color w:val="000000"/>
                <w:sz w:val="18"/>
                <w:lang w:val="de-CH"/>
              </w:rPr>
              <w:t>557</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3" w:type="pct"/>
          </w:tcPr>
          <w:p w14:paraId="49AE4C19"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30</w:t>
            </w:r>
            <w:r w:rsidRPr="000513D2">
              <w:rPr>
                <w:rFonts w:eastAsia="Times New Roman" w:cs="Arial"/>
                <w:color w:val="000000"/>
                <w:sz w:val="18"/>
                <w:lang w:val="de-CH"/>
              </w:rPr>
              <w:t> </w:t>
            </w:r>
            <w:r w:rsidRPr="000513D2">
              <w:rPr>
                <w:rFonts w:eastAsia="Times New Roman" w:cs="Arial"/>
                <w:b w:val="0"/>
                <w:color w:val="000000"/>
                <w:sz w:val="18"/>
                <w:lang w:val="de-CH"/>
              </w:rPr>
              <w:t>180</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1" w:type="pct"/>
          </w:tcPr>
          <w:p w14:paraId="3EAA49AD"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88</w:t>
            </w:r>
            <w:r w:rsidRPr="000513D2">
              <w:rPr>
                <w:rFonts w:eastAsia="Times New Roman" w:cs="Arial"/>
                <w:color w:val="000000"/>
                <w:sz w:val="18"/>
                <w:lang w:val="de-CH"/>
              </w:rPr>
              <w:t> </w:t>
            </w:r>
            <w:r>
              <w:rPr>
                <w:rFonts w:eastAsia="Times New Roman" w:cs="Arial"/>
                <w:b w:val="0"/>
                <w:color w:val="000000"/>
                <w:sz w:val="18"/>
                <w:lang w:val="de-CH"/>
              </w:rPr>
              <w:t>5</w:t>
            </w:r>
            <w:r w:rsidRPr="000513D2">
              <w:rPr>
                <w:rFonts w:eastAsia="Times New Roman" w:cs="Arial"/>
                <w:b w:val="0"/>
                <w:color w:val="000000"/>
                <w:sz w:val="18"/>
                <w:lang w:val="de-CH"/>
              </w:rPr>
              <w:t>84</w:t>
            </w:r>
            <w:r w:rsidRPr="000513D2">
              <w:rPr>
                <w:rFonts w:eastAsia="Times New Roman" w:cs="Arial"/>
                <w:color w:val="000000"/>
                <w:sz w:val="18"/>
                <w:lang w:val="de-CH"/>
              </w:rPr>
              <w:t> </w:t>
            </w:r>
            <w:r w:rsidRPr="000513D2">
              <w:rPr>
                <w:rFonts w:eastAsia="Times New Roman" w:cs="Arial"/>
                <w:b w:val="0"/>
                <w:color w:val="000000"/>
                <w:sz w:val="18"/>
                <w:lang w:val="de-CH"/>
              </w:rPr>
              <w:t>000</w:t>
            </w:r>
          </w:p>
        </w:tc>
      </w:tr>
    </w:tbl>
    <w:p w14:paraId="1CCEE9E3" w14:textId="761523E5"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lastRenderedPageBreak/>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Einführung eines Gemeindeanteils an den Ergänzungsleistungen für Familien</w:t>
      </w:r>
    </w:p>
    <w:p w14:paraId="48EF6C60" w14:textId="2A0FD2C0"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 xml:space="preserve">Massnahme: Einführung eines Gemeindeanteils an den Ergänzungsleistungen für Familien. Der Staatsrat befürwortet eine Variante von 25 %, was dem Prozentsatz der vorangegangenen Massnahme </w:t>
      </w:r>
      <w:r w:rsidRPr="00A3723C">
        <w:rPr>
          <w:rFonts w:ascii="Times New Roman" w:eastAsia="Times New Roman" w:hAnsi="Times New Roman" w:cs="Times New Roman"/>
          <w:lang w:val="de-CH"/>
        </w:rPr>
        <w:t>entspräche (</w:t>
      </w:r>
      <w:r w:rsidR="00AF3A0B" w:rsidRPr="00A3723C">
        <w:rPr>
          <w:rFonts w:ascii="Times New Roman" w:eastAsia="Times New Roman" w:hAnsi="Times New Roman" w:cs="Times New Roman"/>
          <w:i/>
          <w:iCs/>
          <w:lang w:val="de-CH"/>
        </w:rPr>
        <w:t>Beendigung der Übergangsregelung der Übernahme des Gemeindeanteils an den AHV/IV-Ergänzungsleistungen durch den Kanton</w:t>
      </w:r>
      <w:r w:rsidRPr="00A3723C">
        <w:rPr>
          <w:rFonts w:ascii="Times New Roman" w:eastAsia="Times New Roman" w:hAnsi="Times New Roman" w:cs="Times New Roman"/>
          <w:lang w:val="de-CH"/>
        </w:rPr>
        <w:t>).</w:t>
      </w:r>
      <w:r w:rsidRPr="000513D2">
        <w:rPr>
          <w:rFonts w:ascii="Times New Roman" w:eastAsia="Times New Roman" w:hAnsi="Times New Roman" w:cs="Times New Roman"/>
          <w:lang w:val="de-CH"/>
        </w:rPr>
        <w:t xml:space="preserve"> Die Beteiligung der Gemeinden würde mit Inkrafttreten des neuen Gesetzes, d. h. ab 2026 wirksam.</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269E8B9A"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41D8095"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1ADAA893"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5181DE14"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7E317476"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4A4DD2D8"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00460544"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B5E5256"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5C897A58"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3 987 500</w:t>
            </w:r>
          </w:p>
        </w:tc>
        <w:tc>
          <w:tcPr>
            <w:tcW w:w="833" w:type="pct"/>
          </w:tcPr>
          <w:p w14:paraId="2127584A"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4 096 500</w:t>
            </w:r>
          </w:p>
        </w:tc>
        <w:tc>
          <w:tcPr>
            <w:tcW w:w="833" w:type="pct"/>
          </w:tcPr>
          <w:p w14:paraId="7D72CBF2"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4 105 750</w:t>
            </w:r>
          </w:p>
        </w:tc>
        <w:tc>
          <w:tcPr>
            <w:tcW w:w="831" w:type="pct"/>
          </w:tcPr>
          <w:p w14:paraId="3807048A"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12 189 750</w:t>
            </w:r>
          </w:p>
        </w:tc>
      </w:tr>
      <w:tr w:rsidR="00186098" w:rsidRPr="000513D2" w14:paraId="6410FDD4"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944C118"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7DB082D1"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4</w:t>
            </w:r>
            <w:r w:rsidRPr="000513D2">
              <w:rPr>
                <w:rFonts w:eastAsia="Times New Roman" w:cs="Arial"/>
                <w:color w:val="000000"/>
                <w:sz w:val="18"/>
                <w:lang w:val="de-CH"/>
              </w:rPr>
              <w:t> </w:t>
            </w:r>
            <w:r w:rsidRPr="000513D2">
              <w:rPr>
                <w:rFonts w:eastAsia="Times New Roman" w:cs="Arial"/>
                <w:b w:val="0"/>
                <w:color w:val="000000"/>
                <w:sz w:val="18"/>
                <w:lang w:val="de-CH"/>
              </w:rPr>
              <w:t>087</w:t>
            </w:r>
            <w:r w:rsidRPr="000513D2">
              <w:rPr>
                <w:rFonts w:eastAsia="Times New Roman" w:cs="Arial"/>
                <w:color w:val="000000"/>
                <w:sz w:val="18"/>
                <w:lang w:val="de-CH"/>
              </w:rPr>
              <w:t> </w:t>
            </w:r>
            <w:r w:rsidRPr="000513D2">
              <w:rPr>
                <w:rFonts w:eastAsia="Times New Roman" w:cs="Arial"/>
                <w:b w:val="0"/>
                <w:color w:val="000000"/>
                <w:sz w:val="18"/>
                <w:lang w:val="de-CH"/>
              </w:rPr>
              <w:t>500</w:t>
            </w:r>
          </w:p>
        </w:tc>
        <w:tc>
          <w:tcPr>
            <w:tcW w:w="833" w:type="pct"/>
          </w:tcPr>
          <w:p w14:paraId="779796F9"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4</w:t>
            </w:r>
            <w:r w:rsidRPr="000513D2">
              <w:rPr>
                <w:rFonts w:eastAsia="Times New Roman" w:cs="Arial"/>
                <w:color w:val="000000"/>
                <w:sz w:val="18"/>
                <w:lang w:val="de-CH"/>
              </w:rPr>
              <w:t> </w:t>
            </w:r>
            <w:r w:rsidRPr="000513D2">
              <w:rPr>
                <w:rFonts w:eastAsia="Times New Roman" w:cs="Arial"/>
                <w:b w:val="0"/>
                <w:color w:val="000000"/>
                <w:sz w:val="18"/>
                <w:lang w:val="de-CH"/>
              </w:rPr>
              <w:t>096</w:t>
            </w:r>
            <w:r w:rsidRPr="000513D2">
              <w:rPr>
                <w:rFonts w:eastAsia="Times New Roman" w:cs="Arial"/>
                <w:color w:val="000000"/>
                <w:sz w:val="18"/>
                <w:lang w:val="de-CH"/>
              </w:rPr>
              <w:t> </w:t>
            </w:r>
            <w:r w:rsidRPr="000513D2">
              <w:rPr>
                <w:rFonts w:eastAsia="Times New Roman" w:cs="Arial"/>
                <w:b w:val="0"/>
                <w:color w:val="000000"/>
                <w:sz w:val="18"/>
                <w:lang w:val="de-CH"/>
              </w:rPr>
              <w:t>500</w:t>
            </w:r>
          </w:p>
        </w:tc>
        <w:tc>
          <w:tcPr>
            <w:tcW w:w="833" w:type="pct"/>
          </w:tcPr>
          <w:p w14:paraId="0D87B50A"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4</w:t>
            </w:r>
            <w:r w:rsidRPr="000513D2">
              <w:rPr>
                <w:rFonts w:eastAsia="Times New Roman" w:cs="Arial"/>
                <w:color w:val="000000"/>
                <w:sz w:val="18"/>
                <w:lang w:val="de-CH"/>
              </w:rPr>
              <w:t> </w:t>
            </w:r>
            <w:r w:rsidRPr="000513D2">
              <w:rPr>
                <w:rFonts w:eastAsia="Times New Roman" w:cs="Arial"/>
                <w:b w:val="0"/>
                <w:color w:val="000000"/>
                <w:sz w:val="18"/>
                <w:lang w:val="de-CH"/>
              </w:rPr>
              <w:t>105</w:t>
            </w:r>
            <w:r w:rsidRPr="000513D2">
              <w:rPr>
                <w:rFonts w:eastAsia="Times New Roman" w:cs="Arial"/>
                <w:color w:val="000000"/>
                <w:sz w:val="18"/>
                <w:lang w:val="de-CH"/>
              </w:rPr>
              <w:t> </w:t>
            </w:r>
            <w:r w:rsidRPr="000513D2">
              <w:rPr>
                <w:rFonts w:eastAsia="Times New Roman" w:cs="Arial"/>
                <w:b w:val="0"/>
                <w:color w:val="000000"/>
                <w:sz w:val="18"/>
                <w:lang w:val="de-CH"/>
              </w:rPr>
              <w:t>750</w:t>
            </w:r>
          </w:p>
        </w:tc>
        <w:tc>
          <w:tcPr>
            <w:tcW w:w="831" w:type="pct"/>
          </w:tcPr>
          <w:p w14:paraId="2A38E75F"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12</w:t>
            </w:r>
            <w:r w:rsidRPr="000513D2">
              <w:rPr>
                <w:rFonts w:eastAsia="Times New Roman" w:cs="Arial"/>
                <w:color w:val="000000"/>
                <w:sz w:val="18"/>
                <w:lang w:val="de-CH"/>
              </w:rPr>
              <w:t> </w:t>
            </w:r>
            <w:r w:rsidRPr="000513D2">
              <w:rPr>
                <w:rFonts w:eastAsia="Times New Roman" w:cs="Arial"/>
                <w:b w:val="0"/>
                <w:color w:val="000000"/>
                <w:sz w:val="18"/>
                <w:lang w:val="de-CH"/>
              </w:rPr>
              <w:t>289</w:t>
            </w:r>
            <w:r w:rsidRPr="000513D2">
              <w:rPr>
                <w:rFonts w:eastAsia="Times New Roman" w:cs="Arial"/>
                <w:color w:val="000000"/>
                <w:sz w:val="18"/>
                <w:lang w:val="de-CH"/>
              </w:rPr>
              <w:t> </w:t>
            </w:r>
            <w:r w:rsidRPr="000513D2">
              <w:rPr>
                <w:rFonts w:eastAsia="Times New Roman" w:cs="Arial"/>
                <w:b w:val="0"/>
                <w:color w:val="000000"/>
                <w:sz w:val="18"/>
                <w:lang w:val="de-CH"/>
              </w:rPr>
              <w:t>750</w:t>
            </w:r>
          </w:p>
        </w:tc>
      </w:tr>
    </w:tbl>
    <w:p w14:paraId="7AE69171"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Anpassung der Gemeindebeteiligung an der Abgeltung des lokalen Personenverkehrs</w:t>
      </w:r>
    </w:p>
    <w:p w14:paraId="7A669DAC"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Massnahme: Anpassung der Gemeindebeteiligung an der Abgeltung des lokalen Personenverkehrs. Wenn der Staat Angebote für den lokalen Personenverkehr mitbestellt, übernimmt er 57,5 % der Kosten; die restlichen 42,5 % werden von den betroffenen Gemeinden und/oder Regionalverbunden getragen. Mit dieser Massnahme müssten sich die Gemeinden und/oder Regionalverbunde im gleichen Umfang wie der Staat an den Kosten beteiligen, also Staat und Gemeinde/Regionalverbunde zu je 50 %.</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3289BAB6"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DBBD8FA"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3A7FD4A6"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550DB860"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0A670D13"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2E6D4F58"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19F4A44A"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8CCA67D"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0E1C0977"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3 310 000</w:t>
            </w:r>
          </w:p>
        </w:tc>
        <w:tc>
          <w:tcPr>
            <w:tcW w:w="833" w:type="pct"/>
          </w:tcPr>
          <w:p w14:paraId="64A3DDF7"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3 195 000</w:t>
            </w:r>
          </w:p>
        </w:tc>
        <w:tc>
          <w:tcPr>
            <w:tcW w:w="833" w:type="pct"/>
          </w:tcPr>
          <w:p w14:paraId="7D872E5C"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3 380 000</w:t>
            </w:r>
          </w:p>
        </w:tc>
        <w:tc>
          <w:tcPr>
            <w:tcW w:w="831" w:type="pct"/>
          </w:tcPr>
          <w:p w14:paraId="460A7343"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9 885 000</w:t>
            </w:r>
          </w:p>
        </w:tc>
      </w:tr>
      <w:tr w:rsidR="00186098" w:rsidRPr="000513D2" w14:paraId="5B3E1187"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94F6148" w14:textId="77777777" w:rsidR="00186098" w:rsidRPr="000513D2" w:rsidRDefault="00186098" w:rsidP="00725483">
            <w:pPr>
              <w:spacing w:after="0"/>
              <w:rPr>
                <w:rFonts w:eastAsia="Times New Roman" w:cs="Arial"/>
                <w:b w:val="0"/>
                <w:color w:val="auto"/>
                <w:sz w:val="18"/>
                <w:szCs w:val="20"/>
                <w:lang w:val="de-CH"/>
              </w:rPr>
            </w:pPr>
            <w:r w:rsidRPr="000513D2">
              <w:rPr>
                <w:rFonts w:eastAsia="Times New Roman" w:cs="Arial"/>
                <w:b w:val="0"/>
                <w:color w:val="auto"/>
                <w:sz w:val="18"/>
                <w:lang w:val="de-CH"/>
              </w:rPr>
              <w:t>Gemeinden</w:t>
            </w:r>
          </w:p>
        </w:tc>
        <w:tc>
          <w:tcPr>
            <w:tcW w:w="833" w:type="pct"/>
          </w:tcPr>
          <w:p w14:paraId="5553DC0D"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3 310 000</w:t>
            </w:r>
          </w:p>
        </w:tc>
        <w:tc>
          <w:tcPr>
            <w:tcW w:w="833" w:type="pct"/>
          </w:tcPr>
          <w:p w14:paraId="0D2DB0D9"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3 195 000</w:t>
            </w:r>
          </w:p>
        </w:tc>
        <w:tc>
          <w:tcPr>
            <w:tcW w:w="833" w:type="pct"/>
          </w:tcPr>
          <w:p w14:paraId="2CE62B4E"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3 380 000</w:t>
            </w:r>
          </w:p>
        </w:tc>
        <w:tc>
          <w:tcPr>
            <w:tcW w:w="831" w:type="pct"/>
          </w:tcPr>
          <w:p w14:paraId="15182B33"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9 885 000</w:t>
            </w:r>
          </w:p>
        </w:tc>
      </w:tr>
    </w:tbl>
    <w:p w14:paraId="77334540"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Anpassung der Gemeindebeteiligung an der Abgeltung des regionalen Personenverkehrs</w:t>
      </w:r>
    </w:p>
    <w:p w14:paraId="04F4A6F5"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Massnahme: Anpassung der Gemeindebeteiligung an der Abgeltung des regionalen Personenverkehrs. Die Gemeinden beteiligen sich zu 45 % an den vom Staat gewährten Abgeltungen für den Betrieb für den Regionalverkehr und den Personenverkehr von kantonalem Interesse. Der Beteiligungssatz der Gemeinden soll an den des Staates angeglichen werden und somit auf 50 % erhöht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0FA0FB65"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38B5BE7A"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2F590E03"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067B4BB4"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4313FE39"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710CB5A2"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1EC12716"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DD908C4"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7A320E15"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3 757 000</w:t>
            </w:r>
          </w:p>
        </w:tc>
        <w:tc>
          <w:tcPr>
            <w:tcW w:w="833" w:type="pct"/>
          </w:tcPr>
          <w:p w14:paraId="6D533563"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3 965 000</w:t>
            </w:r>
          </w:p>
        </w:tc>
        <w:tc>
          <w:tcPr>
            <w:tcW w:w="833" w:type="pct"/>
          </w:tcPr>
          <w:p w14:paraId="2C33F740"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4 213 000</w:t>
            </w:r>
          </w:p>
        </w:tc>
        <w:tc>
          <w:tcPr>
            <w:tcW w:w="831" w:type="pct"/>
          </w:tcPr>
          <w:p w14:paraId="60A11576"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8"/>
                <w:szCs w:val="20"/>
                <w:lang w:val="de-CH"/>
              </w:rPr>
            </w:pPr>
            <w:r w:rsidRPr="000513D2">
              <w:rPr>
                <w:color w:val="auto"/>
              </w:rPr>
              <w:t>11 935 000</w:t>
            </w:r>
          </w:p>
        </w:tc>
      </w:tr>
      <w:tr w:rsidR="00186098" w:rsidRPr="000513D2" w14:paraId="385E85EC"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3053AF3" w14:textId="77777777" w:rsidR="00186098" w:rsidRPr="000513D2" w:rsidRDefault="00186098" w:rsidP="00725483">
            <w:pPr>
              <w:spacing w:after="0"/>
              <w:rPr>
                <w:rFonts w:eastAsia="Times New Roman" w:cs="Arial"/>
                <w:b w:val="0"/>
                <w:color w:val="auto"/>
                <w:sz w:val="18"/>
                <w:szCs w:val="20"/>
                <w:lang w:val="de-CH"/>
              </w:rPr>
            </w:pPr>
            <w:r w:rsidRPr="000513D2">
              <w:rPr>
                <w:rFonts w:eastAsia="Times New Roman" w:cs="Arial"/>
                <w:b w:val="0"/>
                <w:color w:val="auto"/>
                <w:sz w:val="18"/>
                <w:lang w:val="de-CH"/>
              </w:rPr>
              <w:t>Gemeinden</w:t>
            </w:r>
          </w:p>
        </w:tc>
        <w:tc>
          <w:tcPr>
            <w:tcW w:w="833" w:type="pct"/>
          </w:tcPr>
          <w:p w14:paraId="2AB372D1"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3 757 000</w:t>
            </w:r>
          </w:p>
        </w:tc>
        <w:tc>
          <w:tcPr>
            <w:tcW w:w="833" w:type="pct"/>
          </w:tcPr>
          <w:p w14:paraId="41487D30"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3 965 000</w:t>
            </w:r>
          </w:p>
        </w:tc>
        <w:tc>
          <w:tcPr>
            <w:tcW w:w="833" w:type="pct"/>
          </w:tcPr>
          <w:p w14:paraId="14F77C4C"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4 213 000</w:t>
            </w:r>
          </w:p>
        </w:tc>
        <w:tc>
          <w:tcPr>
            <w:tcW w:w="831" w:type="pct"/>
          </w:tcPr>
          <w:p w14:paraId="75682BA0"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auto"/>
                <w:sz w:val="18"/>
                <w:szCs w:val="20"/>
                <w:lang w:val="de-CH"/>
              </w:rPr>
            </w:pPr>
            <w:r>
              <w:rPr>
                <w:b w:val="0"/>
                <w:color w:val="auto"/>
              </w:rPr>
              <w:t>– </w:t>
            </w:r>
            <w:r w:rsidRPr="000513D2">
              <w:rPr>
                <w:b w:val="0"/>
                <w:color w:val="auto"/>
              </w:rPr>
              <w:t>11 935 000</w:t>
            </w:r>
          </w:p>
        </w:tc>
      </w:tr>
    </w:tbl>
    <w:p w14:paraId="1D447EAF"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Verschiebung auf die Gemeinden der Unterhaltskosten für die Abschnitte des kantonalen Velowegnetzes auf Gemeindestrassen</w:t>
      </w:r>
    </w:p>
    <w:p w14:paraId="67BCD225" w14:textId="13B8CCB2"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 xml:space="preserve">Massnahme: Übertragung der Unterhaltskosten für die Abschnitte des kantonalen Velowegnetzes auf Gemeindestrassen auf die Gemeinden. Die Unterhaltskosten für die künftigen Velowegabschnitte (ab 2026) auf Gemeindestrassen würden vom Staat auf die Gemeinden übertragen. Damit liessen sich die vom Staat ab 2026 übernommenen Kosten verringern. </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0513D2" w14:paraId="071F949E"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1D6B5B9" w14:textId="77777777" w:rsidR="00186098" w:rsidRPr="000513D2" w:rsidRDefault="00186098" w:rsidP="00725483">
            <w:pPr>
              <w:spacing w:after="0"/>
              <w:rPr>
                <w:rFonts w:eastAsia="Times New Roman" w:cs="Arial"/>
                <w:bCs/>
                <w:sz w:val="21"/>
                <w:szCs w:val="20"/>
                <w:lang w:val="de-CH"/>
              </w:rPr>
            </w:pPr>
            <w:r w:rsidRPr="000513D2">
              <w:rPr>
                <w:rFonts w:eastAsia="Times New Roman" w:cs="Arial"/>
                <w:sz w:val="18"/>
                <w:lang w:val="de-CH"/>
              </w:rPr>
              <w:t>Finanzielle Auswirkungen in Franken</w:t>
            </w:r>
          </w:p>
        </w:tc>
        <w:tc>
          <w:tcPr>
            <w:tcW w:w="833" w:type="pct"/>
          </w:tcPr>
          <w:p w14:paraId="350663B5"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2026</w:t>
            </w:r>
          </w:p>
        </w:tc>
        <w:tc>
          <w:tcPr>
            <w:tcW w:w="833" w:type="pct"/>
          </w:tcPr>
          <w:p w14:paraId="512BE700"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2027</w:t>
            </w:r>
          </w:p>
        </w:tc>
        <w:tc>
          <w:tcPr>
            <w:tcW w:w="833" w:type="pct"/>
          </w:tcPr>
          <w:p w14:paraId="1C49D972"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2028</w:t>
            </w:r>
          </w:p>
        </w:tc>
        <w:tc>
          <w:tcPr>
            <w:tcW w:w="831" w:type="pct"/>
          </w:tcPr>
          <w:p w14:paraId="5827BA36" w14:textId="77777777" w:rsidR="00186098" w:rsidRPr="000513D2" w:rsidRDefault="00186098" w:rsidP="00725483">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0513D2">
              <w:rPr>
                <w:rFonts w:eastAsia="Times New Roman" w:cs="Arial"/>
                <w:sz w:val="18"/>
                <w:lang w:val="de-CH"/>
              </w:rPr>
              <w:t>Total</w:t>
            </w:r>
          </w:p>
        </w:tc>
      </w:tr>
      <w:tr w:rsidR="00186098" w:rsidRPr="000513D2" w14:paraId="1A0ED20B"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195338F" w14:textId="77777777" w:rsidR="00186098" w:rsidRPr="000513D2" w:rsidRDefault="00186098" w:rsidP="00725483">
            <w:pPr>
              <w:spacing w:after="0"/>
              <w:rPr>
                <w:rFonts w:eastAsia="Times New Roman" w:cs="Arial"/>
                <w:bCs/>
                <w:sz w:val="18"/>
                <w:szCs w:val="20"/>
                <w:lang w:val="de-CH"/>
              </w:rPr>
            </w:pPr>
            <w:r w:rsidRPr="000513D2">
              <w:rPr>
                <w:rFonts w:eastAsia="Times New Roman" w:cs="Arial"/>
                <w:sz w:val="18"/>
                <w:lang w:val="de-CH"/>
              </w:rPr>
              <w:t>Staat</w:t>
            </w:r>
          </w:p>
        </w:tc>
        <w:tc>
          <w:tcPr>
            <w:tcW w:w="833" w:type="pct"/>
          </w:tcPr>
          <w:p w14:paraId="33E7DDB3"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1 050 000</w:t>
            </w:r>
          </w:p>
        </w:tc>
        <w:tc>
          <w:tcPr>
            <w:tcW w:w="833" w:type="pct"/>
          </w:tcPr>
          <w:p w14:paraId="6130F351"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1 050 000</w:t>
            </w:r>
          </w:p>
        </w:tc>
        <w:tc>
          <w:tcPr>
            <w:tcW w:w="833" w:type="pct"/>
          </w:tcPr>
          <w:p w14:paraId="2DF35BB8"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1 050 000</w:t>
            </w:r>
          </w:p>
        </w:tc>
        <w:tc>
          <w:tcPr>
            <w:tcW w:w="831" w:type="pct"/>
          </w:tcPr>
          <w:p w14:paraId="6C126DE5" w14:textId="77777777" w:rsidR="00186098" w:rsidRPr="000513D2" w:rsidRDefault="00186098" w:rsidP="00725483">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0513D2">
              <w:rPr>
                <w:rFonts w:eastAsia="Times New Roman" w:cs="Arial"/>
                <w:color w:val="000000"/>
                <w:sz w:val="18"/>
                <w:lang w:val="de-CH"/>
              </w:rPr>
              <w:t>3 150 000</w:t>
            </w:r>
          </w:p>
        </w:tc>
      </w:tr>
      <w:tr w:rsidR="00186098" w:rsidRPr="000513D2" w14:paraId="67A78FCC"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59CC08B" w14:textId="77777777" w:rsidR="00186098" w:rsidRPr="000513D2" w:rsidRDefault="00186098" w:rsidP="00725483">
            <w:pPr>
              <w:spacing w:after="0"/>
              <w:rPr>
                <w:rFonts w:eastAsia="Times New Roman" w:cs="Arial"/>
                <w:b w:val="0"/>
                <w:sz w:val="18"/>
                <w:szCs w:val="20"/>
                <w:lang w:val="de-CH"/>
              </w:rPr>
            </w:pPr>
            <w:r w:rsidRPr="000513D2">
              <w:rPr>
                <w:rFonts w:eastAsia="Times New Roman" w:cs="Arial"/>
                <w:b w:val="0"/>
                <w:sz w:val="18"/>
                <w:lang w:val="de-CH"/>
              </w:rPr>
              <w:t>Gemeinden</w:t>
            </w:r>
          </w:p>
        </w:tc>
        <w:tc>
          <w:tcPr>
            <w:tcW w:w="833" w:type="pct"/>
          </w:tcPr>
          <w:p w14:paraId="29937874"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1</w:t>
            </w:r>
            <w:r w:rsidRPr="000513D2">
              <w:rPr>
                <w:rFonts w:eastAsia="Times New Roman" w:cs="Arial"/>
                <w:color w:val="000000"/>
                <w:sz w:val="18"/>
                <w:lang w:val="de-CH"/>
              </w:rPr>
              <w:t> </w:t>
            </w:r>
            <w:r w:rsidRPr="000513D2">
              <w:rPr>
                <w:rFonts w:eastAsia="Times New Roman" w:cs="Arial"/>
                <w:b w:val="0"/>
                <w:color w:val="000000"/>
                <w:sz w:val="18"/>
                <w:lang w:val="de-CH"/>
              </w:rPr>
              <w:t>050</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3" w:type="pct"/>
          </w:tcPr>
          <w:p w14:paraId="1980B975"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1</w:t>
            </w:r>
            <w:r w:rsidRPr="000513D2">
              <w:rPr>
                <w:rFonts w:eastAsia="Times New Roman" w:cs="Arial"/>
                <w:color w:val="000000"/>
                <w:sz w:val="18"/>
                <w:lang w:val="de-CH"/>
              </w:rPr>
              <w:t> </w:t>
            </w:r>
            <w:r w:rsidRPr="000513D2">
              <w:rPr>
                <w:rFonts w:eastAsia="Times New Roman" w:cs="Arial"/>
                <w:b w:val="0"/>
                <w:color w:val="000000"/>
                <w:sz w:val="18"/>
                <w:lang w:val="de-CH"/>
              </w:rPr>
              <w:t>050</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3" w:type="pct"/>
          </w:tcPr>
          <w:p w14:paraId="7A5783A2"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1</w:t>
            </w:r>
            <w:r w:rsidRPr="000513D2">
              <w:rPr>
                <w:rFonts w:eastAsia="Times New Roman" w:cs="Arial"/>
                <w:color w:val="000000"/>
                <w:sz w:val="18"/>
                <w:lang w:val="de-CH"/>
              </w:rPr>
              <w:t> </w:t>
            </w:r>
            <w:r w:rsidRPr="000513D2">
              <w:rPr>
                <w:rFonts w:eastAsia="Times New Roman" w:cs="Arial"/>
                <w:b w:val="0"/>
                <w:color w:val="000000"/>
                <w:sz w:val="18"/>
                <w:lang w:val="de-CH"/>
              </w:rPr>
              <w:t>050</w:t>
            </w:r>
            <w:r w:rsidRPr="000513D2">
              <w:rPr>
                <w:rFonts w:eastAsia="Times New Roman" w:cs="Arial"/>
                <w:color w:val="000000"/>
                <w:sz w:val="18"/>
                <w:lang w:val="de-CH"/>
              </w:rPr>
              <w:t> </w:t>
            </w:r>
            <w:r w:rsidRPr="000513D2">
              <w:rPr>
                <w:rFonts w:eastAsia="Times New Roman" w:cs="Arial"/>
                <w:b w:val="0"/>
                <w:color w:val="000000"/>
                <w:sz w:val="18"/>
                <w:lang w:val="de-CH"/>
              </w:rPr>
              <w:t>000</w:t>
            </w:r>
          </w:p>
        </w:tc>
        <w:tc>
          <w:tcPr>
            <w:tcW w:w="831" w:type="pct"/>
          </w:tcPr>
          <w:p w14:paraId="0A61DEA8" w14:textId="77777777" w:rsidR="00186098" w:rsidRPr="000513D2" w:rsidRDefault="00186098" w:rsidP="00725483">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0513D2">
              <w:rPr>
                <w:rFonts w:eastAsia="Times New Roman" w:cs="Arial"/>
                <w:b w:val="0"/>
                <w:color w:val="000000"/>
                <w:sz w:val="18"/>
                <w:lang w:val="de-CH"/>
              </w:rPr>
              <w:t>3</w:t>
            </w:r>
            <w:r w:rsidRPr="000513D2">
              <w:rPr>
                <w:rFonts w:eastAsia="Times New Roman" w:cs="Arial"/>
                <w:color w:val="000000"/>
                <w:sz w:val="18"/>
                <w:lang w:val="de-CH"/>
              </w:rPr>
              <w:t> </w:t>
            </w:r>
            <w:r w:rsidRPr="000513D2">
              <w:rPr>
                <w:rFonts w:eastAsia="Times New Roman" w:cs="Arial"/>
                <w:b w:val="0"/>
                <w:color w:val="000000"/>
                <w:sz w:val="18"/>
                <w:lang w:val="de-CH"/>
              </w:rPr>
              <w:t>150</w:t>
            </w:r>
            <w:r w:rsidRPr="000513D2">
              <w:rPr>
                <w:rFonts w:eastAsia="Times New Roman" w:cs="Arial"/>
                <w:color w:val="000000"/>
                <w:sz w:val="18"/>
                <w:lang w:val="de-CH"/>
              </w:rPr>
              <w:t> </w:t>
            </w:r>
            <w:r w:rsidRPr="000513D2">
              <w:rPr>
                <w:rFonts w:eastAsia="Times New Roman" w:cs="Arial"/>
                <w:b w:val="0"/>
                <w:color w:val="000000"/>
                <w:sz w:val="18"/>
                <w:lang w:val="de-CH"/>
              </w:rPr>
              <w:t>000</w:t>
            </w:r>
          </w:p>
        </w:tc>
      </w:tr>
    </w:tbl>
    <w:p w14:paraId="22446ADD" w14:textId="77777777" w:rsidR="00186098" w:rsidRPr="000513D2" w:rsidRDefault="00186098" w:rsidP="00186098">
      <w:pPr>
        <w:rPr>
          <w:rFonts w:ascii="Times New Roman" w:eastAsia="Times New Roman" w:hAnsi="Times New Roman" w:cs="Times New Roman"/>
          <w:lang w:val="de-CH"/>
        </w:rPr>
      </w:pPr>
      <w:r w:rsidRPr="000513D2">
        <w:rPr>
          <w:rFonts w:ascii="Times New Roman" w:eastAsia="Times New Roman" w:hAnsi="Times New Roman" w:cs="Times New Roman"/>
          <w:lang w:val="de-CH"/>
        </w:rPr>
        <w:t>&gt;</w:t>
      </w:r>
      <w:r w:rsidRPr="000513D2">
        <w:rPr>
          <w:rFonts w:ascii="Times New Roman" w:eastAsia="Times New Roman" w:hAnsi="Times New Roman" w:cs="Times New Roman"/>
          <w:lang w:val="de-CH"/>
        </w:rPr>
        <w:tab/>
      </w:r>
      <w:r w:rsidRPr="000513D2">
        <w:rPr>
          <w:rFonts w:ascii="Times New Roman" w:eastAsia="Times New Roman" w:hAnsi="Times New Roman" w:cs="Times New Roman"/>
          <w:b/>
          <w:lang w:val="de-CH"/>
        </w:rPr>
        <w:t>Aufschub der Umsetzung des Projekts DAOS</w:t>
      </w:r>
    </w:p>
    <w:p w14:paraId="35C46D63" w14:textId="77777777" w:rsidR="00186098" w:rsidRPr="00623EA8" w:rsidRDefault="00186098" w:rsidP="00186098">
      <w:pPr>
        <w:rPr>
          <w:lang w:val="de-CH"/>
        </w:rPr>
      </w:pPr>
      <w:r w:rsidRPr="000513D2">
        <w:rPr>
          <w:rFonts w:ascii="Times New Roman" w:eastAsia="Times New Roman" w:hAnsi="Times New Roman" w:cs="Times New Roman"/>
          <w:lang w:val="de-CH"/>
        </w:rPr>
        <w:t>Massnahme: Zurückstellung des Projekts DAOS. Zum Zeitpunkt der Ausarbeitung dieses Berichts war das Vorhaben noch in Beratung bei der zuständigen parlamentarischen Fachkommission. Genaueres zu den Umsetzungsmodalitäten und den finanziellen Auswirkungen kann nach der Vernehmlassung gesagt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186098" w:rsidRPr="00FE3A13" w14:paraId="46155B1D"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BA54548" w14:textId="77777777" w:rsidR="00186098" w:rsidRPr="00FE3A13" w:rsidRDefault="00186098" w:rsidP="00725483">
            <w:pPr>
              <w:pStyle w:val="NIVtableau"/>
              <w:rPr>
                <w:color w:val="auto"/>
                <w:sz w:val="21"/>
                <w:lang w:val="en-US"/>
              </w:rPr>
            </w:pPr>
            <w:r w:rsidRPr="000513D2">
              <w:rPr>
                <w:rFonts w:eastAsia="Times New Roman"/>
                <w:lang w:val="de-CH"/>
              </w:rPr>
              <w:lastRenderedPageBreak/>
              <w:t>Finanzielle Auswirkungen in Franken</w:t>
            </w:r>
          </w:p>
        </w:tc>
        <w:tc>
          <w:tcPr>
            <w:tcW w:w="833" w:type="pct"/>
          </w:tcPr>
          <w:p w14:paraId="1E5FBE97"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2026</w:t>
            </w:r>
          </w:p>
        </w:tc>
        <w:tc>
          <w:tcPr>
            <w:tcW w:w="833" w:type="pct"/>
          </w:tcPr>
          <w:p w14:paraId="5A1F5BC1"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2027</w:t>
            </w:r>
          </w:p>
        </w:tc>
        <w:tc>
          <w:tcPr>
            <w:tcW w:w="833" w:type="pct"/>
          </w:tcPr>
          <w:p w14:paraId="000FDE19"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2028</w:t>
            </w:r>
          </w:p>
        </w:tc>
        <w:tc>
          <w:tcPr>
            <w:tcW w:w="831" w:type="pct"/>
          </w:tcPr>
          <w:p w14:paraId="7BC81688" w14:textId="77777777" w:rsidR="00186098" w:rsidRPr="00FE3A13" w:rsidRDefault="00186098" w:rsidP="00725483">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0513D2">
              <w:rPr>
                <w:rFonts w:eastAsia="Times New Roman"/>
                <w:lang w:val="de-CH"/>
              </w:rPr>
              <w:t>Total</w:t>
            </w:r>
          </w:p>
        </w:tc>
      </w:tr>
      <w:tr w:rsidR="00186098" w:rsidRPr="00FE3A13" w14:paraId="45E0E917"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C554AD1" w14:textId="77777777" w:rsidR="00186098" w:rsidRPr="00FE3A13" w:rsidRDefault="00186098" w:rsidP="00725483">
            <w:pPr>
              <w:pStyle w:val="NIVtableau"/>
              <w:rPr>
                <w:lang w:val="en-US"/>
              </w:rPr>
            </w:pPr>
            <w:r w:rsidRPr="000513D2">
              <w:rPr>
                <w:rFonts w:eastAsia="Times New Roman"/>
                <w:lang w:val="de-CH"/>
              </w:rPr>
              <w:t>Staat</w:t>
            </w:r>
          </w:p>
        </w:tc>
        <w:tc>
          <w:tcPr>
            <w:tcW w:w="833" w:type="pct"/>
          </w:tcPr>
          <w:p w14:paraId="2F240141"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0</w:t>
            </w:r>
          </w:p>
        </w:tc>
        <w:tc>
          <w:tcPr>
            <w:tcW w:w="833" w:type="pct"/>
          </w:tcPr>
          <w:p w14:paraId="1350DF7A"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0</w:t>
            </w:r>
          </w:p>
        </w:tc>
        <w:tc>
          <w:tcPr>
            <w:tcW w:w="833" w:type="pct"/>
          </w:tcPr>
          <w:p w14:paraId="2099FC07"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0</w:t>
            </w:r>
          </w:p>
        </w:tc>
        <w:tc>
          <w:tcPr>
            <w:tcW w:w="831" w:type="pct"/>
          </w:tcPr>
          <w:p w14:paraId="4E664E91" w14:textId="77777777" w:rsidR="00186098" w:rsidRPr="00FE3A13" w:rsidRDefault="00186098" w:rsidP="00725483">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0513D2">
              <w:rPr>
                <w:rFonts w:eastAsia="Times New Roman"/>
                <w:color w:val="000000"/>
                <w:lang w:val="de-CH"/>
              </w:rPr>
              <w:t>0</w:t>
            </w:r>
          </w:p>
        </w:tc>
      </w:tr>
      <w:tr w:rsidR="00186098" w:rsidRPr="00FE3A13" w14:paraId="215EEC34"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05AFE15" w14:textId="77777777" w:rsidR="00186098" w:rsidRPr="00FE3A13" w:rsidRDefault="00186098" w:rsidP="00725483">
            <w:pPr>
              <w:pStyle w:val="NIVtableau"/>
              <w:rPr>
                <w:b w:val="0"/>
                <w:bCs w:val="0"/>
                <w:lang w:val="en-US"/>
              </w:rPr>
            </w:pPr>
            <w:r w:rsidRPr="000513D2">
              <w:rPr>
                <w:rFonts w:eastAsia="Times New Roman"/>
                <w:b w:val="0"/>
                <w:lang w:val="de-CH"/>
              </w:rPr>
              <w:t>Gemeinden</w:t>
            </w:r>
          </w:p>
        </w:tc>
        <w:tc>
          <w:tcPr>
            <w:tcW w:w="833" w:type="pct"/>
          </w:tcPr>
          <w:p w14:paraId="1DD24698"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0513D2">
              <w:rPr>
                <w:rFonts w:eastAsia="Times New Roman"/>
                <w:b w:val="0"/>
                <w:color w:val="000000"/>
                <w:lang w:val="de-CH"/>
              </w:rPr>
              <w:t>0</w:t>
            </w:r>
          </w:p>
        </w:tc>
        <w:tc>
          <w:tcPr>
            <w:tcW w:w="833" w:type="pct"/>
          </w:tcPr>
          <w:p w14:paraId="26EAFC54"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0513D2">
              <w:rPr>
                <w:rFonts w:eastAsia="Times New Roman"/>
                <w:b w:val="0"/>
                <w:color w:val="000000"/>
                <w:lang w:val="de-CH"/>
              </w:rPr>
              <w:t>0</w:t>
            </w:r>
          </w:p>
        </w:tc>
        <w:tc>
          <w:tcPr>
            <w:tcW w:w="833" w:type="pct"/>
          </w:tcPr>
          <w:p w14:paraId="1FDEE474"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0513D2">
              <w:rPr>
                <w:rFonts w:eastAsia="Times New Roman"/>
                <w:b w:val="0"/>
                <w:color w:val="000000"/>
                <w:lang w:val="de-CH"/>
              </w:rPr>
              <w:t>0</w:t>
            </w:r>
          </w:p>
        </w:tc>
        <w:tc>
          <w:tcPr>
            <w:tcW w:w="831" w:type="pct"/>
          </w:tcPr>
          <w:p w14:paraId="44EF09FC" w14:textId="77777777" w:rsidR="00186098" w:rsidRPr="00FE3A13" w:rsidRDefault="00186098" w:rsidP="00725483">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0513D2">
              <w:rPr>
                <w:rFonts w:eastAsia="Times New Roman"/>
                <w:b w:val="0"/>
                <w:color w:val="000000"/>
                <w:lang w:val="de-CH"/>
              </w:rPr>
              <w:t>0</w:t>
            </w:r>
          </w:p>
        </w:tc>
      </w:tr>
    </w:tbl>
    <w:p w14:paraId="42043808" w14:textId="77777777" w:rsidR="00186098" w:rsidRPr="00186098" w:rsidRDefault="00186098" w:rsidP="00EB7308">
      <w:pPr>
        <w:pStyle w:val="Corpsdetexte"/>
        <w:rPr>
          <w:lang w:val="de-CH"/>
        </w:rPr>
      </w:pPr>
    </w:p>
    <w:p w14:paraId="495E0F07" w14:textId="44C2A6D7" w:rsidR="00D55352" w:rsidRPr="00291DC4" w:rsidRDefault="00D55352" w:rsidP="00D55352">
      <w:pPr>
        <w:pStyle w:val="Titre2"/>
        <w:rPr>
          <w:lang w:val="de-CH"/>
        </w:rPr>
      </w:pPr>
      <w:bookmarkStart w:id="25" w:name="_Toc196226214"/>
      <w:r w:rsidRPr="000855C2">
        <w:rPr>
          <w:lang w:val="de-CH"/>
        </w:rPr>
        <w:t>Massnahmen in der Zuständigkeit des Staatsrates</w:t>
      </w:r>
      <w:bookmarkEnd w:id="19"/>
      <w:bookmarkEnd w:id="25"/>
    </w:p>
    <w:p w14:paraId="38736153" w14:textId="36D8C25C" w:rsidR="00D55352" w:rsidRPr="003C70C9" w:rsidRDefault="00D55352" w:rsidP="00D55352">
      <w:pPr>
        <w:pStyle w:val="Titre3"/>
        <w:rPr>
          <w:lang w:val="de-CH"/>
        </w:rPr>
      </w:pPr>
      <w:bookmarkStart w:id="26" w:name="_Toc195000868"/>
      <w:bookmarkStart w:id="27" w:name="_Toc196226215"/>
      <w:r w:rsidRPr="0089670B">
        <w:rPr>
          <w:rFonts w:ascii="Arial" w:eastAsia="Times New Roman" w:hAnsi="Arial" w:cs="Times New Roman"/>
          <w:lang w:val="de-CH"/>
        </w:rPr>
        <w:t>Einnahmen</w:t>
      </w:r>
      <w:bookmarkEnd w:id="26"/>
      <w:bookmarkEnd w:id="27"/>
    </w:p>
    <w:p w14:paraId="38FA3B3C" w14:textId="3D698891" w:rsidR="00B84E83" w:rsidRPr="00D55352" w:rsidRDefault="00D55352" w:rsidP="00D55352">
      <w:pPr>
        <w:rPr>
          <w:lang w:val="de-CH"/>
        </w:rPr>
      </w:pPr>
      <w:r w:rsidRPr="0089670B">
        <w:rPr>
          <w:rFonts w:ascii="Times New Roman" w:eastAsia="Times New Roman" w:hAnsi="Times New Roman" w:cs="Times New Roman"/>
          <w:lang w:val="de-CH"/>
        </w:rPr>
        <w:t>Es werden folgende einnahmenseitige Massnahmen vorgeschlagen:</w:t>
      </w:r>
    </w:p>
    <w:tbl>
      <w:tblPr>
        <w:tblStyle w:val="TableauEtatFR"/>
        <w:tblW w:w="5000" w:type="pct"/>
        <w:tblLook w:val="04E0" w:firstRow="1" w:lastRow="1" w:firstColumn="1" w:lastColumn="0" w:noHBand="0" w:noVBand="1"/>
      </w:tblPr>
      <w:tblGrid>
        <w:gridCol w:w="9920"/>
      </w:tblGrid>
      <w:tr w:rsidR="00D55352" w:rsidRPr="005B3823" w14:paraId="1FAE2140" w14:textId="77777777" w:rsidTr="00D5535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410FE9CE" w14:textId="644A1E3D" w:rsidR="00D55352" w:rsidRPr="00D55352" w:rsidRDefault="00D55352" w:rsidP="00D55352">
            <w:pPr>
              <w:pStyle w:val="NIVtableau"/>
              <w:rPr>
                <w:lang w:val="de-CH"/>
              </w:rPr>
            </w:pPr>
            <w:r w:rsidRPr="0089670B">
              <w:rPr>
                <w:rFonts w:eastAsia="Times New Roman"/>
                <w:lang w:val="de-CH"/>
              </w:rPr>
              <w:t>Einnahmenseitige Massnahmen in der Zuständigkeit des Staatsrats, die ab 2026 zur Anwendung kommen sollen</w:t>
            </w:r>
          </w:p>
        </w:tc>
      </w:tr>
      <w:tr w:rsidR="00D55352" w:rsidRPr="005B3823" w14:paraId="3A3AA47E" w14:textId="77777777" w:rsidTr="00D55352">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5000" w:type="pct"/>
          </w:tcPr>
          <w:p w14:paraId="21B654B7" w14:textId="7B655700" w:rsidR="00D55352" w:rsidRPr="00D55352" w:rsidRDefault="00D55352" w:rsidP="00D55352">
            <w:pPr>
              <w:pStyle w:val="NIVtableau"/>
              <w:spacing w:before="100" w:after="100" w:line="280" w:lineRule="atLeast"/>
              <w:rPr>
                <w:b/>
                <w:bCs w:val="0"/>
                <w:lang w:val="de-CH"/>
              </w:rPr>
            </w:pPr>
            <w:r w:rsidRPr="0089670B">
              <w:rPr>
                <w:rFonts w:eastAsia="Times New Roman"/>
                <w:b/>
                <w:lang w:val="de-CH"/>
              </w:rPr>
              <w:t>a) Gebühren und Entgelte</w:t>
            </w:r>
            <w:r w:rsidRPr="0089670B">
              <w:rPr>
                <w:rFonts w:eastAsia="Times New Roman"/>
                <w:lang w:val="de-CH"/>
              </w:rPr>
              <w:br/>
              <w:t>- Erhöhung des Tarifs der Kanzleigebühren</w:t>
            </w:r>
            <w:r w:rsidRPr="0089670B">
              <w:rPr>
                <w:rFonts w:eastAsia="Times New Roman"/>
                <w:lang w:val="de-CH"/>
              </w:rPr>
              <w:br/>
              <w:t>- Anpassung der Gebührenpraxis des AAFR für Planungs- und Bauverfahren</w:t>
            </w:r>
            <w:r w:rsidRPr="0089670B">
              <w:rPr>
                <w:rFonts w:eastAsia="Times New Roman"/>
                <w:lang w:val="de-CH"/>
              </w:rPr>
              <w:br/>
              <w:t>- Anpassung der Gebühren des KGA</w:t>
            </w:r>
            <w:r w:rsidRPr="0089670B">
              <w:rPr>
                <w:rFonts w:eastAsia="Times New Roman"/>
                <w:lang w:val="de-CH"/>
              </w:rPr>
              <w:br/>
              <w:t>- Änderung des Pensionspreises für Gefangene im geschlossenen Vollzug, Standort Bellechasse</w:t>
            </w:r>
            <w:r w:rsidRPr="0089670B">
              <w:rPr>
                <w:rFonts w:eastAsia="Times New Roman"/>
                <w:lang w:val="de-CH"/>
              </w:rPr>
              <w:br/>
              <w:t>- Anpassung der Gebühren der Polizei</w:t>
            </w:r>
            <w:r w:rsidRPr="0089670B">
              <w:rPr>
                <w:rFonts w:eastAsia="Times New Roman"/>
                <w:lang w:val="de-CH"/>
              </w:rPr>
              <w:br/>
              <w:t>- Anpassung der Gebühren des MobA</w:t>
            </w:r>
            <w:r w:rsidRPr="0089670B">
              <w:rPr>
                <w:rFonts w:eastAsia="Times New Roman"/>
                <w:lang w:val="de-CH"/>
              </w:rPr>
              <w:br/>
              <w:t>- Anpassung der Gebühren des TBA</w:t>
            </w:r>
            <w:r w:rsidRPr="0089670B">
              <w:rPr>
                <w:rFonts w:eastAsia="Times New Roman"/>
                <w:lang w:val="de-CH"/>
              </w:rPr>
              <w:br/>
              <w:t>- Anpassung der Gebühren des AMA</w:t>
            </w:r>
            <w:r w:rsidRPr="0089670B">
              <w:rPr>
                <w:rFonts w:eastAsia="Times New Roman"/>
                <w:lang w:val="de-CH"/>
              </w:rPr>
              <w:br/>
              <w:t>- Änderung der Gebührenpraxis des AfE</w:t>
            </w:r>
            <w:r w:rsidRPr="0089670B">
              <w:rPr>
                <w:rFonts w:eastAsia="Times New Roman"/>
                <w:lang w:val="de-CH"/>
              </w:rPr>
              <w:br/>
              <w:t>- Erhöhung des Tarifs für Laboranalysen im Lebensmittelbereich</w:t>
            </w:r>
            <w:r w:rsidRPr="0089670B">
              <w:rPr>
                <w:rFonts w:eastAsia="Times New Roman"/>
                <w:lang w:val="de-CH"/>
              </w:rPr>
              <w:br/>
              <w:t>- Erhöhung der Gebühren der Oberämter</w:t>
            </w:r>
            <w:r w:rsidRPr="0089670B">
              <w:rPr>
                <w:rFonts w:eastAsia="Times New Roman"/>
                <w:lang w:val="de-CH"/>
              </w:rPr>
              <w:br/>
              <w:t>- Revision der Gebühren und Abgaben für die Benützung der öffentlichen Sachen</w:t>
            </w:r>
            <w:r w:rsidRPr="0089670B">
              <w:rPr>
                <w:rFonts w:eastAsia="Times New Roman"/>
                <w:lang w:val="de-CH"/>
              </w:rPr>
              <w:br/>
              <w:t>- Anpassung der Gebühren des BRPA</w:t>
            </w:r>
            <w:r w:rsidRPr="0089670B">
              <w:rPr>
                <w:rFonts w:eastAsia="Times New Roman"/>
                <w:lang w:val="de-CH"/>
              </w:rPr>
              <w:br/>
              <w:t>- Einführung neuer Gebühren für Vorprüfungsgesuche für Baubewilligungen</w:t>
            </w:r>
            <w:r w:rsidRPr="0089670B">
              <w:rPr>
                <w:rFonts w:eastAsia="Times New Roman"/>
                <w:lang w:val="de-CH"/>
              </w:rPr>
              <w:br/>
              <w:t>- Erhöhung der Gebühren des AfU</w:t>
            </w:r>
          </w:p>
        </w:tc>
      </w:tr>
      <w:tr w:rsidR="00D55352" w:rsidRPr="005B3823" w14:paraId="34CABCCC" w14:textId="77777777" w:rsidTr="00D55352">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5000" w:type="pct"/>
          </w:tcPr>
          <w:p w14:paraId="2D3A434C" w14:textId="79C7A0F8" w:rsidR="00D55352" w:rsidRPr="00D55352" w:rsidRDefault="00D55352" w:rsidP="00D55352">
            <w:pPr>
              <w:pStyle w:val="NIVtableau"/>
              <w:spacing w:before="100" w:after="100" w:line="280" w:lineRule="atLeast"/>
              <w:rPr>
                <w:b/>
                <w:bCs w:val="0"/>
                <w:lang w:val="de-CH"/>
              </w:rPr>
            </w:pPr>
            <w:r w:rsidRPr="0089670B">
              <w:rPr>
                <w:rFonts w:eastAsia="Times New Roman"/>
                <w:b/>
                <w:lang w:val="de-CH"/>
              </w:rPr>
              <w:t>b) Steuern</w:t>
            </w:r>
            <w:r w:rsidRPr="0089670B">
              <w:rPr>
                <w:rFonts w:eastAsia="Times New Roman"/>
                <w:b/>
                <w:lang w:val="de-CH"/>
              </w:rPr>
              <w:br/>
            </w:r>
            <w:r w:rsidRPr="0089670B">
              <w:rPr>
                <w:rFonts w:eastAsia="Times New Roman"/>
                <w:lang w:val="de-CH"/>
              </w:rPr>
              <w:t>- Aufstockung der Zahl der Steuereinschätzer/innen bei der KSTV für verstärkte Steuerprüfungen</w:t>
            </w:r>
          </w:p>
        </w:tc>
      </w:tr>
      <w:tr w:rsidR="00D55352" w:rsidRPr="005B3823" w14:paraId="77F2703C" w14:textId="77777777" w:rsidTr="00D55352">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5000" w:type="pct"/>
          </w:tcPr>
          <w:p w14:paraId="0F2FD174" w14:textId="7A77419A" w:rsidR="00D55352" w:rsidRPr="00D55352" w:rsidRDefault="00D55352" w:rsidP="00D55352">
            <w:pPr>
              <w:pStyle w:val="NIVtableau"/>
              <w:spacing w:before="100" w:after="100" w:line="280" w:lineRule="atLeast"/>
              <w:rPr>
                <w:b/>
                <w:bCs w:val="0"/>
                <w:lang w:val="de-CH"/>
              </w:rPr>
            </w:pPr>
            <w:r w:rsidRPr="0089670B">
              <w:rPr>
                <w:rFonts w:eastAsia="Times New Roman"/>
                <w:b/>
                <w:lang w:val="de-CH"/>
              </w:rPr>
              <w:t>c) Nutzungsabgaben</w:t>
            </w:r>
            <w:r w:rsidRPr="0089670B">
              <w:rPr>
                <w:rFonts w:eastAsia="Times New Roman"/>
                <w:b/>
                <w:lang w:val="de-CH"/>
              </w:rPr>
              <w:br/>
            </w:r>
            <w:r w:rsidRPr="0089670B">
              <w:rPr>
                <w:rFonts w:eastAsia="Times New Roman"/>
                <w:lang w:val="de-CH"/>
              </w:rPr>
              <w:t xml:space="preserve">- Externe Vermietung von nicht genutzten Parkplätzen der Verwaltung </w:t>
            </w:r>
            <w:r w:rsidRPr="0089670B">
              <w:rPr>
                <w:rFonts w:eastAsia="Times New Roman"/>
                <w:lang w:val="de-CH"/>
              </w:rPr>
              <w:br/>
              <w:t>- Erhöhung des Schulgeldes für die Sekundarstufe 2</w:t>
            </w:r>
            <w:r w:rsidRPr="0089670B">
              <w:rPr>
                <w:rFonts w:eastAsia="Times New Roman"/>
                <w:lang w:val="de-CH"/>
              </w:rPr>
              <w:br/>
              <w:t>- Erhöhung der Gebühren für die Schlussprüfungen an den Schulen der Sekundarstufe 2</w:t>
            </w:r>
            <w:r w:rsidRPr="0089670B">
              <w:rPr>
                <w:rFonts w:eastAsia="Times New Roman"/>
                <w:lang w:val="de-CH"/>
              </w:rPr>
              <w:br/>
              <w:t xml:space="preserve">- Anpassung der Tarife für die Buchhaltungsdienstleistungen von Grangeneuve </w:t>
            </w:r>
            <w:r w:rsidRPr="0089670B">
              <w:rPr>
                <w:rFonts w:eastAsia="Times New Roman"/>
                <w:lang w:val="de-CH"/>
              </w:rPr>
              <w:br/>
              <w:t>- Erhöhung der Preise für Fischereipatente</w:t>
            </w:r>
            <w:r w:rsidRPr="0089670B">
              <w:rPr>
                <w:rFonts w:eastAsia="Times New Roman"/>
                <w:lang w:val="de-CH"/>
              </w:rPr>
              <w:br/>
              <w:t>- Fakturierung der Projektleitungsmandate für städtebauliche Aspekte zuhanden der Gemeinden</w:t>
            </w:r>
          </w:p>
        </w:tc>
      </w:tr>
      <w:tr w:rsidR="00D55352" w:rsidRPr="005B3823" w14:paraId="3A45FB4A" w14:textId="77777777" w:rsidTr="00D55352">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tcPr>
          <w:p w14:paraId="14F6F9D9" w14:textId="4C1CA65C" w:rsidR="00D55352" w:rsidRPr="00D55352" w:rsidRDefault="00D55352" w:rsidP="00D55352">
            <w:pPr>
              <w:pStyle w:val="NIVtableau"/>
              <w:spacing w:before="100" w:after="100" w:line="280" w:lineRule="atLeast"/>
              <w:rPr>
                <w:lang w:val="de-CH"/>
              </w:rPr>
            </w:pPr>
            <w:r w:rsidRPr="0089670B">
              <w:rPr>
                <w:rFonts w:eastAsia="Times New Roman"/>
                <w:lang w:val="de-CH"/>
              </w:rPr>
              <w:t>d) Weitere Einnahmen</w:t>
            </w:r>
            <w:r w:rsidRPr="0089670B">
              <w:rPr>
                <w:rFonts w:eastAsia="Times New Roman"/>
                <w:lang w:val="de-CH"/>
              </w:rPr>
              <w:br/>
              <w:t xml:space="preserve">- </w:t>
            </w:r>
            <w:r w:rsidRPr="0089670B">
              <w:rPr>
                <w:rFonts w:eastAsia="Times New Roman"/>
                <w:b w:val="0"/>
                <w:lang w:val="de-CH"/>
              </w:rPr>
              <w:t>Erhöhung des Beitrags der FKB</w:t>
            </w:r>
            <w:r w:rsidRPr="0089670B">
              <w:rPr>
                <w:rFonts w:eastAsia="Times New Roman"/>
                <w:b w:val="0"/>
                <w:lang w:val="de-CH"/>
              </w:rPr>
              <w:br/>
              <w:t>- Erhöhung des Beitrags des ASS</w:t>
            </w:r>
          </w:p>
        </w:tc>
      </w:tr>
    </w:tbl>
    <w:p w14:paraId="0C4B5E05" w14:textId="77777777" w:rsidR="006E2BA6" w:rsidRPr="0071758A" w:rsidRDefault="006E2BA6" w:rsidP="00B84E83">
      <w:pPr>
        <w:rPr>
          <w:lang w:val="de-CH"/>
        </w:rPr>
      </w:pPr>
    </w:p>
    <w:p w14:paraId="69644CCD" w14:textId="76443EF4" w:rsidR="000B3746" w:rsidRPr="0071758A" w:rsidRDefault="00D55352" w:rsidP="0071758A">
      <w:pPr>
        <w:pStyle w:val="Listealphabtique"/>
        <w:numPr>
          <w:ilvl w:val="0"/>
          <w:numId w:val="43"/>
        </w:numPr>
        <w:ind w:left="426" w:hanging="426"/>
        <w:rPr>
          <w:b/>
          <w:bCs/>
          <w:lang w:val="de-CH"/>
        </w:rPr>
      </w:pPr>
      <w:r w:rsidRPr="0071758A">
        <w:rPr>
          <w:b/>
          <w:bCs/>
          <w:lang w:val="de-CH"/>
        </w:rPr>
        <w:t>Gebühren und Entgelte</w:t>
      </w:r>
    </w:p>
    <w:p w14:paraId="37DB1BF9" w14:textId="77777777" w:rsidR="0065611E" w:rsidRPr="0089670B" w:rsidRDefault="000B3746" w:rsidP="0065611E">
      <w:pPr>
        <w:contextualSpacing/>
        <w:rPr>
          <w:rFonts w:ascii="Times New Roman" w:eastAsia="Times New Roman" w:hAnsi="Times New Roman" w:cs="Times New Roman"/>
          <w:b/>
          <w:bCs/>
          <w:lang w:val="de-CH"/>
        </w:rPr>
      </w:pPr>
      <w:r w:rsidRPr="0065611E">
        <w:rPr>
          <w:b/>
          <w:bCs/>
          <w:lang w:val="de-CH"/>
        </w:rPr>
        <w:t>&gt;</w:t>
      </w:r>
      <w:r w:rsidRPr="0065611E">
        <w:rPr>
          <w:b/>
          <w:bCs/>
          <w:lang w:val="de-CH"/>
        </w:rPr>
        <w:tab/>
      </w:r>
      <w:r w:rsidR="0065611E" w:rsidRPr="0089670B">
        <w:rPr>
          <w:rFonts w:ascii="Times New Roman" w:eastAsia="Times New Roman" w:hAnsi="Times New Roman" w:cs="Times New Roman"/>
          <w:b/>
          <w:lang w:val="de-CH"/>
        </w:rPr>
        <w:t>Erhöhung der Tarife und Gebühren der Staatskanzlei</w:t>
      </w:r>
    </w:p>
    <w:p w14:paraId="6BCCE5BD" w14:textId="72B4E93B"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Erhöhung verschiedener Tarife und Gebühren der Staatskanzlei, die in den letzten Jahren nicht angepasst wurden. </w:t>
      </w:r>
      <w:r w:rsidR="009036CE" w:rsidRPr="009036CE">
        <w:rPr>
          <w:rFonts w:ascii="Times New Roman" w:eastAsia="Times New Roman" w:hAnsi="Times New Roman" w:cs="Times New Roman"/>
          <w:lang w:val="de-CH"/>
        </w:rPr>
        <w:t>Die Tarife für Beglaubigungen und Apostillen werden je nach Art des Dokuments um fünf oder zehn Franken erhöht.</w:t>
      </w:r>
      <w:r w:rsidR="009036CE">
        <w:rPr>
          <w:rFonts w:ascii="Times New Roman" w:eastAsia="Times New Roman" w:hAnsi="Times New Roman" w:cs="Times New Roman"/>
          <w:lang w:val="de-CH"/>
        </w:rPr>
        <w:t xml:space="preserve"> </w:t>
      </w:r>
      <w:r w:rsidRPr="0089670B">
        <w:rPr>
          <w:rFonts w:ascii="Times New Roman" w:eastAsia="Times New Roman" w:hAnsi="Times New Roman" w:cs="Times New Roman"/>
          <w:lang w:val="de-CH"/>
        </w:rPr>
        <w:t xml:space="preserve">Die Tarife des DMA für die externe Kundschaft werden um 30 % erhöht. Die Preise für Buchbindereiarbeiten werden um zehn Franken angehoben. Die Gebühren für die Urschriften der notariellen </w:t>
      </w:r>
      <w:r w:rsidRPr="0089670B">
        <w:rPr>
          <w:rFonts w:ascii="Times New Roman" w:eastAsia="Times New Roman" w:hAnsi="Times New Roman" w:cs="Times New Roman"/>
          <w:lang w:val="de-CH"/>
        </w:rPr>
        <w:lastRenderedPageBreak/>
        <w:t xml:space="preserve">Urkunden werden von 90 Franken/Urkunde auf 130 Franken/Urkunde erhöht. Beim Staatsarchiv werden die Tarife für die Bereitstellung und Lieferung von Wappen (analog und digital), genealogische Nachforschungen, Urkundenübertragungen und notarielle Urkunden erhöht. </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5C5A0FB9"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E966C09"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BBB7028"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40CA9509"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6C44054"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21E4A9FD"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086A4F69"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61A0A9F"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016242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95 000</w:t>
            </w:r>
          </w:p>
        </w:tc>
        <w:tc>
          <w:tcPr>
            <w:tcW w:w="833" w:type="pct"/>
          </w:tcPr>
          <w:p w14:paraId="5C7563A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95 000</w:t>
            </w:r>
          </w:p>
        </w:tc>
        <w:tc>
          <w:tcPr>
            <w:tcW w:w="833" w:type="pct"/>
          </w:tcPr>
          <w:p w14:paraId="1E7BD63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95 000</w:t>
            </w:r>
          </w:p>
        </w:tc>
        <w:tc>
          <w:tcPr>
            <w:tcW w:w="833" w:type="pct"/>
          </w:tcPr>
          <w:p w14:paraId="0FD56402"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285 000</w:t>
            </w:r>
          </w:p>
        </w:tc>
      </w:tr>
      <w:tr w:rsidR="0065611E" w:rsidRPr="0089670B" w14:paraId="4FBFC7A4"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17528D6"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36AC94B3"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5D173B7"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F510169"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1AFC907"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0B5ABDF8" w14:textId="77777777" w:rsidR="0065611E" w:rsidRPr="0089670B" w:rsidRDefault="0065611E" w:rsidP="0065611E">
      <w:pPr>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Gebührenpraxis des AAFR für Planungs- und Bauverfahren</w:t>
      </w:r>
    </w:p>
    <w:p w14:paraId="33367FFA"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Anpassung der Gebühren des Amts für Archäologie des Staates Freiburg. Die Gebühren werden an die Praxis anderer Ämter bezüglich der Planungs- und Bauverfahren angepasst. Im Einklang mit der gängigen Praxis werden gewisse vom Amt erhobene Gebühren erhöht und gewisse Gebühren eingeführt. </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6C34BEE9"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CD86C17"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5B79921"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0F7A5A9D"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3F2E16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77BEC266"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113D4B03"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E8CD43A"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BB677FB"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42 000</w:t>
            </w:r>
          </w:p>
        </w:tc>
        <w:tc>
          <w:tcPr>
            <w:tcW w:w="833" w:type="pct"/>
          </w:tcPr>
          <w:p w14:paraId="6225B9E3"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42 000</w:t>
            </w:r>
          </w:p>
        </w:tc>
        <w:tc>
          <w:tcPr>
            <w:tcW w:w="833" w:type="pct"/>
          </w:tcPr>
          <w:p w14:paraId="5C59344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42 000</w:t>
            </w:r>
          </w:p>
        </w:tc>
        <w:tc>
          <w:tcPr>
            <w:tcW w:w="833" w:type="pct"/>
          </w:tcPr>
          <w:p w14:paraId="6537301A"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126 000</w:t>
            </w:r>
          </w:p>
        </w:tc>
      </w:tr>
      <w:tr w:rsidR="0065611E" w:rsidRPr="0089670B" w14:paraId="356EFFBA"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7736556"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1039DBD"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2C71B2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B686EB2"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06B74DD"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7E555A4F" w14:textId="77777777" w:rsidR="0065611E" w:rsidRPr="0089670B" w:rsidRDefault="0065611E" w:rsidP="0065611E">
      <w:pPr>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Gebühren des KGA</w:t>
      </w:r>
    </w:p>
    <w:p w14:paraId="2B7688E7"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Erhöhung der Gebühren des Amts für Kulturgüter. Die Gebühren dieses Amts werden um durchschnittlich 10 % erhöht.</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3CA3FA1E"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D6ED7A9"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054751E"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31DCA27"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8E1143C"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3DD20203"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6EDB5B7B"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9BF203F"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444F87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12 000</w:t>
            </w:r>
          </w:p>
        </w:tc>
        <w:tc>
          <w:tcPr>
            <w:tcW w:w="833" w:type="pct"/>
          </w:tcPr>
          <w:p w14:paraId="54FBBBB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12 000</w:t>
            </w:r>
          </w:p>
        </w:tc>
        <w:tc>
          <w:tcPr>
            <w:tcW w:w="833" w:type="pct"/>
          </w:tcPr>
          <w:p w14:paraId="585D9CA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12 000</w:t>
            </w:r>
          </w:p>
        </w:tc>
        <w:tc>
          <w:tcPr>
            <w:tcW w:w="833" w:type="pct"/>
          </w:tcPr>
          <w:p w14:paraId="1A4F4A2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36 000</w:t>
            </w:r>
          </w:p>
        </w:tc>
      </w:tr>
      <w:tr w:rsidR="0065611E" w:rsidRPr="0089670B" w14:paraId="51C5E9AA"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0515DD0"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7C88F68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D67D1D9"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2EA3C17"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F0FF20E"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30A202CA" w14:textId="77777777" w:rsidR="0065611E" w:rsidRPr="0089670B" w:rsidRDefault="0065611E" w:rsidP="0065611E">
      <w:pPr>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Änderung des Pensionspreises für Gefangene im geschlossenen Vollzug, Standort Bellechasse</w:t>
      </w:r>
    </w:p>
    <w:p w14:paraId="5251C5AA"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Erhöhung der Pensionspreise für Gefangene im geschlossenen Vollzug am Standort Bellechasse. Dank der Trennung des geschlossenen und offenen Vollzugs, der erfolgten und geplanten Sicherheitsanpassungen an der Infrastruktur sowie der angestrebten Verbesserungen bei der Betreuung kann Bellechasse zur besseren Kompensation gewisser Kosten höhere Beträge in Rechnung stellen. Diese Rechnungstellung kommt bereits seit 1. Januar 2025 zur Anwendung. Diese Änderung war im Finanzplan nicht einberechnet, ist also eine Verbesserung. </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00C4A681"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618F323"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6343A2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CA83CC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1D3101ED"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7C23B431"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05711417"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3344928"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7E7300A"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5B2AD0ED"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149DFBCD"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0BD1A9F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1 200 000</w:t>
            </w:r>
          </w:p>
        </w:tc>
      </w:tr>
      <w:tr w:rsidR="0065611E" w:rsidRPr="0089670B" w14:paraId="0BD9E02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E1C56CC"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03AC2E7"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953D5E2"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0412142"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DA5C74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407831D2"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Gebühren der Polizei</w:t>
      </w:r>
    </w:p>
    <w:p w14:paraId="5E1C2B57"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Vorhaben zur Anpassung der Polizeigebühren, das Teil eines laufenden Verfahrens ist. Dieses Verfahren ist bis zu einem Rechtsentscheid ausgesetzt. Die zusätzlichen Einnahmen werden jedoch in der vorliegenden Botschaft berücksichtigt. Für bestimmte gebührenpflichtige polizeiliche Leistungen werden die Tarife erhöht.</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0C3DFB64"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9B79194"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1258C6F7"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2D5B04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AD920CA"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46CB9C74"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39C007C3"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0E1D85C"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33621A2"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60 000</w:t>
            </w:r>
          </w:p>
        </w:tc>
        <w:tc>
          <w:tcPr>
            <w:tcW w:w="833" w:type="pct"/>
          </w:tcPr>
          <w:p w14:paraId="3EB5000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60 000</w:t>
            </w:r>
          </w:p>
        </w:tc>
        <w:tc>
          <w:tcPr>
            <w:tcW w:w="833" w:type="pct"/>
          </w:tcPr>
          <w:p w14:paraId="40CE943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60 000</w:t>
            </w:r>
          </w:p>
        </w:tc>
        <w:tc>
          <w:tcPr>
            <w:tcW w:w="833" w:type="pct"/>
          </w:tcPr>
          <w:p w14:paraId="5017BD2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180 000</w:t>
            </w:r>
          </w:p>
        </w:tc>
      </w:tr>
      <w:tr w:rsidR="0065611E" w:rsidRPr="0089670B" w14:paraId="52899FEA"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6F69D15"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DF4EEEC"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87E815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835BE6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0D550CD"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04C8ACE0"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lastRenderedPageBreak/>
        <w:t>&gt;</w:t>
      </w:r>
      <w:r w:rsidRPr="0089670B">
        <w:rPr>
          <w:rFonts w:ascii="Times New Roman" w:eastAsia="Times New Roman" w:hAnsi="Times New Roman" w:cs="Times New Roman"/>
          <w:b/>
          <w:lang w:val="de-CH"/>
        </w:rPr>
        <w:tab/>
        <w:t>Anpassung der Gebühren des MobA</w:t>
      </w:r>
    </w:p>
    <w:p w14:paraId="219CD130"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Gebühren des Amts für Mobilität. Diese Gebühren wurden 2012 letztmals angepasst. Die verschiedenen Gebühren werden erhöht. Dabei kann die Gebührenstruktur überarbeitet und die Gebührenhöhe angepasst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0B7E2B2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811E0AD"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0E51635"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F919C0F"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01CDD1E"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2E5B9C0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79DEF9EF"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24AA395"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4723CE3"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50 000</w:t>
            </w:r>
          </w:p>
        </w:tc>
        <w:tc>
          <w:tcPr>
            <w:tcW w:w="833" w:type="pct"/>
          </w:tcPr>
          <w:p w14:paraId="2D9674F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50 000</w:t>
            </w:r>
          </w:p>
        </w:tc>
        <w:tc>
          <w:tcPr>
            <w:tcW w:w="833" w:type="pct"/>
          </w:tcPr>
          <w:p w14:paraId="0011B716"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50 000</w:t>
            </w:r>
          </w:p>
        </w:tc>
        <w:tc>
          <w:tcPr>
            <w:tcW w:w="833" w:type="pct"/>
          </w:tcPr>
          <w:p w14:paraId="42A9744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150 000</w:t>
            </w:r>
          </w:p>
        </w:tc>
      </w:tr>
      <w:tr w:rsidR="0065611E" w:rsidRPr="0089670B" w14:paraId="48E8F818"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A273AC9"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4E071FB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25787B8"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2FE5D15"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345D429"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2C828A56"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Gebühren des TBA</w:t>
      </w:r>
    </w:p>
    <w:p w14:paraId="2701C203"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Erhöhung der Gebühren des Tiefbauamts. Diese Gebühren, die in der Regel für Leistungen im Rahmen von Gemeindestrassenbauprojekten in Rechnung gestellt werden, sollen um durchschnittlich 10 % erhöht werden. </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16B8A55F"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97CAC7C"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EF1B7CA"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A247056"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12F676AD"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14337FC0"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6CCEFCC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4ACDEF7"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6F27F13"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11 000</w:t>
            </w:r>
          </w:p>
        </w:tc>
        <w:tc>
          <w:tcPr>
            <w:tcW w:w="833" w:type="pct"/>
          </w:tcPr>
          <w:p w14:paraId="1001D17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11 000</w:t>
            </w:r>
          </w:p>
        </w:tc>
        <w:tc>
          <w:tcPr>
            <w:tcW w:w="833" w:type="pct"/>
          </w:tcPr>
          <w:p w14:paraId="30CDD311"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11 000</w:t>
            </w:r>
          </w:p>
        </w:tc>
        <w:tc>
          <w:tcPr>
            <w:tcW w:w="833" w:type="pct"/>
          </w:tcPr>
          <w:p w14:paraId="6327114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54 900</w:t>
            </w:r>
          </w:p>
        </w:tc>
      </w:tr>
      <w:tr w:rsidR="0065611E" w:rsidRPr="0089670B" w14:paraId="4F747DD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BC34CC8"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E657862"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5C83EBD"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E1BAB4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687B696"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430DA4B6"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Gebühren des AMA</w:t>
      </w:r>
    </w:p>
    <w:p w14:paraId="7D74A5A4"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Gebühren des Amts für den Arbeitsmarkt. Die geltenden Gebühren werden um durchschnittlich 10 % erhöht.</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2E2A7551"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F038860"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4593B832"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4F0E309A"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E6B66FF"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295B49C9"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184A812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DE38157"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BE5A313"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18 300</w:t>
            </w:r>
          </w:p>
        </w:tc>
        <w:tc>
          <w:tcPr>
            <w:tcW w:w="833" w:type="pct"/>
          </w:tcPr>
          <w:p w14:paraId="03ADD9C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18 300</w:t>
            </w:r>
          </w:p>
        </w:tc>
        <w:tc>
          <w:tcPr>
            <w:tcW w:w="833" w:type="pct"/>
          </w:tcPr>
          <w:p w14:paraId="3F88AB3E"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18 300</w:t>
            </w:r>
          </w:p>
        </w:tc>
        <w:tc>
          <w:tcPr>
            <w:tcW w:w="833" w:type="pct"/>
          </w:tcPr>
          <w:p w14:paraId="791E3E57"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33 000</w:t>
            </w:r>
          </w:p>
        </w:tc>
      </w:tr>
      <w:tr w:rsidR="0065611E" w:rsidRPr="0089670B" w14:paraId="5D9A087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D48634A"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D1616B3"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3371C4F1"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E9D2B51"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E938D21"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7944E459"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Änderung der Gebührenpraxis des AfE</w:t>
      </w:r>
    </w:p>
    <w:p w14:paraId="62F91FF8"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Gebühren des Amts für Energie. Für Beratungen im Zusammenhang mit Dossiers des Bundes sollen künftig Gebühren erhoben und den beim Bund Antragstellenden in Rechnung gestellt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54432FBC"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A4C4DD4"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C528499"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4B5BF77"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7B7F28E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851C6C4"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4838DA3D"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08B13AB"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27E4ED3"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116 535</w:t>
            </w:r>
          </w:p>
        </w:tc>
        <w:tc>
          <w:tcPr>
            <w:tcW w:w="833" w:type="pct"/>
          </w:tcPr>
          <w:p w14:paraId="22A2EE57"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116 535</w:t>
            </w:r>
          </w:p>
        </w:tc>
        <w:tc>
          <w:tcPr>
            <w:tcW w:w="833" w:type="pct"/>
          </w:tcPr>
          <w:p w14:paraId="5F9E327B"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116 535</w:t>
            </w:r>
          </w:p>
        </w:tc>
        <w:tc>
          <w:tcPr>
            <w:tcW w:w="833" w:type="pct"/>
          </w:tcPr>
          <w:p w14:paraId="53037F56"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349 605</w:t>
            </w:r>
          </w:p>
        </w:tc>
      </w:tr>
      <w:tr w:rsidR="0065611E" w:rsidRPr="0089670B" w14:paraId="16086E40"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8192163"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722BAE5"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A689431"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90A140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2B071B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C7A5A20"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Tarife für Laboranalysen im Lebensmittelbereich</w:t>
      </w:r>
    </w:p>
    <w:p w14:paraId="5CE06566"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Umsetzung einer am 1. Januar 2025 in Kraft getretenen Praxisänderung. Die Tarife für Laboranalysen im Lebensmittelbereich wurden um durchschnittlich 4 % angehoben, was der Erhöhung um einen Punkt des VCKS (Verband der Kantonschemikerinnen und Kantonschemiker der Schweizer Kantone) entspricht. Diese Beträge waren im Finanzplan nicht einberechnet und stellen somit eine Verbesserung dar.</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36B5BF78"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79EE9D9"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167E03F9"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B6B2EA3"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59E9127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D76EED8"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4464C1BD"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57F20C1"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291874DD"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37 000</w:t>
            </w:r>
          </w:p>
        </w:tc>
        <w:tc>
          <w:tcPr>
            <w:tcW w:w="833" w:type="pct"/>
          </w:tcPr>
          <w:p w14:paraId="2A4819BA"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37 000</w:t>
            </w:r>
          </w:p>
        </w:tc>
        <w:tc>
          <w:tcPr>
            <w:tcW w:w="833" w:type="pct"/>
          </w:tcPr>
          <w:p w14:paraId="2B0FCD7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37 000</w:t>
            </w:r>
          </w:p>
        </w:tc>
        <w:tc>
          <w:tcPr>
            <w:tcW w:w="833" w:type="pct"/>
          </w:tcPr>
          <w:p w14:paraId="18490580"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111 000</w:t>
            </w:r>
          </w:p>
        </w:tc>
      </w:tr>
      <w:tr w:rsidR="0065611E" w:rsidRPr="0089670B" w14:paraId="15ED8117"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8693903"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7BD21A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DBFC26E"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092BE7D"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8A2BB04"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37E13EA" w14:textId="038D4C6F" w:rsidR="0065611E" w:rsidRDefault="0065611E" w:rsidP="0065611E">
      <w:pPr>
        <w:rPr>
          <w:rFonts w:ascii="Times New Roman" w:eastAsia="Times New Roman" w:hAnsi="Times New Roman" w:cs="Times New Roman"/>
          <w:b/>
          <w:lang w:val="de-CH"/>
        </w:rPr>
      </w:pPr>
    </w:p>
    <w:p w14:paraId="5D98F112" w14:textId="77777777" w:rsidR="0071758A" w:rsidRDefault="0071758A">
      <w:pPr>
        <w:rPr>
          <w:rFonts w:ascii="Times New Roman" w:eastAsia="Times New Roman" w:hAnsi="Times New Roman" w:cs="Times New Roman"/>
          <w:b/>
          <w:lang w:val="de-CH"/>
        </w:rPr>
      </w:pPr>
      <w:r>
        <w:rPr>
          <w:rFonts w:ascii="Times New Roman" w:eastAsia="Times New Roman" w:hAnsi="Times New Roman" w:cs="Times New Roman"/>
          <w:b/>
          <w:lang w:val="de-CH"/>
        </w:rPr>
        <w:br w:type="page"/>
      </w:r>
    </w:p>
    <w:p w14:paraId="5B389A66" w14:textId="3B12DC44" w:rsidR="007869AB" w:rsidRPr="0089670B" w:rsidRDefault="007869AB"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lastRenderedPageBreak/>
        <w:t>&gt;</w:t>
      </w:r>
      <w:r w:rsidRPr="0089670B">
        <w:rPr>
          <w:rFonts w:ascii="Times New Roman" w:eastAsia="Times New Roman" w:hAnsi="Times New Roman" w:cs="Times New Roman"/>
          <w:b/>
          <w:lang w:val="de-CH"/>
        </w:rPr>
        <w:tab/>
        <w:t>Erhöhung der Gebühren der Oberämter</w:t>
      </w:r>
    </w:p>
    <w:p w14:paraId="26CED991"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Gebühren der Oberämter. Diese Gebühren sind in den letzten Jahren nicht angepasst worden. Die Oberämter haben einen gewissen Spielraum bei der Festlegung der Gebührentarife innerhalb des gesetzlichen Rahmens. Die Gebührentarife sollen ab 2026 um durchschnittlich 10 % erhöht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779C2658"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87D562E"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B601FFE"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21B821BA"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FF296DE"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8928244"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76F402F1"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C77EE49"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FFD4B26"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214 000</w:t>
            </w:r>
          </w:p>
        </w:tc>
        <w:tc>
          <w:tcPr>
            <w:tcW w:w="833" w:type="pct"/>
          </w:tcPr>
          <w:p w14:paraId="1338C87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214 000</w:t>
            </w:r>
          </w:p>
        </w:tc>
        <w:tc>
          <w:tcPr>
            <w:tcW w:w="833" w:type="pct"/>
          </w:tcPr>
          <w:p w14:paraId="046F915E"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214 000</w:t>
            </w:r>
          </w:p>
        </w:tc>
        <w:tc>
          <w:tcPr>
            <w:tcW w:w="833" w:type="pct"/>
          </w:tcPr>
          <w:p w14:paraId="47287A98"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642 000</w:t>
            </w:r>
          </w:p>
        </w:tc>
      </w:tr>
      <w:tr w:rsidR="0065611E" w:rsidRPr="0089670B" w14:paraId="345DC43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A21BCB5"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4B51279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369DDA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F67F4F5"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22D0677"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0C3C7827"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Gebühren und Abgaben für die Benützung öffentlicher Sachen</w:t>
      </w:r>
    </w:p>
    <w:p w14:paraId="06DA164F"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Überarbeitung der Gebühren und Abgaben für die Benützung öffentlicher Sachen. Die gegenwärtige Nutzungsabgabe für die Wasserentnahme der grössten Verbraucher und die Nutzungsabgabe in Zusammenhang mit der Benützung der Strassen werden um 20 % angehoben. Die Konzessionen für Autobahnraststätten fallen unter die gleiche Richtlinie. Hier wird eine Erhöhung um 10 % geprüft.</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03AE4812"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79699A1"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6790B9E2"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63811CE"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00FEB99"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1DCE054E"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5616908D"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00F9FFF"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279E217"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581 000</w:t>
            </w:r>
          </w:p>
        </w:tc>
        <w:tc>
          <w:tcPr>
            <w:tcW w:w="833" w:type="pct"/>
          </w:tcPr>
          <w:p w14:paraId="18E347C7"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581 000</w:t>
            </w:r>
          </w:p>
        </w:tc>
        <w:tc>
          <w:tcPr>
            <w:tcW w:w="833" w:type="pct"/>
          </w:tcPr>
          <w:p w14:paraId="62455258"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581 000</w:t>
            </w:r>
          </w:p>
        </w:tc>
        <w:tc>
          <w:tcPr>
            <w:tcW w:w="833" w:type="pct"/>
          </w:tcPr>
          <w:p w14:paraId="1874DB87"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1 743 000</w:t>
            </w:r>
          </w:p>
        </w:tc>
      </w:tr>
      <w:tr w:rsidR="0065611E" w:rsidRPr="0089670B" w14:paraId="2AB10178"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AB44824"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31405B87"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D042AB4"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3E6FB00"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F38375E"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639216DB"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Gebühren des BRPA</w:t>
      </w:r>
    </w:p>
    <w:p w14:paraId="7683CD96"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geltenden Tarife der Gebühren im Bereich der Raumplanung und des Bauwesens. Die Tarife des Bau- und Raumplanungsamts wurden in jüngster Zeit nicht angepasst und können teuerungsbedingt um 7 % erhöht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4116D52E"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972E143"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738A53B"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23276C67"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A766616"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6B373C72"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366719F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3FD119E"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E998DF3"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c>
          <w:tcPr>
            <w:tcW w:w="833" w:type="pct"/>
          </w:tcPr>
          <w:p w14:paraId="23E77BEB"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c>
          <w:tcPr>
            <w:tcW w:w="833" w:type="pct"/>
          </w:tcPr>
          <w:p w14:paraId="0289BBA5"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c>
          <w:tcPr>
            <w:tcW w:w="833" w:type="pct"/>
          </w:tcPr>
          <w:p w14:paraId="78F0512D"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900 000</w:t>
            </w:r>
          </w:p>
        </w:tc>
      </w:tr>
      <w:tr w:rsidR="0065611E" w:rsidRPr="0089670B" w14:paraId="6A85F3E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C5B275E"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4001FB71"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7180408"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F5F628C"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954852D"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2FEAB59E"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Einführung einer neuen Gebühr für die Vorprüfungsgesuche von Baubewilligungen</w:t>
      </w:r>
    </w:p>
    <w:p w14:paraId="5A4639ED"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Einführung einer neuen Gebühr für die Vorprüfungsgesuch von Baubewilligungen. Diese Gesuche verursachen einen hohen Arbeitsaufwand für die staatlichen Ämter und dienen nicht der Gesellschaft als Ganzes, sondern nur den Antragstellenden. Daher erscheint es sinnvoll, eine Gebühr für die geleistete Arbeit zu erheben.</w:t>
      </w: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669748B3"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3291688"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6A524CA6"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253760F"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6E52406"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1FA3B659"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340E9F45"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4CCE919"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4173767"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19B543A9"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59F16AAF"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1D968F92"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600 000</w:t>
            </w:r>
          </w:p>
        </w:tc>
      </w:tr>
      <w:tr w:rsidR="0065611E" w:rsidRPr="0089670B" w14:paraId="0F9F751A"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000DBA1"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BF686DB"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BA05175"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061BD6F"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0AD338E"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735C27DB" w14:textId="77777777" w:rsidR="0065611E" w:rsidRPr="0089670B"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Gebühren des AfU</w:t>
      </w:r>
    </w:p>
    <w:p w14:paraId="3171F7DB" w14:textId="09F93F12" w:rsidR="0071758A" w:rsidRDefault="0065611E" w:rsidP="0065611E">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Erhöhung der Tarife der Gebühren des Amts für Umwelt. Die Tarife des AfU sind nicht ganz auf dem aktuellen Stand der in diesem Bereich geltenden Gebühren. Die in Rechnung gestellten Personalkosten werden um durchschnittlich 29</w:t>
      </w:r>
      <w:r w:rsidR="009036CE">
        <w:rPr>
          <w:rFonts w:ascii="Times New Roman" w:eastAsia="Times New Roman" w:hAnsi="Times New Roman" w:cs="Times New Roman"/>
          <w:lang w:val="de-CH"/>
        </w:rPr>
        <w:t> </w:t>
      </w:r>
      <w:r w:rsidRPr="0089670B">
        <w:rPr>
          <w:rFonts w:ascii="Times New Roman" w:eastAsia="Times New Roman" w:hAnsi="Times New Roman" w:cs="Times New Roman"/>
          <w:lang w:val="de-CH"/>
        </w:rPr>
        <w:t>% (je nach Funktion um 0 %</w:t>
      </w:r>
      <w:r w:rsidR="009036CE">
        <w:rPr>
          <w:rFonts w:ascii="Times New Roman" w:eastAsia="Times New Roman" w:hAnsi="Times New Roman" w:cs="Times New Roman"/>
          <w:lang w:val="de-CH"/>
        </w:rPr>
        <w:t>–</w:t>
      </w:r>
      <w:r w:rsidRPr="0089670B">
        <w:rPr>
          <w:rFonts w:ascii="Times New Roman" w:eastAsia="Times New Roman" w:hAnsi="Times New Roman" w:cs="Times New Roman"/>
          <w:lang w:val="de-CH"/>
        </w:rPr>
        <w:t>65 %), die Gerätekosten um durchschnittlich 20 % (16 %</w:t>
      </w:r>
      <w:r w:rsidR="009036CE">
        <w:rPr>
          <w:rFonts w:ascii="Times New Roman" w:eastAsia="Times New Roman" w:hAnsi="Times New Roman" w:cs="Times New Roman"/>
          <w:lang w:val="de-CH"/>
        </w:rPr>
        <w:t>–</w:t>
      </w:r>
      <w:r w:rsidRPr="0089670B">
        <w:rPr>
          <w:rFonts w:ascii="Times New Roman" w:eastAsia="Times New Roman" w:hAnsi="Times New Roman" w:cs="Times New Roman"/>
          <w:lang w:val="de-CH"/>
        </w:rPr>
        <w:t>25 %) und die Analysekosten um durchschnittlich 25 % erhöht.</w:t>
      </w:r>
    </w:p>
    <w:p w14:paraId="39F55DC5" w14:textId="77777777" w:rsidR="0071758A" w:rsidRDefault="0071758A">
      <w:pPr>
        <w:rPr>
          <w:rFonts w:ascii="Times New Roman" w:eastAsia="Times New Roman" w:hAnsi="Times New Roman" w:cs="Times New Roman"/>
          <w:lang w:val="de-CH"/>
        </w:rPr>
      </w:pPr>
      <w:r>
        <w:rPr>
          <w:rFonts w:ascii="Times New Roman" w:eastAsia="Times New Roman" w:hAnsi="Times New Roman" w:cs="Times New Roman"/>
          <w:lang w:val="de-CH"/>
        </w:rPr>
        <w:br w:type="page"/>
      </w:r>
    </w:p>
    <w:p w14:paraId="06D73AD9" w14:textId="77777777" w:rsidR="0065611E" w:rsidRPr="0089670B" w:rsidRDefault="0065611E" w:rsidP="0065611E">
      <w:pPr>
        <w:rPr>
          <w:rFonts w:ascii="Times New Roman" w:eastAsia="Times New Roman" w:hAnsi="Times New Roman" w:cs="Times New Roman"/>
          <w:lang w:val="de-CH"/>
        </w:rPr>
      </w:pPr>
    </w:p>
    <w:tbl>
      <w:tblPr>
        <w:tblStyle w:val="TableauEtatFR"/>
        <w:tblW w:w="5000" w:type="pct"/>
        <w:tblLook w:val="04E0" w:firstRow="1" w:lastRow="1" w:firstColumn="1" w:lastColumn="0" w:noHBand="0" w:noVBand="1"/>
      </w:tblPr>
      <w:tblGrid>
        <w:gridCol w:w="3312"/>
        <w:gridCol w:w="1653"/>
        <w:gridCol w:w="1653"/>
        <w:gridCol w:w="1653"/>
        <w:gridCol w:w="1649"/>
      </w:tblGrid>
      <w:tr w:rsidR="0065611E" w:rsidRPr="0089670B" w14:paraId="6DE808CA" w14:textId="77777777" w:rsidTr="0071758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C3E4F04" w14:textId="77777777" w:rsidR="0065611E" w:rsidRPr="0089670B" w:rsidRDefault="0065611E"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7D6A5113"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2B53338"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C7AEC26"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2C22A93" w14:textId="77777777" w:rsidR="0065611E" w:rsidRPr="0089670B" w:rsidRDefault="0065611E"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5611E" w:rsidRPr="0089670B" w14:paraId="682EE326" w14:textId="77777777" w:rsidTr="0071758A">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9A620D9" w14:textId="77777777" w:rsidR="0065611E" w:rsidRPr="0089670B" w:rsidRDefault="0065611E"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5471226"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238 300</w:t>
            </w:r>
          </w:p>
        </w:tc>
        <w:tc>
          <w:tcPr>
            <w:tcW w:w="833" w:type="pct"/>
          </w:tcPr>
          <w:p w14:paraId="42903C9B"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238 300</w:t>
            </w:r>
          </w:p>
        </w:tc>
        <w:tc>
          <w:tcPr>
            <w:tcW w:w="833" w:type="pct"/>
          </w:tcPr>
          <w:p w14:paraId="3271E971" w14:textId="77777777"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238 300</w:t>
            </w:r>
          </w:p>
        </w:tc>
        <w:tc>
          <w:tcPr>
            <w:tcW w:w="833" w:type="pct"/>
          </w:tcPr>
          <w:p w14:paraId="57155370" w14:textId="0FC69D88" w:rsidR="0065611E" w:rsidRPr="0089670B" w:rsidRDefault="0065611E"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714</w:t>
            </w:r>
            <w:r w:rsidR="0071758A">
              <w:rPr>
                <w:rFonts w:eastAsia="Times New Roman" w:cs="Arial"/>
                <w:color w:val="000000"/>
                <w:sz w:val="18"/>
                <w:lang w:val="de-CH"/>
              </w:rPr>
              <w:t> </w:t>
            </w:r>
            <w:r w:rsidRPr="0089670B">
              <w:rPr>
                <w:rFonts w:eastAsia="Times New Roman" w:cs="Arial"/>
                <w:color w:val="000000"/>
                <w:sz w:val="18"/>
                <w:lang w:val="de-CH"/>
              </w:rPr>
              <w:t>900</w:t>
            </w:r>
          </w:p>
        </w:tc>
      </w:tr>
      <w:tr w:rsidR="0065611E" w:rsidRPr="0089670B" w14:paraId="6D8AEF2F" w14:textId="77777777" w:rsidTr="0071758A">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9CD257C" w14:textId="77777777" w:rsidR="0065611E" w:rsidRPr="0089670B" w:rsidRDefault="0065611E"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7E23E979"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2C0C895"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8DBDF42"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610CCBB" w14:textId="77777777" w:rsidR="0065611E" w:rsidRPr="0089670B" w:rsidRDefault="0065611E"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0606C255" w14:textId="77777777" w:rsidR="0065611E" w:rsidRPr="00FE3A13" w:rsidRDefault="0065611E" w:rsidP="0065611E">
      <w:pPr>
        <w:pStyle w:val="Listealphabtique"/>
        <w:numPr>
          <w:ilvl w:val="0"/>
          <w:numId w:val="0"/>
        </w:numPr>
      </w:pPr>
    </w:p>
    <w:p w14:paraId="7184D287" w14:textId="37A8DF3A" w:rsidR="000B3746" w:rsidRPr="000772F7" w:rsidRDefault="00D26A30" w:rsidP="00D26A30">
      <w:pPr>
        <w:pStyle w:val="Listealphabtique"/>
        <w:ind w:left="426" w:hanging="426"/>
        <w:rPr>
          <w:b/>
          <w:bCs/>
          <w:lang w:val="de-CH"/>
        </w:rPr>
      </w:pPr>
      <w:r w:rsidRPr="000772F7">
        <w:rPr>
          <w:b/>
          <w:bCs/>
          <w:lang w:val="de-CH"/>
        </w:rPr>
        <w:t>Steuern</w:t>
      </w:r>
    </w:p>
    <w:p w14:paraId="2CEAF8A8" w14:textId="77777777" w:rsidR="00D26A30" w:rsidRPr="0089670B" w:rsidRDefault="000B3746" w:rsidP="00D26A30">
      <w:pPr>
        <w:contextualSpacing/>
        <w:rPr>
          <w:rFonts w:ascii="Times New Roman" w:eastAsia="Times New Roman" w:hAnsi="Times New Roman" w:cs="Times New Roman"/>
          <w:b/>
          <w:bCs/>
          <w:lang w:val="de-CH"/>
        </w:rPr>
      </w:pPr>
      <w:r w:rsidRPr="00D26A30">
        <w:rPr>
          <w:b/>
          <w:bCs/>
          <w:lang w:val="de-CH"/>
        </w:rPr>
        <w:t>&gt;</w:t>
      </w:r>
      <w:r w:rsidRPr="00D26A30">
        <w:rPr>
          <w:b/>
          <w:bCs/>
          <w:lang w:val="de-CH"/>
        </w:rPr>
        <w:tab/>
      </w:r>
      <w:r w:rsidR="00D26A30" w:rsidRPr="0089670B">
        <w:rPr>
          <w:rFonts w:ascii="Times New Roman" w:eastAsia="Times New Roman" w:hAnsi="Times New Roman" w:cs="Times New Roman"/>
          <w:b/>
          <w:lang w:val="de-CH"/>
        </w:rPr>
        <w:t>Aufstockung der Zahl der Steuereinschätzer/innen bei der KSTV für verstärkte Steuerprüfungen</w:t>
      </w:r>
    </w:p>
    <w:p w14:paraId="4D5218F3" w14:textId="221281F2"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Verstärkte Steuerprüfungen im Rahmen der Steuerveranlagungen. Das Personal der kantonalen Steuerverwaltung wird im Hinblick auf eine bessere Prüfung der Dossiers von Steuerpflichtigen, die mutmasslich nicht aller ihre Einkünfte/Gewinne und oder nicht ihr gesamtes Vermögen/Eigenkapital deklariert haben, aufgestockt. Das dürfte höhere steuerpflichtige Einkünfte und damit höhere Steuereinnahmen zur Folge haben. In den Jahren 2026</w:t>
      </w:r>
      <w:r w:rsidR="00D80865">
        <w:rPr>
          <w:rFonts w:ascii="Times New Roman" w:eastAsia="Times New Roman" w:hAnsi="Times New Roman" w:cs="Times New Roman"/>
          <w:lang w:val="de-CH"/>
        </w:rPr>
        <w:t>–</w:t>
      </w:r>
      <w:r w:rsidRPr="0089670B">
        <w:rPr>
          <w:rFonts w:ascii="Times New Roman" w:eastAsia="Times New Roman" w:hAnsi="Times New Roman" w:cs="Times New Roman"/>
          <w:lang w:val="de-CH"/>
        </w:rPr>
        <w:t>2028 sollen jeweils vier neue Stellen für Steuereinschätzer/innen geschaffen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3460EFE6"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1940CE6"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7BFBF9B"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2264DEF"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7288C59A"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411A7D9"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53A284E9"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5E009A6"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EDED687"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1 040 000</w:t>
            </w:r>
          </w:p>
        </w:tc>
        <w:tc>
          <w:tcPr>
            <w:tcW w:w="833" w:type="pct"/>
          </w:tcPr>
          <w:p w14:paraId="45D90635"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580 000</w:t>
            </w:r>
          </w:p>
        </w:tc>
        <w:tc>
          <w:tcPr>
            <w:tcW w:w="833" w:type="pct"/>
          </w:tcPr>
          <w:p w14:paraId="31D00130"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120 000</w:t>
            </w:r>
          </w:p>
        </w:tc>
        <w:tc>
          <w:tcPr>
            <w:tcW w:w="833" w:type="pct"/>
          </w:tcPr>
          <w:p w14:paraId="13CA516D"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1 740 000</w:t>
            </w:r>
          </w:p>
        </w:tc>
      </w:tr>
      <w:tr w:rsidR="00D26A30" w:rsidRPr="0089670B" w14:paraId="048B9EB0"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CD1AEF8"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33322F25"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7476A1F"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79BEEC44"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C7AF812"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3</w:t>
            </w:r>
            <w:r w:rsidRPr="0089670B">
              <w:rPr>
                <w:rFonts w:eastAsia="Times New Roman" w:cs="Arial"/>
                <w:color w:val="000000"/>
                <w:sz w:val="18"/>
                <w:lang w:val="de-CH"/>
              </w:rPr>
              <w:t> </w:t>
            </w:r>
            <w:r w:rsidRPr="0089670B">
              <w:rPr>
                <w:rFonts w:eastAsia="Times New Roman" w:cs="Arial"/>
                <w:b w:val="0"/>
                <w:bCs/>
                <w:color w:val="000000"/>
                <w:sz w:val="18"/>
                <w:lang w:val="de-CH"/>
              </w:rPr>
              <w:t>600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4ED4EB64" w14:textId="4C4BCA58" w:rsidR="009071FC" w:rsidRPr="00FE3A13" w:rsidRDefault="009071FC" w:rsidP="00D26A30">
      <w:pPr>
        <w:pStyle w:val="Listealphabtique"/>
        <w:numPr>
          <w:ilvl w:val="0"/>
          <w:numId w:val="0"/>
        </w:numPr>
      </w:pPr>
    </w:p>
    <w:p w14:paraId="5A66C3BB" w14:textId="398E4EC3" w:rsidR="000B3746" w:rsidRPr="000772F7" w:rsidRDefault="00D26A30" w:rsidP="0007612B">
      <w:pPr>
        <w:pStyle w:val="Listealphabtique"/>
        <w:ind w:left="426" w:hanging="426"/>
        <w:rPr>
          <w:b/>
          <w:bCs/>
          <w:lang w:val="de-CH"/>
        </w:rPr>
      </w:pPr>
      <w:r w:rsidRPr="000772F7">
        <w:rPr>
          <w:b/>
          <w:bCs/>
          <w:lang w:val="de-CH"/>
        </w:rPr>
        <w:t>Nutzungsabgaben</w:t>
      </w:r>
    </w:p>
    <w:p w14:paraId="11F943AF" w14:textId="77777777" w:rsidR="00D26A30" w:rsidRPr="0089670B" w:rsidRDefault="005E113B" w:rsidP="00D26A30">
      <w:pPr>
        <w:rPr>
          <w:rFonts w:ascii="Times New Roman" w:eastAsia="Times New Roman" w:hAnsi="Times New Roman" w:cs="Times New Roman"/>
          <w:b/>
          <w:bCs/>
          <w:lang w:val="de-CH"/>
        </w:rPr>
      </w:pPr>
      <w:r w:rsidRPr="00D26A30">
        <w:rPr>
          <w:b/>
          <w:bCs/>
          <w:lang w:val="de-CH"/>
        </w:rPr>
        <w:t>&gt;</w:t>
      </w:r>
      <w:r w:rsidRPr="00D26A30">
        <w:rPr>
          <w:b/>
          <w:bCs/>
          <w:lang w:val="de-CH"/>
        </w:rPr>
        <w:tab/>
      </w:r>
      <w:r w:rsidR="00D26A30" w:rsidRPr="0089670B">
        <w:rPr>
          <w:rFonts w:ascii="Times New Roman" w:eastAsia="Times New Roman" w:hAnsi="Times New Roman" w:cs="Times New Roman"/>
          <w:b/>
          <w:lang w:val="de-CH"/>
        </w:rPr>
        <w:t xml:space="preserve">Externe Vermietung von nicht genutzten Parkplätzen der Verwaltung </w:t>
      </w:r>
    </w:p>
    <w:p w14:paraId="22A6500A"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Vermietung nicht genutzter Parkplätze. Die nicht genutzten Parkplätze, die zum Gebäude an der Route des Arsenaux 41 gehören, sollen nach ein paar baulichen Massnahmen, insbesondere bei der Einfahrt, zur Einhaltung gewisser Normen, an staatsexterne Personen vermietet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4913563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15963B3"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3D52C296"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2AFFD84C"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419B35A"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9025212"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17AD9B3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5DFD92C"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79B2840"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30 000</w:t>
            </w:r>
          </w:p>
        </w:tc>
        <w:tc>
          <w:tcPr>
            <w:tcW w:w="833" w:type="pct"/>
          </w:tcPr>
          <w:p w14:paraId="16641318"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60 000</w:t>
            </w:r>
          </w:p>
        </w:tc>
        <w:tc>
          <w:tcPr>
            <w:tcW w:w="833" w:type="pct"/>
          </w:tcPr>
          <w:p w14:paraId="183D2C4E"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60 000</w:t>
            </w:r>
          </w:p>
        </w:tc>
        <w:tc>
          <w:tcPr>
            <w:tcW w:w="833" w:type="pct"/>
          </w:tcPr>
          <w:p w14:paraId="7DD962BB"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150 000</w:t>
            </w:r>
          </w:p>
        </w:tc>
      </w:tr>
      <w:tr w:rsidR="00D26A30" w:rsidRPr="0089670B" w14:paraId="311FD474"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A2778FE"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759B271"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71F70CB"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C36EA1E"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1C080F3"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2D262861"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des Schulgelds für die Sekundarstufe 2</w:t>
      </w:r>
    </w:p>
    <w:p w14:paraId="2BE7DA98"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des Schulgelds der Sekundarstufe 2, das dem Landesindex der Konsumentenpreise angepasst werden kann, sofern dieser seit der letzten Anpassung um 5 % gestiegen ist. Gegenwärtig ist der LIK zwischen Januar 2014 und Dezember 2024 um 6,3 % gestiegen. Das Schulgeld für Freiburger Schülerinnen und Schüler wird von 375 Franken auf 400 Franken erhöht.</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33546B6C"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8B9CC63"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AE2E3A2"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D438675"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28A10B7"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65B030FE"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3511C8D5"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8A9DE55"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7C34363"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124 000</w:t>
            </w:r>
          </w:p>
        </w:tc>
        <w:tc>
          <w:tcPr>
            <w:tcW w:w="833" w:type="pct"/>
          </w:tcPr>
          <w:p w14:paraId="58FD0501"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124 000</w:t>
            </w:r>
          </w:p>
        </w:tc>
        <w:tc>
          <w:tcPr>
            <w:tcW w:w="833" w:type="pct"/>
          </w:tcPr>
          <w:p w14:paraId="7DB5E19C"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124 000</w:t>
            </w:r>
          </w:p>
        </w:tc>
        <w:tc>
          <w:tcPr>
            <w:tcW w:w="833" w:type="pct"/>
          </w:tcPr>
          <w:p w14:paraId="459D0D3D"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372 000</w:t>
            </w:r>
          </w:p>
        </w:tc>
      </w:tr>
      <w:tr w:rsidR="00D26A30" w:rsidRPr="0089670B" w14:paraId="3F888C0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6526DE5"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34EADDB"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C705EDC"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DF3EF85"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323893BD"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746FF41A" w14:textId="77777777" w:rsidR="00D26A30" w:rsidRPr="0089670B" w:rsidRDefault="00D26A30" w:rsidP="00D26A30">
      <w:pPr>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Gebühren für die Schlussprüfungen an den Schulen der Sekundarstufe 2</w:t>
      </w:r>
    </w:p>
    <w:p w14:paraId="05F47F50"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Gebühren für die Schlussprüfungen an den Schulen der Sekundarstufe 2, die dem Landesindex der Konsumentenpreise angepasst werden können, sofern dieser seit der letzten Anpassung um 10 % gestiegen ist. Der LIK ist seit der letzten Anpassung, das heisst zwischen September 2004 und Dezember 2024 um 11,3 % gestiegen. Die Gebühren für die Schülerinnen und Schüler an den Freiburger Schulen werden von 250 Franken auf 280 Franken erhöht.</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2B00070D"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FC4C8E7"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lastRenderedPageBreak/>
              <w:t>Finanzielle Auswirkungen in Franken</w:t>
            </w:r>
          </w:p>
        </w:tc>
        <w:tc>
          <w:tcPr>
            <w:tcW w:w="833" w:type="pct"/>
          </w:tcPr>
          <w:p w14:paraId="0B5BF92C"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272C9C0"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8B2B080"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2A2A11F7"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2475693F"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B1B3ACA"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1EAB32A6"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46 000</w:t>
            </w:r>
          </w:p>
        </w:tc>
        <w:tc>
          <w:tcPr>
            <w:tcW w:w="833" w:type="pct"/>
          </w:tcPr>
          <w:p w14:paraId="28C2C6EC"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46 000</w:t>
            </w:r>
          </w:p>
        </w:tc>
        <w:tc>
          <w:tcPr>
            <w:tcW w:w="833" w:type="pct"/>
          </w:tcPr>
          <w:p w14:paraId="5356238D"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46 000</w:t>
            </w:r>
          </w:p>
        </w:tc>
        <w:tc>
          <w:tcPr>
            <w:tcW w:w="833" w:type="pct"/>
          </w:tcPr>
          <w:p w14:paraId="2A9EAD91"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138 000</w:t>
            </w:r>
          </w:p>
        </w:tc>
      </w:tr>
      <w:tr w:rsidR="00D26A30" w:rsidRPr="0089670B" w14:paraId="523B485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75359FF"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3B069BF"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1D5A3A0"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BF2DF6D"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F72628B"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4752DCEA"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Anpassung der Tarife für die Buchhaltungsdienstleistungen von Grangeneuve</w:t>
      </w:r>
    </w:p>
    <w:p w14:paraId="50F1D666"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der Tarife für die von Grangeneuve erbrachten Buchhaltungsdienstleistungen. Diese Buchhaltungsdienstleistungen stellen für den Staat derzeit ein Verlustgeschäft dar. Die Tarife der privaten Treuhandfirmen (150 Franken) sind viel höher. Grangeneuve wird seine Preise von 105 Franken auf 130 Franken erhöhen.</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3A41D283"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8BAD547"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6294F6E8"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07D114A0"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7B10F8A4"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51FA676"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36330746"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A35B6AC"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49AD981C"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225 000</w:t>
            </w:r>
          </w:p>
        </w:tc>
        <w:tc>
          <w:tcPr>
            <w:tcW w:w="833" w:type="pct"/>
          </w:tcPr>
          <w:p w14:paraId="23B149C8"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225 000</w:t>
            </w:r>
          </w:p>
        </w:tc>
        <w:tc>
          <w:tcPr>
            <w:tcW w:w="833" w:type="pct"/>
          </w:tcPr>
          <w:p w14:paraId="63684ECD"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225 000</w:t>
            </w:r>
          </w:p>
        </w:tc>
        <w:tc>
          <w:tcPr>
            <w:tcW w:w="833" w:type="pct"/>
          </w:tcPr>
          <w:p w14:paraId="33A403D0"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675 000</w:t>
            </w:r>
          </w:p>
        </w:tc>
      </w:tr>
      <w:tr w:rsidR="00D26A30" w:rsidRPr="0089670B" w14:paraId="3E8EB29E"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EAAD18F"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A363F94"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E31E86E"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BAEB1BC"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7E530D2"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0367386F" w14:textId="77777777" w:rsidR="00D26A30" w:rsidRPr="0089670B" w:rsidRDefault="00D26A30" w:rsidP="00D26A30">
      <w:pPr>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Preise für Fischereipatente</w:t>
      </w:r>
    </w:p>
    <w:p w14:paraId="29ECB66B" w14:textId="0D32965B"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Erhöhung der Preise für Fischereipatente.</w:t>
      </w:r>
      <w:r w:rsidR="009036CE">
        <w:rPr>
          <w:rFonts w:ascii="Times New Roman" w:eastAsia="Times New Roman" w:hAnsi="Times New Roman" w:cs="Times New Roman"/>
          <w:lang w:val="de-CH"/>
        </w:rPr>
        <w:t xml:space="preserve"> </w:t>
      </w:r>
      <w:r w:rsidRPr="0089670B">
        <w:rPr>
          <w:rFonts w:ascii="Times New Roman" w:eastAsia="Times New Roman" w:hAnsi="Times New Roman" w:cs="Times New Roman"/>
          <w:lang w:val="de-CH"/>
        </w:rPr>
        <w:t>Die Preise für das normale Tagespatent für Seen und Wasserläufe werden von 17 Franken auf 30 Franken und für den Broyekanal von 6 Franken auf 15 Franken erhöht. Damit wird eine Erhöhung aller fischereibezogenen Gebühreneinnahmen um 10 % möglich.</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02F9E308"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91EF445"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338DED42"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6D3CFEC"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6DC6D7E"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31617608"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1D5C033E"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7876061"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2F89451B"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60 800</w:t>
            </w:r>
          </w:p>
        </w:tc>
        <w:tc>
          <w:tcPr>
            <w:tcW w:w="833" w:type="pct"/>
          </w:tcPr>
          <w:p w14:paraId="402CDB73"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60 800</w:t>
            </w:r>
          </w:p>
        </w:tc>
        <w:tc>
          <w:tcPr>
            <w:tcW w:w="833" w:type="pct"/>
          </w:tcPr>
          <w:p w14:paraId="13EB9EED"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60 800</w:t>
            </w:r>
          </w:p>
        </w:tc>
        <w:tc>
          <w:tcPr>
            <w:tcW w:w="833" w:type="pct"/>
          </w:tcPr>
          <w:p w14:paraId="513C9CE6"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182 400</w:t>
            </w:r>
          </w:p>
        </w:tc>
      </w:tr>
      <w:tr w:rsidR="00D26A30" w:rsidRPr="0089670B" w14:paraId="5B0F1D6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DF51346"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DF155A5"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E6F8676"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7864FE1"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6B363F8"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6DE7B914" w14:textId="77777777" w:rsidR="00D26A30" w:rsidRPr="0089670B" w:rsidRDefault="00D26A30" w:rsidP="00D26A30">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Fakturierung der Projektleitungsmandate für städtebauliche Aspekte zulasten der Gemeinden</w:t>
      </w:r>
    </w:p>
    <w:p w14:paraId="6DB42B19" w14:textId="77777777" w:rsidR="00D26A30" w:rsidRPr="0089670B" w:rsidRDefault="00D26A30" w:rsidP="00D26A30">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Die Mitarbeitenden des Tiefbauamts erbringen ab und zu Dienstleistungen als «Projektleiter/in» für Arbeiten auf Kantonsstrassen, die teilweise städtebaulichen Charakter haben (Art. 64 MobG). Der städtebauliche Anteil geht zulasten der Gemeinden. </w:t>
      </w:r>
      <w:r w:rsidRPr="0089670B">
        <w:rPr>
          <w:rFonts w:ascii="Times New Roman" w:eastAsia="Times New Roman" w:hAnsi="Times New Roman" w:cs="Times New Roman"/>
          <w:sz w:val="20"/>
          <w:lang w:val="de-CH"/>
        </w:rPr>
        <w:t>Diese Dienstleistungen werden künftig den Gemeinden im Verhältnis zum städtebaulichen Anteil in Rechnung gestellt.</w:t>
      </w:r>
    </w:p>
    <w:tbl>
      <w:tblPr>
        <w:tblStyle w:val="TableauEtatFR"/>
        <w:tblW w:w="5000" w:type="pct"/>
        <w:tblLook w:val="04E0" w:firstRow="1" w:lastRow="1" w:firstColumn="1" w:lastColumn="0" w:noHBand="0" w:noVBand="1"/>
      </w:tblPr>
      <w:tblGrid>
        <w:gridCol w:w="3312"/>
        <w:gridCol w:w="1653"/>
        <w:gridCol w:w="1653"/>
        <w:gridCol w:w="1653"/>
        <w:gridCol w:w="1649"/>
      </w:tblGrid>
      <w:tr w:rsidR="00D26A30" w:rsidRPr="0089670B" w14:paraId="2DB131D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3E66195" w14:textId="77777777" w:rsidR="00D26A30" w:rsidRPr="0089670B" w:rsidRDefault="00D26A30"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83A6294"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2E48C40"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74E54DD6"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1BE7FBBD" w14:textId="77777777" w:rsidR="00D26A30" w:rsidRPr="0089670B" w:rsidRDefault="00D26A30"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D26A30" w:rsidRPr="0089670B" w14:paraId="335C9E4D"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1D1D715" w14:textId="77777777" w:rsidR="00D26A30" w:rsidRPr="0089670B" w:rsidRDefault="00D26A30"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A34E92A"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0AE1D45E"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149CD80B"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6018D2D2" w14:textId="77777777" w:rsidR="00D26A30" w:rsidRPr="0089670B" w:rsidRDefault="00D26A30"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600 000</w:t>
            </w:r>
          </w:p>
        </w:tc>
      </w:tr>
      <w:tr w:rsidR="00D26A30" w:rsidRPr="0089670B" w14:paraId="07A8D863"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331CBEA" w14:textId="77777777" w:rsidR="00D26A30" w:rsidRPr="0089670B" w:rsidRDefault="00D26A30"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8687E9D" w14:textId="7777777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4BCE2620" w14:textId="4AE66722"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w:t>
            </w:r>
            <w:r w:rsidR="000772F7">
              <w:rPr>
                <w:rFonts w:eastAsia="Times New Roman" w:cs="Arial"/>
                <w:b w:val="0"/>
                <w:bCs/>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3E998958" w14:textId="7F7662D9"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w:t>
            </w:r>
            <w:r w:rsidR="000772F7">
              <w:rPr>
                <w:rFonts w:eastAsia="Times New Roman" w:cs="Arial"/>
                <w:b w:val="0"/>
                <w:bCs/>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336C824" w14:textId="31B35A47" w:rsidR="00D26A30" w:rsidRPr="0089670B" w:rsidRDefault="00D26A30"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w:t>
            </w:r>
            <w:r w:rsidR="000772F7">
              <w:rPr>
                <w:rFonts w:eastAsia="Times New Roman" w:cs="Arial"/>
                <w:b w:val="0"/>
                <w:bCs/>
                <w:color w:val="000000"/>
                <w:sz w:val="18"/>
                <w:lang w:val="de-CH"/>
              </w:rPr>
              <w:t> </w:t>
            </w:r>
            <w:r w:rsidRPr="0089670B">
              <w:rPr>
                <w:rFonts w:eastAsia="Times New Roman" w:cs="Arial"/>
                <w:b w:val="0"/>
                <w:bCs/>
                <w:color w:val="000000"/>
                <w:sz w:val="18"/>
                <w:lang w:val="de-CH"/>
              </w:rPr>
              <w:t>600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2D50C310" w14:textId="5AE61B98" w:rsidR="00BC296C" w:rsidRPr="00FE3A13" w:rsidRDefault="00BC296C" w:rsidP="00D26A30">
      <w:pPr>
        <w:pStyle w:val="Corpsdetexte"/>
      </w:pPr>
    </w:p>
    <w:p w14:paraId="101213DF" w14:textId="282C8FF1" w:rsidR="000B3746" w:rsidRPr="000772F7" w:rsidRDefault="005B57D8" w:rsidP="0007612B">
      <w:pPr>
        <w:pStyle w:val="Listealphabtique"/>
        <w:ind w:left="426" w:hanging="426"/>
        <w:rPr>
          <w:b/>
          <w:bCs/>
          <w:lang w:val="de-CH"/>
        </w:rPr>
      </w:pPr>
      <w:r w:rsidRPr="000772F7">
        <w:rPr>
          <w:b/>
          <w:bCs/>
          <w:lang w:val="de-CH"/>
        </w:rPr>
        <w:t>Weitere Einnahmen</w:t>
      </w:r>
    </w:p>
    <w:p w14:paraId="61A69D35" w14:textId="77777777" w:rsidR="005B57D8" w:rsidRPr="0089670B" w:rsidRDefault="000B3746" w:rsidP="005B57D8">
      <w:pPr>
        <w:contextualSpacing/>
        <w:rPr>
          <w:rFonts w:ascii="Times New Roman" w:eastAsia="Times New Roman" w:hAnsi="Times New Roman" w:cs="Times New Roman"/>
          <w:b/>
          <w:bCs/>
          <w:lang w:val="de-CH"/>
        </w:rPr>
      </w:pPr>
      <w:r w:rsidRPr="00FE3A13">
        <w:rPr>
          <w:b/>
          <w:bCs/>
        </w:rPr>
        <w:t>&gt;</w:t>
      </w:r>
      <w:r w:rsidRPr="00FE3A13">
        <w:rPr>
          <w:b/>
          <w:bCs/>
        </w:rPr>
        <w:tab/>
      </w:r>
      <w:r w:rsidR="005B57D8" w:rsidRPr="0089670B">
        <w:rPr>
          <w:rFonts w:ascii="Times New Roman" w:eastAsia="Times New Roman" w:hAnsi="Times New Roman" w:cs="Times New Roman"/>
          <w:b/>
          <w:lang w:val="de-CH"/>
        </w:rPr>
        <w:t>Erhöhung des Beitrags der FKB</w:t>
      </w:r>
    </w:p>
    <w:p w14:paraId="4FE9DD62" w14:textId="77777777" w:rsidR="005B57D8" w:rsidRPr="0089670B" w:rsidRDefault="005B57D8" w:rsidP="005B57D8">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Neue Berechnungsmethode für die Abgeltung der Freiburger Kantonalbank zugunsten des Staates. Die Bank wird bei gleichem Ergebnis künftig einen höheren Beitrag an den Staat leisten als bis jetzt. Die neue Berechnungsmethode wird in einer Vereinbarung geregelt.</w:t>
      </w:r>
    </w:p>
    <w:tbl>
      <w:tblPr>
        <w:tblStyle w:val="TableauEtatFR"/>
        <w:tblW w:w="5000" w:type="pct"/>
        <w:tblLook w:val="04E0" w:firstRow="1" w:lastRow="1" w:firstColumn="1" w:lastColumn="0" w:noHBand="0" w:noVBand="1"/>
      </w:tblPr>
      <w:tblGrid>
        <w:gridCol w:w="3312"/>
        <w:gridCol w:w="1653"/>
        <w:gridCol w:w="1653"/>
        <w:gridCol w:w="1653"/>
        <w:gridCol w:w="1649"/>
      </w:tblGrid>
      <w:tr w:rsidR="005B57D8" w:rsidRPr="0089670B" w14:paraId="648151E4"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9DEDE5A" w14:textId="77777777" w:rsidR="005B57D8" w:rsidRPr="0089670B" w:rsidRDefault="005B57D8"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6051629"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C2FF937"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7778700B"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626F579F"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5B57D8" w:rsidRPr="0089670B" w14:paraId="1582325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02F7D95" w14:textId="77777777" w:rsidR="005B57D8" w:rsidRPr="0089670B" w:rsidRDefault="005B57D8"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48F18A3B"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12 000 000</w:t>
            </w:r>
          </w:p>
        </w:tc>
        <w:tc>
          <w:tcPr>
            <w:tcW w:w="833" w:type="pct"/>
          </w:tcPr>
          <w:p w14:paraId="7550CFC0"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12 000 000</w:t>
            </w:r>
          </w:p>
        </w:tc>
        <w:tc>
          <w:tcPr>
            <w:tcW w:w="833" w:type="pct"/>
          </w:tcPr>
          <w:p w14:paraId="383EDC2E"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12 000 000</w:t>
            </w:r>
          </w:p>
        </w:tc>
        <w:tc>
          <w:tcPr>
            <w:tcW w:w="833" w:type="pct"/>
          </w:tcPr>
          <w:p w14:paraId="5E91AC0C"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36 000 000</w:t>
            </w:r>
          </w:p>
        </w:tc>
      </w:tr>
      <w:tr w:rsidR="005B57D8" w:rsidRPr="0089670B" w14:paraId="36849A53"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ED0D465" w14:textId="77777777" w:rsidR="005B57D8" w:rsidRPr="0089670B" w:rsidRDefault="005B57D8"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C70FC68"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5901A31"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4499FBE"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78222F9"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2B07A2E5" w14:textId="3B589310" w:rsidR="000772F7" w:rsidRDefault="000772F7" w:rsidP="005B57D8">
      <w:pPr>
        <w:contextualSpacing/>
        <w:rPr>
          <w:rFonts w:ascii="Times New Roman" w:eastAsia="Times New Roman" w:hAnsi="Times New Roman" w:cs="Times New Roman"/>
          <w:b/>
          <w:lang w:val="de-CH"/>
        </w:rPr>
      </w:pPr>
    </w:p>
    <w:p w14:paraId="18214343" w14:textId="40CC784B" w:rsidR="005B57D8" w:rsidRPr="0089670B" w:rsidRDefault="000772F7" w:rsidP="005B57D8">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lastRenderedPageBreak/>
        <w:t>&gt;</w:t>
      </w:r>
      <w:r w:rsidRPr="0089670B">
        <w:rPr>
          <w:rFonts w:ascii="Times New Roman" w:eastAsia="Times New Roman" w:hAnsi="Times New Roman" w:cs="Times New Roman"/>
          <w:b/>
          <w:lang w:val="de-CH"/>
        </w:rPr>
        <w:tab/>
      </w:r>
      <w:r w:rsidR="005B57D8" w:rsidRPr="0089670B">
        <w:rPr>
          <w:rFonts w:ascii="Times New Roman" w:eastAsia="Times New Roman" w:hAnsi="Times New Roman" w:cs="Times New Roman"/>
          <w:b/>
          <w:lang w:val="de-CH"/>
        </w:rPr>
        <w:t>Erhöhung des Beitrags des ASS</w:t>
      </w:r>
    </w:p>
    <w:p w14:paraId="4F1E2466" w14:textId="77777777" w:rsidR="005B57D8" w:rsidRPr="0089670B" w:rsidRDefault="005B57D8" w:rsidP="005B57D8">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Erhöhung des Beitrags des Amts für Strassenverkehr und Schifffahrt des Kantons Freiburg im Rahmen der mit dem Staat Freiburg für den Zeitraum 2026-2030 abgeschlossenen Leistungsvereinbarung. Der Beitrag des ASS darf 15 % der Gebühreneinnahmen nicht übersteigen. Dieser Grundsatz gilt weiterhin.</w:t>
      </w:r>
    </w:p>
    <w:tbl>
      <w:tblPr>
        <w:tblStyle w:val="TableauEtatFR"/>
        <w:tblW w:w="5000" w:type="pct"/>
        <w:tblLook w:val="04E0" w:firstRow="1" w:lastRow="1" w:firstColumn="1" w:lastColumn="0" w:noHBand="0" w:noVBand="1"/>
      </w:tblPr>
      <w:tblGrid>
        <w:gridCol w:w="3312"/>
        <w:gridCol w:w="1653"/>
        <w:gridCol w:w="1653"/>
        <w:gridCol w:w="1653"/>
        <w:gridCol w:w="1649"/>
      </w:tblGrid>
      <w:tr w:rsidR="005B57D8" w:rsidRPr="0089670B" w14:paraId="341E00C9"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2674CB2" w14:textId="77777777" w:rsidR="005B57D8" w:rsidRPr="0089670B" w:rsidRDefault="005B57D8"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FF63B3A"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044B15DD"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F926114"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3DA31308" w14:textId="77777777" w:rsidR="005B57D8" w:rsidRPr="0089670B" w:rsidRDefault="005B57D8"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5B57D8" w:rsidRPr="0089670B" w14:paraId="1A6CF10E"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E10E18D" w14:textId="77777777" w:rsidR="005B57D8" w:rsidRPr="0089670B" w:rsidRDefault="005B57D8"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8A9E9D0"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597BB9B0"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7A8F68B4"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6AB0C470" w14:textId="77777777" w:rsidR="005B57D8" w:rsidRPr="0089670B" w:rsidRDefault="005B57D8"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r>
      <w:tr w:rsidR="005B57D8" w:rsidRPr="0089670B" w14:paraId="6996621B"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0685CEF" w14:textId="77777777" w:rsidR="005B57D8" w:rsidRPr="0089670B" w:rsidRDefault="005B57D8"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EC2152B"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6B2CC05"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4499489"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5D438DD" w14:textId="77777777" w:rsidR="005B57D8" w:rsidRPr="0089670B" w:rsidRDefault="005B57D8"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15EDCEA" w14:textId="493E8E55" w:rsidR="000B3746" w:rsidRPr="00FE3A13" w:rsidRDefault="000B3746" w:rsidP="005B57D8">
      <w:pPr>
        <w:pStyle w:val="Listealphabtique"/>
        <w:numPr>
          <w:ilvl w:val="0"/>
          <w:numId w:val="0"/>
        </w:numPr>
      </w:pPr>
    </w:p>
    <w:p w14:paraId="3B1DB1FA" w14:textId="7DC9816F" w:rsidR="009877D1" w:rsidRPr="00EB6310" w:rsidRDefault="009877D1" w:rsidP="009877D1">
      <w:pPr>
        <w:pStyle w:val="Titre3"/>
        <w:rPr>
          <w:lang w:val="de-CH"/>
        </w:rPr>
      </w:pPr>
      <w:bookmarkStart w:id="28" w:name="_Toc196226216"/>
      <w:r w:rsidRPr="00EB6310">
        <w:rPr>
          <w:lang w:val="de-CH"/>
        </w:rPr>
        <w:t>Perso</w:t>
      </w:r>
      <w:r w:rsidR="003D4F3D" w:rsidRPr="00EB6310">
        <w:rPr>
          <w:lang w:val="de-CH"/>
        </w:rPr>
        <w:t>nal</w:t>
      </w:r>
      <w:bookmarkEnd w:id="28"/>
    </w:p>
    <w:p w14:paraId="1E446B3F" w14:textId="7D398C2B" w:rsidR="00FE4F36" w:rsidRPr="006C6ADA" w:rsidRDefault="006C6ADA" w:rsidP="00EB6310">
      <w:pPr>
        <w:rPr>
          <w:rFonts w:ascii="Times New Roman" w:eastAsia="Times New Roman" w:hAnsi="Times New Roman" w:cs="Times New Roman"/>
          <w:lang w:val="de-CH"/>
        </w:rPr>
      </w:pPr>
      <w:bookmarkStart w:id="29" w:name="_Hlk195777774"/>
      <w:r w:rsidRPr="00EB6310">
        <w:rPr>
          <w:rFonts w:ascii="Times New Roman" w:eastAsia="Times New Roman" w:hAnsi="Times New Roman" w:cs="Times New Roman"/>
          <w:lang w:val="de-CH"/>
        </w:rPr>
        <w:t>Bei einer Lohnsumme von über 1,5 Milliarden Franken machen die Personalkosten des Staates fast 35</w:t>
      </w:r>
      <w:r w:rsidRPr="003D2E63">
        <w:rPr>
          <w:rFonts w:ascii="Times New Roman" w:eastAsia="Times New Roman" w:hAnsi="Times New Roman" w:cs="Times New Roman"/>
          <w:lang w:val="de-CH"/>
        </w:rPr>
        <w:t> </w:t>
      </w:r>
      <w:r w:rsidRPr="00EB6310">
        <w:rPr>
          <w:rFonts w:ascii="Times New Roman" w:eastAsia="Times New Roman" w:hAnsi="Times New Roman" w:cs="Times New Roman"/>
          <w:lang w:val="de-CH"/>
        </w:rPr>
        <w:t>% de</w:t>
      </w:r>
      <w:r w:rsidRPr="003D2E63">
        <w:rPr>
          <w:rFonts w:ascii="Times New Roman" w:eastAsia="Times New Roman" w:hAnsi="Times New Roman" w:cs="Times New Roman"/>
          <w:lang w:val="de-CH"/>
        </w:rPr>
        <w:t>s Aufwands der Staatsrechnung</w:t>
      </w:r>
      <w:r w:rsidRPr="00EB6310">
        <w:rPr>
          <w:rFonts w:ascii="Times New Roman" w:eastAsia="Times New Roman" w:hAnsi="Times New Roman" w:cs="Times New Roman"/>
          <w:lang w:val="de-CH"/>
        </w:rPr>
        <w:t xml:space="preserve"> 2024 aus. </w:t>
      </w:r>
      <w:r w:rsidR="00C41C21">
        <w:rPr>
          <w:rFonts w:ascii="Times New Roman" w:eastAsia="Times New Roman" w:hAnsi="Times New Roman" w:cs="Times New Roman"/>
          <w:lang w:val="de-CH"/>
        </w:rPr>
        <w:t>Damit scheint es unausweichlich</w:t>
      </w:r>
      <w:r w:rsidRPr="00EB6310">
        <w:rPr>
          <w:rFonts w:ascii="Times New Roman" w:eastAsia="Times New Roman" w:hAnsi="Times New Roman" w:cs="Times New Roman"/>
          <w:lang w:val="de-CH"/>
        </w:rPr>
        <w:t xml:space="preserve">, </w:t>
      </w:r>
      <w:r w:rsidRPr="003D2E63">
        <w:rPr>
          <w:rFonts w:ascii="Times New Roman" w:eastAsia="Times New Roman" w:hAnsi="Times New Roman" w:cs="Times New Roman"/>
          <w:lang w:val="de-CH"/>
        </w:rPr>
        <w:t xml:space="preserve">dass </w:t>
      </w:r>
      <w:r w:rsidRPr="00EB6310">
        <w:rPr>
          <w:rFonts w:ascii="Times New Roman" w:eastAsia="Times New Roman" w:hAnsi="Times New Roman" w:cs="Times New Roman"/>
          <w:lang w:val="de-CH"/>
        </w:rPr>
        <w:t>auch sie vom P</w:t>
      </w:r>
      <w:r w:rsidRPr="003D2E63">
        <w:rPr>
          <w:rFonts w:ascii="Times New Roman" w:eastAsia="Times New Roman" w:hAnsi="Times New Roman" w:cs="Times New Roman"/>
          <w:lang w:val="de-CH"/>
        </w:rPr>
        <w:t>SKF tangiert werden.</w:t>
      </w:r>
      <w:r w:rsidRPr="00EB6310">
        <w:rPr>
          <w:rFonts w:ascii="Times New Roman" w:eastAsia="Times New Roman" w:hAnsi="Times New Roman" w:cs="Times New Roman"/>
          <w:lang w:val="de-CH"/>
        </w:rPr>
        <w:t xml:space="preserve"> Die im Folgenden beschriebenen Ma</w:t>
      </w:r>
      <w:r w:rsidRPr="003D2E63">
        <w:rPr>
          <w:rFonts w:ascii="Times New Roman" w:eastAsia="Times New Roman" w:hAnsi="Times New Roman" w:cs="Times New Roman"/>
          <w:lang w:val="de-CH"/>
        </w:rPr>
        <w:t>ss</w:t>
      </w:r>
      <w:r w:rsidRPr="00EB6310">
        <w:rPr>
          <w:rFonts w:ascii="Times New Roman" w:eastAsia="Times New Roman" w:hAnsi="Times New Roman" w:cs="Times New Roman"/>
          <w:lang w:val="de-CH"/>
        </w:rPr>
        <w:t>nahmen</w:t>
      </w:r>
      <w:r w:rsidRPr="003D2E63">
        <w:rPr>
          <w:rFonts w:ascii="Times New Roman" w:eastAsia="Times New Roman" w:hAnsi="Times New Roman" w:cs="Times New Roman"/>
          <w:lang w:val="de-CH"/>
        </w:rPr>
        <w:t>vorschläge</w:t>
      </w:r>
      <w:r w:rsidRPr="00EB6310">
        <w:rPr>
          <w:rFonts w:ascii="Times New Roman" w:eastAsia="Times New Roman" w:hAnsi="Times New Roman" w:cs="Times New Roman"/>
          <w:lang w:val="de-CH"/>
        </w:rPr>
        <w:t xml:space="preserve"> </w:t>
      </w:r>
      <w:r w:rsidR="00C41C21">
        <w:rPr>
          <w:rFonts w:ascii="Times New Roman" w:eastAsia="Times New Roman" w:hAnsi="Times New Roman" w:cs="Times New Roman"/>
          <w:lang w:val="de-CH"/>
        </w:rPr>
        <w:t>zielen in erster Linie auf eine punktuelle Eindämmung des Anstiegs der Personalkosten</w:t>
      </w:r>
      <w:r w:rsidRPr="00EB6310">
        <w:rPr>
          <w:rFonts w:ascii="Times New Roman" w:eastAsia="Times New Roman" w:hAnsi="Times New Roman" w:cs="Times New Roman"/>
          <w:lang w:val="de-CH"/>
        </w:rPr>
        <w:t xml:space="preserve">. </w:t>
      </w:r>
      <w:r w:rsidRPr="003D2E63">
        <w:rPr>
          <w:rFonts w:ascii="Times New Roman" w:eastAsia="Times New Roman" w:hAnsi="Times New Roman" w:cs="Times New Roman"/>
          <w:lang w:val="de-CH"/>
        </w:rPr>
        <w:t>Im Sinne der</w:t>
      </w:r>
      <w:r w:rsidRPr="00EB6310">
        <w:rPr>
          <w:rFonts w:ascii="Times New Roman" w:eastAsia="Times New Roman" w:hAnsi="Times New Roman" w:cs="Times New Roman"/>
          <w:lang w:val="de-CH"/>
        </w:rPr>
        <w:t xml:space="preserve"> Opfer</w:t>
      </w:r>
      <w:r w:rsidRPr="003D2E63">
        <w:rPr>
          <w:rFonts w:ascii="Times New Roman" w:eastAsia="Times New Roman" w:hAnsi="Times New Roman" w:cs="Times New Roman"/>
          <w:lang w:val="de-CH"/>
        </w:rPr>
        <w:t>symmetrie</w:t>
      </w:r>
      <w:r w:rsidRPr="00EB6310">
        <w:rPr>
          <w:rFonts w:ascii="Times New Roman" w:eastAsia="Times New Roman" w:hAnsi="Times New Roman" w:cs="Times New Roman"/>
          <w:lang w:val="de-CH"/>
        </w:rPr>
        <w:t xml:space="preserve"> müssen auch die Mitarbeiterinnen und Mitarbeiter des Staates </w:t>
      </w:r>
      <w:r w:rsidRPr="003D2E63">
        <w:rPr>
          <w:rFonts w:ascii="Times New Roman" w:eastAsia="Times New Roman" w:hAnsi="Times New Roman" w:cs="Times New Roman"/>
          <w:lang w:val="de-CH"/>
        </w:rPr>
        <w:t xml:space="preserve">ihren Beitrag </w:t>
      </w:r>
      <w:r w:rsidRPr="00EB6310">
        <w:rPr>
          <w:rFonts w:ascii="Times New Roman" w:eastAsia="Times New Roman" w:hAnsi="Times New Roman" w:cs="Times New Roman"/>
          <w:lang w:val="de-CH"/>
        </w:rPr>
        <w:t>zum P</w:t>
      </w:r>
      <w:r w:rsidRPr="003D2E63">
        <w:rPr>
          <w:rFonts w:ascii="Times New Roman" w:eastAsia="Times New Roman" w:hAnsi="Times New Roman" w:cs="Times New Roman"/>
          <w:lang w:val="de-CH"/>
        </w:rPr>
        <w:t>SKF leisten</w:t>
      </w:r>
      <w:r w:rsidRPr="00EB6310">
        <w:rPr>
          <w:rFonts w:ascii="Times New Roman" w:eastAsia="Times New Roman" w:hAnsi="Times New Roman" w:cs="Times New Roman"/>
          <w:lang w:val="de-CH"/>
        </w:rPr>
        <w:t xml:space="preserve">. </w:t>
      </w:r>
      <w:r w:rsidRPr="006C6ADA">
        <w:rPr>
          <w:rFonts w:ascii="Times New Roman" w:eastAsia="Times New Roman" w:hAnsi="Times New Roman" w:cs="Times New Roman"/>
          <w:lang w:val="de-CH"/>
        </w:rPr>
        <w:t xml:space="preserve">Der Staatsrat ist sich der Qualität </w:t>
      </w:r>
      <w:r w:rsidR="00FF056E">
        <w:rPr>
          <w:rFonts w:ascii="Times New Roman" w:eastAsia="Times New Roman" w:hAnsi="Times New Roman" w:cs="Times New Roman"/>
          <w:lang w:val="de-CH"/>
        </w:rPr>
        <w:t>ihrer</w:t>
      </w:r>
      <w:r w:rsidRPr="006C6ADA">
        <w:rPr>
          <w:rFonts w:ascii="Times New Roman" w:eastAsia="Times New Roman" w:hAnsi="Times New Roman" w:cs="Times New Roman"/>
          <w:lang w:val="de-CH"/>
        </w:rPr>
        <w:t xml:space="preserve"> Arbeit und der zunehmenden Arbeitsbelastung bewusst und hat </w:t>
      </w:r>
      <w:r w:rsidR="00E24FA4" w:rsidRPr="003D2E63">
        <w:rPr>
          <w:rFonts w:ascii="Times New Roman" w:eastAsia="Times New Roman" w:hAnsi="Times New Roman" w:cs="Times New Roman"/>
          <w:lang w:val="de-CH"/>
        </w:rPr>
        <w:t>darauf geachtet</w:t>
      </w:r>
      <w:r w:rsidRPr="006C6ADA">
        <w:rPr>
          <w:rFonts w:ascii="Times New Roman" w:eastAsia="Times New Roman" w:hAnsi="Times New Roman" w:cs="Times New Roman"/>
          <w:lang w:val="de-CH"/>
        </w:rPr>
        <w:t xml:space="preserve">, dass die Arbeitsbedingungen </w:t>
      </w:r>
      <w:r w:rsidR="00FF056E">
        <w:rPr>
          <w:rFonts w:ascii="Times New Roman" w:eastAsia="Times New Roman" w:hAnsi="Times New Roman" w:cs="Times New Roman"/>
          <w:lang w:val="de-CH"/>
        </w:rPr>
        <w:t>möglichst wenig tan</w:t>
      </w:r>
      <w:r w:rsidR="007D3F1E">
        <w:rPr>
          <w:rFonts w:ascii="Times New Roman" w:eastAsia="Times New Roman" w:hAnsi="Times New Roman" w:cs="Times New Roman"/>
          <w:lang w:val="de-CH"/>
        </w:rPr>
        <w:t>g</w:t>
      </w:r>
      <w:r w:rsidR="00FF056E">
        <w:rPr>
          <w:rFonts w:ascii="Times New Roman" w:eastAsia="Times New Roman" w:hAnsi="Times New Roman" w:cs="Times New Roman"/>
          <w:lang w:val="de-CH"/>
        </w:rPr>
        <w:t>iert werden</w:t>
      </w:r>
      <w:bookmarkEnd w:id="29"/>
      <w:r w:rsidR="009036CE" w:rsidRPr="006C6ADA">
        <w:rPr>
          <w:rFonts w:ascii="Times New Roman" w:eastAsia="Times New Roman" w:hAnsi="Times New Roman" w:cs="Times New Roman"/>
          <w:lang w:val="de-CH"/>
        </w:rPr>
        <w:t>.</w:t>
      </w:r>
    </w:p>
    <w:tbl>
      <w:tblPr>
        <w:tblStyle w:val="TableauEtatFR"/>
        <w:tblW w:w="9923" w:type="dxa"/>
        <w:tblLayout w:type="fixed"/>
        <w:tblLook w:val="04E0" w:firstRow="1" w:lastRow="1" w:firstColumn="1" w:lastColumn="0" w:noHBand="0" w:noVBand="1"/>
      </w:tblPr>
      <w:tblGrid>
        <w:gridCol w:w="9923"/>
      </w:tblGrid>
      <w:tr w:rsidR="00FE4F36" w:rsidRPr="005B3823" w14:paraId="5956FFE2" w14:textId="77777777" w:rsidTr="007B12C8">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9923" w:type="dxa"/>
          </w:tcPr>
          <w:p w14:paraId="41D31199" w14:textId="77777777" w:rsidR="00FE4F36" w:rsidRPr="0089670B" w:rsidRDefault="00FE4F36" w:rsidP="007B12C8">
            <w:pPr>
              <w:spacing w:after="0"/>
              <w:rPr>
                <w:rFonts w:eastAsia="Times New Roman" w:cs="Arial"/>
                <w:bCs/>
                <w:sz w:val="21"/>
                <w:szCs w:val="20"/>
                <w:lang w:val="de-CH"/>
              </w:rPr>
            </w:pPr>
            <w:r w:rsidRPr="0089670B">
              <w:rPr>
                <w:rFonts w:eastAsia="Times New Roman" w:cs="Arial"/>
                <w:sz w:val="18"/>
                <w:lang w:val="de-CH"/>
              </w:rPr>
              <w:t>Massnahmen in der Zuständigkeit des Staatsrats, die das Personal betreffen und ab 2026 zur Anwendung kommen sollen</w:t>
            </w:r>
          </w:p>
        </w:tc>
      </w:tr>
      <w:tr w:rsidR="00FE4F36" w:rsidRPr="005B3823" w14:paraId="0E377AF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9923" w:type="dxa"/>
          </w:tcPr>
          <w:p w14:paraId="79A3711E" w14:textId="77777777" w:rsidR="00FE4F36" w:rsidRPr="0089670B" w:rsidRDefault="00FE4F36" w:rsidP="007B12C8">
            <w:pPr>
              <w:spacing w:line="280" w:lineRule="atLeast"/>
              <w:rPr>
                <w:rFonts w:eastAsia="Times New Roman" w:cs="Arial"/>
                <w:bCs/>
                <w:sz w:val="18"/>
                <w:szCs w:val="20"/>
                <w:lang w:val="de-CH"/>
              </w:rPr>
            </w:pPr>
            <w:r w:rsidRPr="0089670B">
              <w:rPr>
                <w:rFonts w:eastAsia="Times New Roman" w:cs="Arial"/>
                <w:b/>
                <w:sz w:val="18"/>
                <w:lang w:val="de-CH"/>
              </w:rPr>
              <w:t>a) Zur Einhaltung des Finanzplans notwendige Massnahmen</w:t>
            </w:r>
            <w:r w:rsidRPr="0089670B">
              <w:rPr>
                <w:rFonts w:eastAsia="Times New Roman" w:cs="Arial"/>
                <w:sz w:val="18"/>
                <w:lang w:val="de-CH"/>
              </w:rPr>
              <w:br/>
              <w:t>- Einfrieren der verschiedenen Entschädigungen für die Mitarbeitenden</w:t>
            </w:r>
          </w:p>
        </w:tc>
      </w:tr>
      <w:tr w:rsidR="00FE4F36" w:rsidRPr="005B3823" w14:paraId="664FC611"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23" w:type="dxa"/>
          </w:tcPr>
          <w:p w14:paraId="017450E3" w14:textId="77777777" w:rsidR="00FE4F36" w:rsidRPr="0089670B" w:rsidRDefault="00FE4F36" w:rsidP="007B12C8">
            <w:pPr>
              <w:spacing w:line="280" w:lineRule="atLeast"/>
              <w:rPr>
                <w:rFonts w:eastAsia="Times New Roman" w:cs="Arial"/>
                <w:bCs/>
                <w:sz w:val="18"/>
                <w:szCs w:val="20"/>
                <w:lang w:val="de-CH"/>
              </w:rPr>
            </w:pPr>
            <w:r w:rsidRPr="0089670B">
              <w:rPr>
                <w:rFonts w:eastAsia="Times New Roman" w:cs="Arial"/>
                <w:sz w:val="18"/>
                <w:lang w:val="de-CH"/>
              </w:rPr>
              <w:t>b) Massnahmen des PSKF</w:t>
            </w:r>
            <w:r w:rsidRPr="0089670B">
              <w:rPr>
                <w:rFonts w:eastAsia="Times New Roman" w:cs="Arial"/>
                <w:sz w:val="18"/>
                <w:lang w:val="de-CH"/>
              </w:rPr>
              <w:br/>
            </w:r>
            <w:r w:rsidRPr="00903C52">
              <w:rPr>
                <w:rFonts w:eastAsia="Times New Roman" w:cs="Arial"/>
                <w:b w:val="0"/>
                <w:bCs/>
                <w:sz w:val="18"/>
                <w:lang w:val="de-CH"/>
              </w:rPr>
              <w:t xml:space="preserve">- </w:t>
            </w:r>
            <w:r w:rsidRPr="0089670B">
              <w:rPr>
                <w:rFonts w:eastAsia="Times New Roman" w:cs="Arial"/>
                <w:b w:val="0"/>
                <w:bCs/>
                <w:sz w:val="18"/>
                <w:lang w:val="de-CH"/>
              </w:rPr>
              <w:t>Auszahlung des gesamten 13. Monatslohns am Jahresende</w:t>
            </w:r>
            <w:r w:rsidRPr="0089670B">
              <w:rPr>
                <w:rFonts w:eastAsia="Times New Roman" w:cs="Arial"/>
                <w:b w:val="0"/>
                <w:bCs/>
                <w:sz w:val="18"/>
                <w:lang w:val="de-CH"/>
              </w:rPr>
              <w:br/>
              <w:t>- Verzicht auf die Massnahmen in Bezug auf die Beschwerlichkeit der Arbeit</w:t>
            </w:r>
            <w:r w:rsidRPr="0089670B">
              <w:rPr>
                <w:rFonts w:eastAsia="Times New Roman" w:cs="Arial"/>
                <w:b w:val="0"/>
                <w:bCs/>
                <w:sz w:val="18"/>
                <w:lang w:val="de-CH"/>
              </w:rPr>
              <w:br/>
            </w:r>
            <w:r w:rsidRPr="0089670B">
              <w:rPr>
                <w:rFonts w:eastAsia="Times New Roman" w:cs="Arial"/>
                <w:sz w:val="18"/>
                <w:lang w:val="de-CH"/>
              </w:rPr>
              <w:t xml:space="preserve">- </w:t>
            </w:r>
            <w:r w:rsidRPr="0089670B">
              <w:rPr>
                <w:rFonts w:eastAsia="Times New Roman" w:cs="Arial"/>
                <w:b w:val="0"/>
                <w:bCs/>
                <w:sz w:val="18"/>
                <w:lang w:val="de-CH"/>
              </w:rPr>
              <w:t>Verzicht auf die Anerkennungsprämien für das Personal</w:t>
            </w:r>
            <w:r w:rsidRPr="0089670B">
              <w:rPr>
                <w:rFonts w:eastAsia="Times New Roman" w:cs="Arial"/>
                <w:b w:val="0"/>
                <w:bCs/>
                <w:sz w:val="18"/>
                <w:lang w:val="de-CH"/>
              </w:rPr>
              <w:br/>
              <w:t>- Moratorium für die Neubewertung von Funktionen (Anträge und Gesuche der Direktionen)</w:t>
            </w:r>
          </w:p>
        </w:tc>
      </w:tr>
    </w:tbl>
    <w:p w14:paraId="55527460" w14:textId="17AD943D" w:rsidR="000B1C76" w:rsidRPr="00FE4F36" w:rsidRDefault="00FE4F36" w:rsidP="000B1C76">
      <w:pPr>
        <w:pStyle w:val="Listealphabtique"/>
        <w:numPr>
          <w:ilvl w:val="0"/>
          <w:numId w:val="27"/>
        </w:numPr>
        <w:ind w:left="426" w:hanging="426"/>
        <w:rPr>
          <w:b/>
          <w:bCs/>
          <w:lang w:val="de-CH"/>
        </w:rPr>
      </w:pPr>
      <w:r w:rsidRPr="0089670B">
        <w:rPr>
          <w:rFonts w:ascii="Times New Roman" w:eastAsia="Times New Roman" w:hAnsi="Times New Roman" w:cs="Times New Roman"/>
          <w:b/>
          <w:lang w:val="de-CH"/>
        </w:rPr>
        <w:t>Zur Einhaltung des Finanzplans notwendige Massnahmen</w:t>
      </w:r>
    </w:p>
    <w:p w14:paraId="4B4EEF3D" w14:textId="77777777" w:rsidR="00FE4F36" w:rsidRPr="0089670B" w:rsidRDefault="000B1C76" w:rsidP="00FE4F36">
      <w:pPr>
        <w:contextualSpacing/>
        <w:rPr>
          <w:rFonts w:ascii="Times New Roman" w:eastAsia="Times New Roman" w:hAnsi="Times New Roman" w:cs="Times New Roman"/>
          <w:b/>
          <w:bCs/>
          <w:lang w:val="de-CH"/>
        </w:rPr>
      </w:pPr>
      <w:r w:rsidRPr="00FE4F36">
        <w:rPr>
          <w:b/>
          <w:bCs/>
          <w:lang w:val="de-CH"/>
        </w:rPr>
        <w:t>&gt;</w:t>
      </w:r>
      <w:r w:rsidRPr="00FE4F36">
        <w:rPr>
          <w:b/>
          <w:bCs/>
          <w:lang w:val="de-CH"/>
        </w:rPr>
        <w:tab/>
      </w:r>
      <w:r w:rsidR="00FE4F36" w:rsidRPr="0089670B">
        <w:rPr>
          <w:rFonts w:ascii="Times New Roman" w:eastAsia="Times New Roman" w:hAnsi="Times New Roman" w:cs="Times New Roman"/>
          <w:b/>
          <w:lang w:val="de-CH"/>
        </w:rPr>
        <w:t>Einfrieren der verschiedenen Entschädigungen für die Mitarbeitenden</w:t>
      </w:r>
    </w:p>
    <w:p w14:paraId="2E3CC264" w14:textId="77777777" w:rsidR="00FE4F36" w:rsidRPr="0089670B" w:rsidRDefault="00FE4F36" w:rsidP="00FE4F36">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Einfrieren der verschiedenen Entschädigungen für die Mitarbeitenden auf dem derzeitigen Stand über den Zeitraum 2026-2028. Diese Massnahme sieht vor, dass bis Ende 2028 keinerlei Erhöhung von Entschädigungen (Nachtarbeit, Verpflegung usw.) möglich ist. Sie stellt jedoch insofern keine finanzielle Verbesserung in Bezug auf den Finanzplan dar, als dieser hier keine Ausgabenerhöhung vorsah. Es lässt sich für diese Massnahme auch kein Betrag angeben.</w:t>
      </w:r>
    </w:p>
    <w:tbl>
      <w:tblPr>
        <w:tblStyle w:val="TableauEtatFR"/>
        <w:tblW w:w="5000" w:type="pct"/>
        <w:tblLook w:val="04E0" w:firstRow="1" w:lastRow="1" w:firstColumn="1" w:lastColumn="0" w:noHBand="0" w:noVBand="1"/>
      </w:tblPr>
      <w:tblGrid>
        <w:gridCol w:w="3312"/>
        <w:gridCol w:w="1653"/>
        <w:gridCol w:w="1653"/>
        <w:gridCol w:w="1653"/>
        <w:gridCol w:w="1649"/>
      </w:tblGrid>
      <w:tr w:rsidR="00FE4F36" w:rsidRPr="0089670B" w14:paraId="62A428F6"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BFA37E3" w14:textId="77777777" w:rsidR="00FE4F36" w:rsidRPr="0089670B" w:rsidRDefault="00FE4F36"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793EFD31"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00843937"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B93A28F"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19D02EE8"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FE4F36" w:rsidRPr="0089670B" w14:paraId="4BA32D4F"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EC4456D" w14:textId="77777777" w:rsidR="00FE4F36" w:rsidRPr="0089670B" w:rsidRDefault="00FE4F36"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AA83B31"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02F3A36B"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57D0E077"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1" w:type="pct"/>
          </w:tcPr>
          <w:p w14:paraId="03400F9A"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r>
      <w:tr w:rsidR="00FE4F36" w:rsidRPr="0089670B" w14:paraId="680A680B"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E0E098A" w14:textId="77777777" w:rsidR="00FE4F36" w:rsidRPr="0089670B" w:rsidRDefault="00FE4F36"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B90DBD0"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F4D6486"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71637BA"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1" w:type="pct"/>
          </w:tcPr>
          <w:p w14:paraId="5A64CC9C"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EC557F2" w14:textId="7D26A3B8" w:rsidR="00B84E83" w:rsidRPr="000772F7" w:rsidRDefault="00FE4F36" w:rsidP="00EB7308">
      <w:pPr>
        <w:pStyle w:val="Listealphabtique"/>
        <w:numPr>
          <w:ilvl w:val="0"/>
          <w:numId w:val="27"/>
        </w:numPr>
        <w:ind w:left="426" w:hanging="426"/>
        <w:rPr>
          <w:rFonts w:ascii="Times New Roman" w:eastAsia="Times New Roman" w:hAnsi="Times New Roman" w:cs="Times New Roman"/>
          <w:b/>
          <w:lang w:val="de-CH"/>
        </w:rPr>
      </w:pPr>
      <w:r w:rsidRPr="000772F7">
        <w:rPr>
          <w:rFonts w:ascii="Times New Roman" w:eastAsia="Times New Roman" w:hAnsi="Times New Roman" w:cs="Times New Roman"/>
          <w:b/>
          <w:lang w:val="de-CH"/>
        </w:rPr>
        <w:t>Massnahmen des PSKF</w:t>
      </w:r>
    </w:p>
    <w:p w14:paraId="3E835949" w14:textId="77777777" w:rsidR="00FE4F36" w:rsidRPr="0089670B" w:rsidRDefault="004F52A9" w:rsidP="00FE4F36">
      <w:pPr>
        <w:contextualSpacing/>
        <w:rPr>
          <w:rFonts w:ascii="Times New Roman" w:eastAsia="Times New Roman" w:hAnsi="Times New Roman" w:cs="Times New Roman"/>
          <w:b/>
          <w:bCs/>
          <w:lang w:val="de-CH"/>
        </w:rPr>
      </w:pPr>
      <w:r w:rsidRPr="00FE4F36">
        <w:rPr>
          <w:b/>
          <w:bCs/>
          <w:lang w:val="de-CH"/>
        </w:rPr>
        <w:t>&gt;</w:t>
      </w:r>
      <w:r w:rsidRPr="00FE4F36">
        <w:rPr>
          <w:b/>
          <w:bCs/>
          <w:lang w:val="de-CH"/>
        </w:rPr>
        <w:tab/>
      </w:r>
      <w:r w:rsidR="00FE4F36" w:rsidRPr="0089670B">
        <w:rPr>
          <w:rFonts w:ascii="Times New Roman" w:eastAsia="Times New Roman" w:hAnsi="Times New Roman" w:cs="Times New Roman"/>
          <w:b/>
          <w:lang w:val="de-CH"/>
        </w:rPr>
        <w:t>Auszahlung des gesamten 13. Monatslohns am Jahresende</w:t>
      </w:r>
    </w:p>
    <w:p w14:paraId="500510AC" w14:textId="6F558F62" w:rsidR="00FE4F36" w:rsidRDefault="00FE4F36" w:rsidP="00FE4F36">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Auszahlung des gesamten 13. Monatsgehalts am Jahresende. Der im Juni ausgezahlte Anteil des 13.</w:t>
      </w:r>
      <w:r w:rsidR="00186098">
        <w:rPr>
          <w:rFonts w:ascii="Times New Roman" w:eastAsia="Times New Roman" w:hAnsi="Times New Roman" w:cs="Times New Roman"/>
          <w:lang w:val="de-CH"/>
        </w:rPr>
        <w:t> </w:t>
      </w:r>
      <w:r w:rsidRPr="0089670B">
        <w:rPr>
          <w:rFonts w:ascii="Times New Roman" w:eastAsia="Times New Roman" w:hAnsi="Times New Roman" w:cs="Times New Roman"/>
          <w:lang w:val="de-CH"/>
        </w:rPr>
        <w:t>Monatsgehalts beläuft sich auf 43 Millionen Franken. Die Anlage dieses Betrags über 6 Monate zu einer Verzinsung von 0,25 % würde dem Staat 53 750 Franken einbringen. Diese Massnahme hat den Vorteil, dass sie zu keinen Lohneinbussen für das Personal führt, aber ihre Umsetzung ist mit Kosten verbunden.</w:t>
      </w:r>
    </w:p>
    <w:p w14:paraId="35BC058A" w14:textId="6574B9A7" w:rsidR="00FE4F36" w:rsidRPr="0089670B" w:rsidRDefault="00FE4F36" w:rsidP="00FE4F36">
      <w:pPr>
        <w:rPr>
          <w:rFonts w:ascii="Times New Roman" w:eastAsia="Times New Roman" w:hAnsi="Times New Roman" w:cs="Times New Roman"/>
          <w:lang w:val="de-CH"/>
        </w:rPr>
      </w:pPr>
    </w:p>
    <w:tbl>
      <w:tblPr>
        <w:tblStyle w:val="TableauEtatFR"/>
        <w:tblW w:w="5000" w:type="pct"/>
        <w:tblLook w:val="04E0" w:firstRow="1" w:lastRow="1" w:firstColumn="1" w:lastColumn="0" w:noHBand="0" w:noVBand="1"/>
      </w:tblPr>
      <w:tblGrid>
        <w:gridCol w:w="3312"/>
        <w:gridCol w:w="1653"/>
        <w:gridCol w:w="1653"/>
        <w:gridCol w:w="1653"/>
        <w:gridCol w:w="1649"/>
      </w:tblGrid>
      <w:tr w:rsidR="00FE4F36" w:rsidRPr="0089670B" w14:paraId="3FFB6FD1" w14:textId="77777777" w:rsidTr="007B12C8">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92D50BC" w14:textId="77777777" w:rsidR="00FE4F36" w:rsidRPr="0089670B" w:rsidRDefault="00FE4F36" w:rsidP="007B12C8">
            <w:pPr>
              <w:spacing w:after="0"/>
              <w:rPr>
                <w:rFonts w:eastAsia="Times New Roman" w:cs="Arial"/>
                <w:bCs/>
                <w:sz w:val="21"/>
                <w:szCs w:val="20"/>
                <w:lang w:val="de-CH"/>
              </w:rPr>
            </w:pPr>
            <w:r w:rsidRPr="0089670B">
              <w:rPr>
                <w:rFonts w:eastAsia="Times New Roman" w:cs="Arial"/>
                <w:sz w:val="18"/>
                <w:lang w:val="de-CH"/>
              </w:rPr>
              <w:lastRenderedPageBreak/>
              <w:t>Finanzielle Auswirkungen in Franken</w:t>
            </w:r>
          </w:p>
        </w:tc>
        <w:tc>
          <w:tcPr>
            <w:tcW w:w="833" w:type="pct"/>
          </w:tcPr>
          <w:p w14:paraId="2A7EE85B"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1A4BD67"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8030A2A"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77A99664"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FE4F36" w:rsidRPr="0089670B" w14:paraId="07012971" w14:textId="77777777" w:rsidTr="007B12C8">
        <w:tblPrEx>
          <w:tblCellMar>
            <w:bottom w:w="28" w:type="dxa"/>
          </w:tblCellMar>
        </w:tblPrEx>
        <w:trPr>
          <w:cantSplit/>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BFD7793" w14:textId="77777777" w:rsidR="00FE4F36" w:rsidRPr="0089670B" w:rsidRDefault="00FE4F36"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5E1034B"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38 750</w:t>
            </w:r>
          </w:p>
        </w:tc>
        <w:tc>
          <w:tcPr>
            <w:tcW w:w="833" w:type="pct"/>
          </w:tcPr>
          <w:p w14:paraId="14481344"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53 750</w:t>
            </w:r>
          </w:p>
        </w:tc>
        <w:tc>
          <w:tcPr>
            <w:tcW w:w="833" w:type="pct"/>
          </w:tcPr>
          <w:p w14:paraId="2C17C1F7"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53 750</w:t>
            </w:r>
          </w:p>
        </w:tc>
        <w:tc>
          <w:tcPr>
            <w:tcW w:w="833" w:type="pct"/>
          </w:tcPr>
          <w:p w14:paraId="2678E54B"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146 250</w:t>
            </w:r>
          </w:p>
        </w:tc>
      </w:tr>
      <w:tr w:rsidR="00FE4F36" w:rsidRPr="0089670B" w14:paraId="3CCBF339"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29F9A8F" w14:textId="77777777" w:rsidR="00FE4F36" w:rsidRPr="0089670B" w:rsidRDefault="00FE4F36"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4FF936DE"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6BAB11A"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328ECBD"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340EF4A3"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773E9BA9" w14:textId="77777777" w:rsidR="00FE4F36" w:rsidRPr="0089670B" w:rsidRDefault="00FE4F36" w:rsidP="00FE4F36">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Verzicht auf die Massnahmen in Zusammenhang mit der Beschwerlichkeit der Arbeit</w:t>
      </w:r>
    </w:p>
    <w:p w14:paraId="37E686F3" w14:textId="77777777" w:rsidR="00FE4F36" w:rsidRPr="0089670B" w:rsidRDefault="00FE4F36" w:rsidP="00FE4F36">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Aufschub der Massnahmen in Zusammenhang mit der Beschwerlichkeit der Arbeit. Diese werden damit nicht 2026 in Kraft treten, sondern über den Zeithorizont des PSKF hinaus auf 2029 verschoben. Dies betrifft 200 Mitarbeitende.</w:t>
      </w:r>
    </w:p>
    <w:tbl>
      <w:tblPr>
        <w:tblStyle w:val="TableauEtatFR"/>
        <w:tblW w:w="5000" w:type="pct"/>
        <w:tblLook w:val="04E0" w:firstRow="1" w:lastRow="1" w:firstColumn="1" w:lastColumn="0" w:noHBand="0" w:noVBand="1"/>
      </w:tblPr>
      <w:tblGrid>
        <w:gridCol w:w="3312"/>
        <w:gridCol w:w="1653"/>
        <w:gridCol w:w="1653"/>
        <w:gridCol w:w="1653"/>
        <w:gridCol w:w="1649"/>
      </w:tblGrid>
      <w:tr w:rsidR="00FE4F36" w:rsidRPr="0089670B" w14:paraId="12D5C615"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1D3E921" w14:textId="77777777" w:rsidR="00FE4F36" w:rsidRPr="0089670B" w:rsidRDefault="00FE4F36"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9A34A17"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85E298C"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7F6CCDDA"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C2216EA"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FE4F36" w:rsidRPr="0089670B" w14:paraId="1F0AADB8"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E1CDA83" w14:textId="77777777" w:rsidR="00FE4F36" w:rsidRPr="0089670B" w:rsidRDefault="00FE4F36"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23F7A6FD"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500 000</w:t>
            </w:r>
          </w:p>
        </w:tc>
        <w:tc>
          <w:tcPr>
            <w:tcW w:w="833" w:type="pct"/>
          </w:tcPr>
          <w:p w14:paraId="6ECDF1C1"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500 000</w:t>
            </w:r>
          </w:p>
        </w:tc>
        <w:tc>
          <w:tcPr>
            <w:tcW w:w="833" w:type="pct"/>
          </w:tcPr>
          <w:p w14:paraId="6DC05BA4"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500 000</w:t>
            </w:r>
          </w:p>
        </w:tc>
        <w:tc>
          <w:tcPr>
            <w:tcW w:w="833" w:type="pct"/>
          </w:tcPr>
          <w:p w14:paraId="07889D64"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1 500 000</w:t>
            </w:r>
          </w:p>
        </w:tc>
      </w:tr>
      <w:tr w:rsidR="00FE4F36" w:rsidRPr="0089670B" w14:paraId="7059ADB4"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7B71BA5" w14:textId="77777777" w:rsidR="00FE4F36" w:rsidRPr="0089670B" w:rsidRDefault="00FE4F36" w:rsidP="007B12C8">
            <w:pPr>
              <w:spacing w:after="0"/>
              <w:rPr>
                <w:rFonts w:eastAsia="Times New Roman" w:cs="Arial"/>
                <w:bCs/>
                <w:sz w:val="18"/>
                <w:szCs w:val="20"/>
                <w:lang w:val="de-CH"/>
              </w:rPr>
            </w:pPr>
            <w:r w:rsidRPr="0089670B">
              <w:rPr>
                <w:rFonts w:eastAsia="Times New Roman" w:cs="Arial"/>
                <w:sz w:val="18"/>
                <w:lang w:val="de-CH"/>
              </w:rPr>
              <w:t>Gemeinden</w:t>
            </w:r>
          </w:p>
        </w:tc>
        <w:tc>
          <w:tcPr>
            <w:tcW w:w="833" w:type="pct"/>
          </w:tcPr>
          <w:p w14:paraId="46AC84CC"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89670B">
              <w:rPr>
                <w:rFonts w:eastAsia="Times New Roman" w:cs="Arial"/>
                <w:color w:val="000000"/>
                <w:sz w:val="18"/>
                <w:lang w:val="de-CH"/>
              </w:rPr>
              <w:t>0</w:t>
            </w:r>
          </w:p>
        </w:tc>
        <w:tc>
          <w:tcPr>
            <w:tcW w:w="833" w:type="pct"/>
          </w:tcPr>
          <w:p w14:paraId="636F69B0"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89670B">
              <w:rPr>
                <w:rFonts w:eastAsia="Times New Roman" w:cs="Arial"/>
                <w:color w:val="000000"/>
                <w:sz w:val="18"/>
                <w:lang w:val="de-CH"/>
              </w:rPr>
              <w:t>0</w:t>
            </w:r>
          </w:p>
        </w:tc>
        <w:tc>
          <w:tcPr>
            <w:tcW w:w="833" w:type="pct"/>
          </w:tcPr>
          <w:p w14:paraId="44366E23"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89670B">
              <w:rPr>
                <w:rFonts w:eastAsia="Times New Roman" w:cs="Arial"/>
                <w:color w:val="000000"/>
                <w:sz w:val="18"/>
                <w:lang w:val="de-CH"/>
              </w:rPr>
              <w:t>0</w:t>
            </w:r>
          </w:p>
        </w:tc>
        <w:tc>
          <w:tcPr>
            <w:tcW w:w="833" w:type="pct"/>
          </w:tcPr>
          <w:p w14:paraId="772C0F73"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color w:val="000000"/>
                <w:sz w:val="18"/>
                <w:szCs w:val="20"/>
                <w:lang w:val="de-CH"/>
              </w:rPr>
            </w:pPr>
            <w:r w:rsidRPr="0089670B">
              <w:rPr>
                <w:rFonts w:eastAsia="Times New Roman" w:cs="Arial"/>
                <w:color w:val="000000"/>
                <w:sz w:val="18"/>
                <w:lang w:val="de-CH"/>
              </w:rPr>
              <w:t>0</w:t>
            </w:r>
          </w:p>
        </w:tc>
      </w:tr>
    </w:tbl>
    <w:p w14:paraId="3B69C734" w14:textId="77777777" w:rsidR="00FE4F36" w:rsidRPr="0089670B" w:rsidRDefault="00FE4F36" w:rsidP="00FE4F36">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Verzicht auf die Anerkennungsprämien für das Personal</w:t>
      </w:r>
    </w:p>
    <w:p w14:paraId="640BF69F" w14:textId="77777777" w:rsidR="00FE4F36" w:rsidRPr="0089670B" w:rsidRDefault="00FE4F36" w:rsidP="00FE4F36">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Vorübergehende Aussetzung der Anerkennungsprämien für das Personal. Diese Prämien sollen während drei Jahren ausgesetzt werden. Diese Massnahme gehörte zu den Vorschlägen der FEDE.</w:t>
      </w:r>
    </w:p>
    <w:tbl>
      <w:tblPr>
        <w:tblStyle w:val="TableauEtatFR"/>
        <w:tblW w:w="5000" w:type="pct"/>
        <w:tblLook w:val="04E0" w:firstRow="1" w:lastRow="1" w:firstColumn="1" w:lastColumn="0" w:noHBand="0" w:noVBand="1"/>
      </w:tblPr>
      <w:tblGrid>
        <w:gridCol w:w="3312"/>
        <w:gridCol w:w="1653"/>
        <w:gridCol w:w="1653"/>
        <w:gridCol w:w="1653"/>
        <w:gridCol w:w="1649"/>
      </w:tblGrid>
      <w:tr w:rsidR="00FE4F36" w:rsidRPr="0089670B" w14:paraId="6F616FB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A011EB5" w14:textId="77777777" w:rsidR="00FE4F36" w:rsidRPr="0089670B" w:rsidRDefault="00FE4F36"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803E3A3"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2840D4E9"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5A34A950"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31504485"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FE4F36" w:rsidRPr="0089670B" w14:paraId="528C0E83"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807B1AD" w14:textId="77777777" w:rsidR="00FE4F36" w:rsidRPr="0089670B" w:rsidRDefault="00FE4F36"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2A37E66F"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600 000</w:t>
            </w:r>
          </w:p>
        </w:tc>
        <w:tc>
          <w:tcPr>
            <w:tcW w:w="833" w:type="pct"/>
          </w:tcPr>
          <w:p w14:paraId="3D8FE6B9"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600 000</w:t>
            </w:r>
          </w:p>
        </w:tc>
        <w:tc>
          <w:tcPr>
            <w:tcW w:w="833" w:type="pct"/>
          </w:tcPr>
          <w:p w14:paraId="54931C1A"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600 000</w:t>
            </w:r>
          </w:p>
        </w:tc>
        <w:tc>
          <w:tcPr>
            <w:tcW w:w="833" w:type="pct"/>
          </w:tcPr>
          <w:p w14:paraId="2AA9E391"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1 800 000</w:t>
            </w:r>
          </w:p>
        </w:tc>
      </w:tr>
      <w:tr w:rsidR="00FE4F36" w:rsidRPr="0089670B" w14:paraId="6BAD6E7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2159373" w14:textId="77777777" w:rsidR="00FE4F36" w:rsidRPr="0089670B" w:rsidRDefault="00FE4F36"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70C69723"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DA11D4B"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8ED7838"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92A0277"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77739FE5" w14:textId="77777777" w:rsidR="00FE4F36" w:rsidRPr="0089670B" w:rsidRDefault="00FE4F36" w:rsidP="00FE4F36">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Moratorium für die Neubewertung von Funktionen (Anträge und Gesuche der Direktionen)</w:t>
      </w:r>
    </w:p>
    <w:p w14:paraId="29CA1E49" w14:textId="76AA07E0" w:rsidR="00FE4F36" w:rsidRPr="0089670B" w:rsidRDefault="00FE4F36" w:rsidP="00FE4F36">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Vorübergehende Aussetzung von Neubewertungen der Funktionen der Mitarbeitenden. Es handelt sich um ein Moratorium für die EVALFRI-Auswirkungen für 3 Jahre. Konkret wird die Lancierung neuer Vorhaben zur Neubewertung von Funktionen Mitarbeitender für den Zeitraum 2026</w:t>
      </w:r>
      <w:r w:rsidR="0049315A">
        <w:rPr>
          <w:rFonts w:ascii="Times New Roman" w:eastAsia="Times New Roman" w:hAnsi="Times New Roman" w:cs="Times New Roman"/>
          <w:lang w:val="de-CH"/>
        </w:rPr>
        <w:t>–</w:t>
      </w:r>
      <w:r w:rsidRPr="0089670B">
        <w:rPr>
          <w:rFonts w:ascii="Times New Roman" w:eastAsia="Times New Roman" w:hAnsi="Times New Roman" w:cs="Times New Roman"/>
          <w:lang w:val="de-CH"/>
        </w:rPr>
        <w:t>2028 ausgesetzt.</w:t>
      </w:r>
    </w:p>
    <w:tbl>
      <w:tblPr>
        <w:tblStyle w:val="TableauEtatFR"/>
        <w:tblW w:w="5000" w:type="pct"/>
        <w:tblLook w:val="04E0" w:firstRow="1" w:lastRow="1" w:firstColumn="1" w:lastColumn="0" w:noHBand="0" w:noVBand="1"/>
      </w:tblPr>
      <w:tblGrid>
        <w:gridCol w:w="3312"/>
        <w:gridCol w:w="1653"/>
        <w:gridCol w:w="1653"/>
        <w:gridCol w:w="1653"/>
        <w:gridCol w:w="1649"/>
      </w:tblGrid>
      <w:tr w:rsidR="00FE4F36" w:rsidRPr="0089670B" w14:paraId="44B36D6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9F8A75E" w14:textId="77777777" w:rsidR="00FE4F36" w:rsidRPr="0089670B" w:rsidRDefault="00FE4F36"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63399A9C"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3ED4E3B"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1DEF511"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16C5987" w14:textId="77777777" w:rsidR="00FE4F36" w:rsidRPr="0089670B" w:rsidRDefault="00FE4F36"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FE4F36" w:rsidRPr="0089670B" w14:paraId="5A9946A6"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278EEB2" w14:textId="77777777" w:rsidR="00FE4F36" w:rsidRPr="0089670B" w:rsidRDefault="00FE4F36"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469FA2E"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50AF968B"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7B2F388C"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5D993BD5" w14:textId="77777777" w:rsidR="00FE4F36" w:rsidRPr="0089670B" w:rsidRDefault="00FE4F36"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1 200 000</w:t>
            </w:r>
          </w:p>
        </w:tc>
      </w:tr>
      <w:tr w:rsidR="00FE4F36" w:rsidRPr="0089670B" w14:paraId="063F47B7"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5383A34" w14:textId="77777777" w:rsidR="00FE4F36" w:rsidRPr="0089670B" w:rsidRDefault="00FE4F36"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91DA5F3"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1741294"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CF96D30"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7DEB7D6" w14:textId="77777777" w:rsidR="00FE4F36" w:rsidRPr="0089670B" w:rsidRDefault="00FE4F36"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4FE4F563" w14:textId="44AEE915" w:rsidR="002A446B" w:rsidRPr="00FE3A13" w:rsidRDefault="002A446B" w:rsidP="00FE4F36">
      <w:pPr>
        <w:pStyle w:val="Listealphabtique"/>
        <w:numPr>
          <w:ilvl w:val="0"/>
          <w:numId w:val="0"/>
        </w:numPr>
      </w:pPr>
    </w:p>
    <w:p w14:paraId="431DBAD0" w14:textId="4989A9DA" w:rsidR="009877D1" w:rsidRPr="00EB6310" w:rsidRDefault="009877D1" w:rsidP="009877D1">
      <w:pPr>
        <w:pStyle w:val="Titre3"/>
        <w:rPr>
          <w:lang w:val="de-CH"/>
        </w:rPr>
      </w:pPr>
      <w:bookmarkStart w:id="30" w:name="_Toc196226217"/>
      <w:r w:rsidRPr="00EB6310">
        <w:rPr>
          <w:lang w:val="de-CH"/>
        </w:rPr>
        <w:t>Subventio</w:t>
      </w:r>
      <w:r w:rsidR="00C73B23" w:rsidRPr="00EB6310">
        <w:rPr>
          <w:lang w:val="de-CH"/>
        </w:rPr>
        <w:t>nierung</w:t>
      </w:r>
      <w:bookmarkEnd w:id="30"/>
    </w:p>
    <w:p w14:paraId="0FC55486" w14:textId="77777777" w:rsidR="00C73B23" w:rsidRPr="0089670B" w:rsidRDefault="00C73B23" w:rsidP="00C73B23">
      <w:pPr>
        <w:rPr>
          <w:rFonts w:ascii="Times New Roman" w:eastAsia="Times New Roman" w:hAnsi="Times New Roman" w:cs="Times New Roman"/>
          <w:lang w:val="de-CH"/>
        </w:rPr>
      </w:pPr>
      <w:r w:rsidRPr="0089670B">
        <w:rPr>
          <w:rFonts w:ascii="Times New Roman" w:eastAsia="Times New Roman" w:hAnsi="Times New Roman" w:cs="Times New Roman"/>
          <w:lang w:val="de-CH"/>
        </w:rPr>
        <w:t>Es werden folgende Massnahmen auf Subventionsebene vorgeschlagen:</w:t>
      </w:r>
    </w:p>
    <w:tbl>
      <w:tblPr>
        <w:tblStyle w:val="TableauEtatFR"/>
        <w:tblW w:w="9923" w:type="dxa"/>
        <w:tblLayout w:type="fixed"/>
        <w:tblLook w:val="04E0" w:firstRow="1" w:lastRow="1" w:firstColumn="1" w:lastColumn="0" w:noHBand="0" w:noVBand="1"/>
      </w:tblPr>
      <w:tblGrid>
        <w:gridCol w:w="9923"/>
      </w:tblGrid>
      <w:tr w:rsidR="00C73B23" w:rsidRPr="005B3823" w14:paraId="1192C137" w14:textId="77777777" w:rsidTr="007B12C8">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9923" w:type="dxa"/>
          </w:tcPr>
          <w:p w14:paraId="20485287" w14:textId="77777777" w:rsidR="00C73B23" w:rsidRPr="0089670B" w:rsidRDefault="00C73B23" w:rsidP="007B12C8">
            <w:pPr>
              <w:spacing w:after="0"/>
              <w:rPr>
                <w:rFonts w:eastAsia="Times New Roman" w:cs="Arial"/>
                <w:bCs/>
                <w:sz w:val="21"/>
                <w:szCs w:val="20"/>
                <w:lang w:val="de-CH"/>
              </w:rPr>
            </w:pPr>
            <w:r w:rsidRPr="0089670B">
              <w:rPr>
                <w:rFonts w:eastAsia="Times New Roman" w:cs="Arial"/>
                <w:sz w:val="18"/>
                <w:lang w:val="de-CH"/>
              </w:rPr>
              <w:t>Massnahmen in der Zuständigkeit des Staatsrats, die die Subventionen betreffen und ab 2026 oder 2027 zur Anwendung kommen sollen</w:t>
            </w:r>
          </w:p>
        </w:tc>
      </w:tr>
      <w:tr w:rsidR="00C73B23" w:rsidRPr="005B3823" w14:paraId="3064999E"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9923" w:type="dxa"/>
          </w:tcPr>
          <w:p w14:paraId="460B08FD" w14:textId="77777777" w:rsidR="00C73B23" w:rsidRPr="0089670B" w:rsidRDefault="00C73B23" w:rsidP="007B12C8">
            <w:pPr>
              <w:spacing w:line="280" w:lineRule="atLeast"/>
              <w:rPr>
                <w:rFonts w:eastAsia="Times New Roman" w:cs="Arial"/>
                <w:bCs/>
                <w:sz w:val="18"/>
                <w:szCs w:val="20"/>
                <w:lang w:val="de-CH"/>
              </w:rPr>
            </w:pPr>
            <w:r w:rsidRPr="0089670B">
              <w:rPr>
                <w:rFonts w:eastAsia="Times New Roman" w:cs="Arial"/>
                <w:b/>
                <w:sz w:val="18"/>
                <w:lang w:val="de-CH"/>
              </w:rPr>
              <w:t>a) Zur Einhaltung des Finanzplans notwendige Massnahmen</w:t>
            </w:r>
            <w:r w:rsidRPr="0089670B">
              <w:rPr>
                <w:rFonts w:eastAsia="Times New Roman" w:cs="Arial"/>
                <w:sz w:val="18"/>
                <w:lang w:val="de-CH"/>
              </w:rPr>
              <w:br/>
              <w:t>- Hinauszögerung von  Investitionen und Erneuerungsarbeiten in den sonder- und sozialpädagogischen Institutionen</w:t>
            </w:r>
            <w:r w:rsidRPr="0089670B">
              <w:rPr>
                <w:rFonts w:eastAsia="Times New Roman" w:cs="Arial"/>
                <w:sz w:val="18"/>
                <w:lang w:val="de-CH"/>
              </w:rPr>
              <w:br/>
              <w:t xml:space="preserve">- Kein Ausgleich der Kürzung der Finanzhilfen des Bundes im Umweltbereich </w:t>
            </w:r>
            <w:r w:rsidRPr="0089670B">
              <w:rPr>
                <w:rFonts w:eastAsia="Times New Roman" w:cs="Arial"/>
                <w:sz w:val="18"/>
                <w:lang w:val="de-CH"/>
              </w:rPr>
              <w:br/>
              <w:t>- Erhöhung der VZÄ-Quote für das Pflegepersonal in den Pflegeheimen</w:t>
            </w:r>
            <w:r w:rsidRPr="0089670B">
              <w:rPr>
                <w:rFonts w:eastAsia="Times New Roman" w:cs="Arial"/>
                <w:sz w:val="18"/>
                <w:lang w:val="de-CH"/>
              </w:rPr>
              <w:br/>
              <w:t>- Erhöhung der VZÄ-Quote und geringere Dotierung für die Betreuung in den Pflegeheimen</w:t>
            </w:r>
            <w:r w:rsidRPr="0089670B">
              <w:rPr>
                <w:rFonts w:eastAsia="Times New Roman" w:cs="Arial"/>
                <w:sz w:val="18"/>
                <w:lang w:val="de-CH"/>
              </w:rPr>
              <w:br/>
              <w:t>- Einfrieren der Betriebskostenbeiträge (ohne Löhne) an die sonder- und sozialpädagogischen Institutionen</w:t>
            </w:r>
            <w:r w:rsidRPr="0089670B">
              <w:rPr>
                <w:rFonts w:eastAsia="Times New Roman" w:cs="Arial"/>
                <w:sz w:val="18"/>
                <w:lang w:val="de-CH"/>
              </w:rPr>
              <w:br/>
              <w:t xml:space="preserve">- Kürzung der Landwirtschaftsbeihilfen (Öko- und Landschaftsqualität) </w:t>
            </w:r>
            <w:r w:rsidRPr="0089670B">
              <w:rPr>
                <w:rFonts w:eastAsia="Times New Roman" w:cs="Arial"/>
                <w:sz w:val="18"/>
                <w:lang w:val="de-CH"/>
              </w:rPr>
              <w:br/>
              <w:t>- Reduktion der Subventionen für die Biodiversität</w:t>
            </w:r>
          </w:p>
        </w:tc>
      </w:tr>
      <w:tr w:rsidR="00C73B23" w:rsidRPr="005B3823" w14:paraId="4D5C0D15"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23" w:type="dxa"/>
          </w:tcPr>
          <w:p w14:paraId="1E6615B9" w14:textId="77777777" w:rsidR="00C73B23" w:rsidRPr="0089670B" w:rsidRDefault="00C73B23" w:rsidP="007B12C8">
            <w:pPr>
              <w:spacing w:line="280" w:lineRule="atLeast"/>
              <w:rPr>
                <w:rFonts w:eastAsia="Times New Roman" w:cs="Arial"/>
                <w:bCs/>
                <w:sz w:val="18"/>
                <w:szCs w:val="20"/>
                <w:lang w:val="de-CH"/>
              </w:rPr>
            </w:pPr>
            <w:r w:rsidRPr="0089670B">
              <w:rPr>
                <w:rFonts w:eastAsia="Times New Roman" w:cs="Arial"/>
                <w:sz w:val="18"/>
                <w:lang w:val="de-CH"/>
              </w:rPr>
              <w:t>b) Massnahmen des PSKF</w:t>
            </w:r>
            <w:r w:rsidRPr="0089670B">
              <w:rPr>
                <w:rFonts w:eastAsia="Times New Roman" w:cs="Arial"/>
                <w:b w:val="0"/>
                <w:bCs/>
                <w:sz w:val="18"/>
                <w:lang w:val="de-CH"/>
              </w:rPr>
              <w:br/>
              <w:t>- Zusammenlegung gewisser Aufgaben in sonder- und sozialpädagogischen Institutionen</w:t>
            </w:r>
            <w:r w:rsidRPr="0089670B">
              <w:rPr>
                <w:rFonts w:eastAsia="Times New Roman" w:cs="Arial"/>
                <w:b w:val="0"/>
                <w:bCs/>
                <w:sz w:val="18"/>
                <w:lang w:val="de-CH"/>
              </w:rPr>
              <w:br/>
              <w:t>- Änderung der Berechnungsweise für die Verwaltungskosten der ORS</w:t>
            </w:r>
            <w:r w:rsidRPr="0089670B">
              <w:rPr>
                <w:rFonts w:eastAsia="Times New Roman" w:cs="Arial"/>
                <w:b w:val="0"/>
                <w:bCs/>
                <w:sz w:val="18"/>
                <w:lang w:val="de-CH"/>
              </w:rPr>
              <w:br/>
            </w:r>
            <w:r w:rsidRPr="0089670B">
              <w:rPr>
                <w:rFonts w:eastAsia="Times New Roman" w:cs="Arial"/>
                <w:b w:val="0"/>
                <w:bCs/>
                <w:sz w:val="18"/>
                <w:lang w:val="de-CH"/>
              </w:rPr>
              <w:lastRenderedPageBreak/>
              <w:t>- Redimensionierung der Projekte im Zusammenhang mit der Gesundheitsförderung</w:t>
            </w:r>
            <w:r w:rsidRPr="0089670B">
              <w:rPr>
                <w:rFonts w:eastAsia="Times New Roman" w:cs="Arial"/>
                <w:b w:val="0"/>
                <w:bCs/>
                <w:sz w:val="18"/>
                <w:lang w:val="de-CH"/>
              </w:rPr>
              <w:br/>
              <w:t>- Höhere Kostenbeteiligung der Eltern bei Internatsunterbringung in sonderpädagogischen Einrichtungen</w:t>
            </w:r>
            <w:r w:rsidRPr="0089670B">
              <w:rPr>
                <w:rFonts w:eastAsia="Times New Roman" w:cs="Arial"/>
                <w:b w:val="0"/>
                <w:bCs/>
                <w:sz w:val="18"/>
                <w:lang w:val="de-CH"/>
              </w:rPr>
              <w:br/>
              <w:t>- Kürzung der Beihilfen im Bereich der Kontrolle von Fleisch aus Schlachthöfen</w:t>
            </w:r>
            <w:r w:rsidRPr="0089670B">
              <w:rPr>
                <w:rFonts w:eastAsia="Times New Roman" w:cs="Arial"/>
                <w:b w:val="0"/>
                <w:bCs/>
                <w:sz w:val="18"/>
                <w:lang w:val="de-CH"/>
              </w:rPr>
              <w:br/>
              <w:t>- Änderung der Subventionierung der Dienste für Hilfe und Pflege zu Hause</w:t>
            </w:r>
            <w:r w:rsidRPr="0089670B">
              <w:rPr>
                <w:rFonts w:eastAsia="Times New Roman" w:cs="Arial"/>
                <w:b w:val="0"/>
                <w:bCs/>
                <w:sz w:val="18"/>
                <w:lang w:val="de-CH"/>
              </w:rPr>
              <w:br/>
              <w:t>- Stabilisierung der GWL und weiterer Leistungen beim HFR und Begrenzung der GWL beim FNPG</w:t>
            </w:r>
            <w:r w:rsidRPr="0089670B">
              <w:rPr>
                <w:rFonts w:eastAsia="Times New Roman" w:cs="Arial"/>
                <w:b w:val="0"/>
                <w:bCs/>
                <w:sz w:val="18"/>
                <w:lang w:val="de-CH"/>
              </w:rPr>
              <w:br/>
              <w:t>- Sonder- und sozialpädagogische Institutionen – Selbstfinanzierung der Therapiestelle physioergo (Buissonnet)</w:t>
            </w:r>
            <w:r w:rsidRPr="0089670B">
              <w:rPr>
                <w:rFonts w:eastAsia="Times New Roman" w:cs="Arial"/>
                <w:b w:val="0"/>
                <w:bCs/>
                <w:sz w:val="18"/>
                <w:lang w:val="de-CH"/>
              </w:rPr>
              <w:br/>
              <w:t>- Streichung der Beihilfe für den Bau von Gebäuden für kulturelle Zwecke</w:t>
            </w:r>
            <w:r w:rsidRPr="0089670B">
              <w:rPr>
                <w:rFonts w:eastAsia="Times New Roman" w:cs="Arial"/>
                <w:b w:val="0"/>
                <w:bCs/>
                <w:sz w:val="18"/>
                <w:lang w:val="de-CH"/>
              </w:rPr>
              <w:br/>
              <w:t xml:space="preserve">- Kürzung von Förderbeihilfen für die Landwirtschaft </w:t>
            </w:r>
            <w:r w:rsidRPr="0089670B">
              <w:rPr>
                <w:rFonts w:eastAsia="Times New Roman" w:cs="Arial"/>
                <w:b w:val="0"/>
                <w:bCs/>
                <w:sz w:val="18"/>
                <w:lang w:val="de-CH"/>
              </w:rPr>
              <w:br/>
              <w:t>- Kürzung der Subventionen für Bodenverbesserungen</w:t>
            </w:r>
            <w:r w:rsidRPr="0089670B">
              <w:rPr>
                <w:rFonts w:eastAsia="Times New Roman" w:cs="Arial"/>
                <w:b w:val="0"/>
                <w:bCs/>
                <w:sz w:val="18"/>
                <w:lang w:val="de-CH"/>
              </w:rPr>
              <w:br/>
              <w:t>- Kürzung der Subventionen für nachhaltige Entwicklung</w:t>
            </w:r>
            <w:r w:rsidRPr="0089670B">
              <w:rPr>
                <w:rFonts w:eastAsia="Times New Roman" w:cs="Arial"/>
                <w:b w:val="0"/>
                <w:bCs/>
                <w:sz w:val="18"/>
                <w:lang w:val="de-CH"/>
              </w:rPr>
              <w:br/>
              <w:t>- Kürzung der Subventionen für den Klimaplan</w:t>
            </w:r>
            <w:r w:rsidRPr="0089670B">
              <w:rPr>
                <w:rFonts w:eastAsia="Times New Roman" w:cs="Arial"/>
                <w:b w:val="0"/>
                <w:bCs/>
                <w:sz w:val="18"/>
                <w:lang w:val="de-CH"/>
              </w:rPr>
              <w:br/>
              <w:t>- Kürzung der Subventionen für die Tourismusförderung</w:t>
            </w:r>
            <w:r w:rsidRPr="0089670B">
              <w:rPr>
                <w:rFonts w:eastAsia="Times New Roman" w:cs="Arial"/>
                <w:b w:val="0"/>
                <w:bCs/>
                <w:sz w:val="18"/>
                <w:lang w:val="de-CH"/>
              </w:rPr>
              <w:br/>
              <w:t>- Verzicht auf mögliche Subventionen</w:t>
            </w:r>
            <w:r w:rsidRPr="0089670B">
              <w:rPr>
                <w:rFonts w:eastAsia="Times New Roman" w:cs="Arial"/>
                <w:b w:val="0"/>
                <w:bCs/>
                <w:sz w:val="18"/>
                <w:lang w:val="de-CH"/>
              </w:rPr>
              <w:br/>
              <w:t>- Kürzung des Subventionssatzes für multimodale Plattformen</w:t>
            </w:r>
            <w:r w:rsidRPr="0089670B">
              <w:rPr>
                <w:rFonts w:eastAsia="Times New Roman" w:cs="Arial"/>
                <w:b w:val="0"/>
                <w:bCs/>
                <w:sz w:val="18"/>
                <w:lang w:val="de-CH"/>
              </w:rPr>
              <w:br/>
              <w:t>- Kürzung des Budgets für verschiedene Unterstützungsmassnahmen für Unternehmen</w:t>
            </w:r>
            <w:r w:rsidRPr="0089670B">
              <w:rPr>
                <w:rFonts w:eastAsia="Times New Roman" w:cs="Arial"/>
                <w:b w:val="0"/>
                <w:bCs/>
                <w:sz w:val="18"/>
                <w:lang w:val="de-CH"/>
              </w:rPr>
              <w:br/>
              <w:t>- Kürzung der Auslandhilfe</w:t>
            </w:r>
          </w:p>
        </w:tc>
      </w:tr>
    </w:tbl>
    <w:p w14:paraId="51374C94" w14:textId="605EDCFC" w:rsidR="00B84E83" w:rsidRPr="00AF0D63" w:rsidRDefault="00AF0D63" w:rsidP="00D350C8">
      <w:pPr>
        <w:pStyle w:val="Listealphabtique"/>
        <w:numPr>
          <w:ilvl w:val="0"/>
          <w:numId w:val="31"/>
        </w:numPr>
        <w:ind w:left="426" w:hanging="426"/>
        <w:rPr>
          <w:b/>
          <w:bCs/>
          <w:lang w:val="de-CH"/>
        </w:rPr>
      </w:pPr>
      <w:r w:rsidRPr="0089670B">
        <w:rPr>
          <w:rFonts w:ascii="Times New Roman" w:eastAsia="Times New Roman" w:hAnsi="Times New Roman" w:cs="Times New Roman"/>
          <w:b/>
          <w:lang w:val="de-CH"/>
        </w:rPr>
        <w:lastRenderedPageBreak/>
        <w:t>Zu</w:t>
      </w:r>
      <w:r>
        <w:rPr>
          <w:rFonts w:ascii="Times New Roman" w:eastAsia="Times New Roman" w:hAnsi="Times New Roman" w:cs="Times New Roman"/>
          <w:b/>
          <w:lang w:val="de-CH"/>
        </w:rPr>
        <w:t>r</w:t>
      </w:r>
      <w:r w:rsidRPr="0089670B">
        <w:rPr>
          <w:rFonts w:ascii="Times New Roman" w:eastAsia="Times New Roman" w:hAnsi="Times New Roman" w:cs="Times New Roman"/>
          <w:b/>
          <w:lang w:val="de-CH"/>
        </w:rPr>
        <w:t xml:space="preserve"> Einhaltung des Finanzplans notwendige Massnahmen</w:t>
      </w:r>
    </w:p>
    <w:p w14:paraId="13DA5654" w14:textId="77777777" w:rsidR="00AF0D63" w:rsidRPr="0089670B" w:rsidRDefault="00D350C8" w:rsidP="00AF0D63">
      <w:pPr>
        <w:contextualSpacing/>
        <w:rPr>
          <w:rFonts w:ascii="Times New Roman" w:eastAsia="Times New Roman" w:hAnsi="Times New Roman" w:cs="Times New Roman"/>
          <w:b/>
          <w:bCs/>
          <w:lang w:val="de-CH"/>
        </w:rPr>
      </w:pPr>
      <w:r w:rsidRPr="00AF0D63">
        <w:rPr>
          <w:b/>
          <w:bCs/>
          <w:lang w:val="de-CH"/>
        </w:rPr>
        <w:t>&gt;</w:t>
      </w:r>
      <w:r w:rsidRPr="00AF0D63">
        <w:rPr>
          <w:b/>
          <w:bCs/>
          <w:lang w:val="de-CH"/>
        </w:rPr>
        <w:tab/>
      </w:r>
      <w:r w:rsidR="00AF0D63" w:rsidRPr="0089670B">
        <w:rPr>
          <w:rFonts w:ascii="Times New Roman" w:eastAsia="Times New Roman" w:hAnsi="Times New Roman" w:cs="Times New Roman"/>
          <w:b/>
          <w:lang w:val="de-CH"/>
        </w:rPr>
        <w:t>Hinauszögerung von Investitionen und Erneuerungsarbeiten in den sonder- und sozialpädagogischen Institutionen</w:t>
      </w:r>
    </w:p>
    <w:p w14:paraId="3A2E8705" w14:textId="77777777"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Aufschub der Investitions- und Erneuerungsvorhaben betreffend die sonder- und sozialpädagogischen Institutionen bis 2029 zur Eindämmung der Finanzierungskosten (Zinsen und Abschreibungen) für Bau und Renovierung von freiburgischen sonder- und sozialpädagogischen Institutionen. Bereits gestartete Projekte und Projekte in Zusammenhang mit den neuen Plätzen sind von der Massnahme nicht betroffen. Diese Kosten werden zumindest teilweise, auf die kommenden Jahre überwälzt. Diese Massnahme erfordert den Verzicht auf rund 10 Bau- und/oder Erneuerungsvorhaben. Diese Vorhaben werden zu 45 % vom Staat und zu 55 % von den Gemeinden finanziert.</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77C4EE0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5FE8EA1"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31B278BA"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26CE40ED"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519D9744"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25C0FD5F"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46328BB9"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8ECEF3E"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14A2EFDF"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349 000</w:t>
            </w:r>
          </w:p>
        </w:tc>
        <w:tc>
          <w:tcPr>
            <w:tcW w:w="833" w:type="pct"/>
          </w:tcPr>
          <w:p w14:paraId="49D90964"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515 000</w:t>
            </w:r>
          </w:p>
        </w:tc>
        <w:tc>
          <w:tcPr>
            <w:tcW w:w="833" w:type="pct"/>
          </w:tcPr>
          <w:p w14:paraId="264A10D4"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846 000</w:t>
            </w:r>
          </w:p>
        </w:tc>
        <w:tc>
          <w:tcPr>
            <w:tcW w:w="831" w:type="pct"/>
          </w:tcPr>
          <w:p w14:paraId="02746425"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1 710 000</w:t>
            </w:r>
          </w:p>
        </w:tc>
      </w:tr>
      <w:tr w:rsidR="00AF0D63" w:rsidRPr="0089670B" w14:paraId="015388A7"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C271F77"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3EEC7E3"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426</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1A771706"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630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65BB0690"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034</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1" w:type="pct"/>
          </w:tcPr>
          <w:p w14:paraId="52F7A3CB"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2</w:t>
            </w:r>
            <w:r w:rsidRPr="0089670B">
              <w:rPr>
                <w:rFonts w:eastAsia="Times New Roman" w:cs="Arial"/>
                <w:color w:val="000000"/>
                <w:sz w:val="18"/>
                <w:lang w:val="de-CH"/>
              </w:rPr>
              <w:t> </w:t>
            </w:r>
            <w:r w:rsidRPr="0089670B">
              <w:rPr>
                <w:rFonts w:eastAsia="Times New Roman" w:cs="Arial"/>
                <w:b w:val="0"/>
                <w:bCs/>
                <w:color w:val="000000"/>
                <w:sz w:val="18"/>
                <w:lang w:val="de-CH"/>
              </w:rPr>
              <w:t>090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7CAE2357" w14:textId="77777777" w:rsidR="00AF0D63" w:rsidRPr="0089670B" w:rsidRDefault="00AF0D63" w:rsidP="00AF0D63">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Kein Ausgleich der Kürzung der Finanzhilfen des Bundes im Umweltbereich</w:t>
      </w:r>
    </w:p>
    <w:p w14:paraId="3F8EB50C" w14:textId="77292149"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Verzicht auf den Ausgleich der Kürzung der Finanzhilfen des Bundes im Umweltbereich. Der Bund sieht hier Sparmassnahmen mit einer zehnprozentigen Kürzung der Beiträge ab 2026 vor. Diese Kürzung wird nicht ausgeglichen. </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0EC173CE"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0C456B6"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673F7DA6"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09C43AF9"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8172AFD"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3BD8FF28"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0E20750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E846A3F"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28ECC682"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1 320 000</w:t>
            </w:r>
          </w:p>
        </w:tc>
        <w:tc>
          <w:tcPr>
            <w:tcW w:w="833" w:type="pct"/>
          </w:tcPr>
          <w:p w14:paraId="1E8837FB"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1 320 000</w:t>
            </w:r>
          </w:p>
        </w:tc>
        <w:tc>
          <w:tcPr>
            <w:tcW w:w="833" w:type="pct"/>
          </w:tcPr>
          <w:p w14:paraId="6AD847FC"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1 320 000</w:t>
            </w:r>
          </w:p>
        </w:tc>
        <w:tc>
          <w:tcPr>
            <w:tcW w:w="831" w:type="pct"/>
          </w:tcPr>
          <w:p w14:paraId="064E8A68"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3 960 000</w:t>
            </w:r>
          </w:p>
        </w:tc>
      </w:tr>
      <w:tr w:rsidR="00AF0D63" w:rsidRPr="0089670B" w14:paraId="35F6B5C5"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E3543D7"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C78437B"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1CC19E40"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AE0CB8D"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1" w:type="pct"/>
          </w:tcPr>
          <w:p w14:paraId="2CEDB2F2"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4A827D3" w14:textId="77777777" w:rsidR="00AF0D63" w:rsidRPr="0089670B" w:rsidRDefault="00AF0D63" w:rsidP="00AF0D63">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VZÄ-Quote für das Pflegepersonal in den Pflegeheimen</w:t>
      </w:r>
    </w:p>
    <w:p w14:paraId="520C9AA6" w14:textId="51C51B3A"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Mit dieser Massnahme wird für die Berechnung der zulässigen Personaldotation gemäss der Verordnung vom 3.</w:t>
      </w:r>
      <w:r w:rsidR="00B64C9E">
        <w:rPr>
          <w:rFonts w:ascii="Times New Roman" w:eastAsia="Times New Roman" w:hAnsi="Times New Roman" w:cs="Times New Roman"/>
          <w:lang w:val="de-CH"/>
        </w:rPr>
        <w:t> </w:t>
      </w:r>
      <w:r w:rsidRPr="0089670B">
        <w:rPr>
          <w:rFonts w:ascii="Times New Roman" w:eastAsia="Times New Roman" w:hAnsi="Times New Roman" w:cs="Times New Roman"/>
          <w:lang w:val="de-CH"/>
        </w:rPr>
        <w:t>Dezember 2013 über die Ermittlung des Pflege- und Betreuungsbedarfs die Zeit für die Pflege der Bewohnerinnen und Bewohner von derzeit 1772.40 Stunden auf 1806 Stunden pro Vollzeit-Personaleinheit erhöht.</w:t>
      </w:r>
    </w:p>
    <w:p w14:paraId="4895B9B5" w14:textId="0C5661A1" w:rsidR="00AF0D63" w:rsidRPr="0089670B" w:rsidRDefault="006C6ADA" w:rsidP="00AF0D63">
      <w:pPr>
        <w:rPr>
          <w:rFonts w:ascii="Times New Roman" w:eastAsia="Times New Roman" w:hAnsi="Times New Roman" w:cs="Times New Roman"/>
          <w:lang w:val="de-CH"/>
        </w:rPr>
      </w:pPr>
      <w:r>
        <w:rPr>
          <w:rFonts w:ascii="Times New Roman" w:eastAsia="Times New Roman" w:hAnsi="Times New Roman" w:cs="Times New Roman"/>
          <w:lang w:val="de-CH"/>
        </w:rPr>
        <w:t>Die Berechnung basiert auf der</w:t>
      </w:r>
      <w:r w:rsidR="00AF0D63" w:rsidRPr="0089670B">
        <w:rPr>
          <w:rFonts w:ascii="Times New Roman" w:eastAsia="Times New Roman" w:hAnsi="Times New Roman" w:cs="Times New Roman"/>
          <w:lang w:val="de-CH"/>
        </w:rPr>
        <w:t xml:space="preserve"> jährliche</w:t>
      </w:r>
      <w:r>
        <w:rPr>
          <w:rFonts w:ascii="Times New Roman" w:eastAsia="Times New Roman" w:hAnsi="Times New Roman" w:cs="Times New Roman"/>
          <w:lang w:val="de-CH"/>
        </w:rPr>
        <w:t>n</w:t>
      </w:r>
      <w:r w:rsidR="00AF0D63" w:rsidRPr="0089670B">
        <w:rPr>
          <w:rFonts w:ascii="Times New Roman" w:eastAsia="Times New Roman" w:hAnsi="Times New Roman" w:cs="Times New Roman"/>
          <w:lang w:val="de-CH"/>
        </w:rPr>
        <w:t xml:space="preserve"> Arbeitszeit (42 Stunden pro Woche), abzüglich Ferien, Feiertage, Weiterbildungstage sowie tägliche Ankleidezeit. Die neue Zahl der Pflegestunden pro Vollzeit-Personaleinheit hängt mit den Modalitäten für die Stellvertretung von Pflegepersonal zur Sicherstellung der Mindestpflegezeit für die Bewohnerinnen und Bewohner bei krankheits- oder unfallbedingten Ausfällen zusammen.</w:t>
      </w:r>
    </w:p>
    <w:p w14:paraId="330221B5" w14:textId="0557CCFB"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lastRenderedPageBreak/>
        <w:t>Diese Änderung führt zu einer Verringerung des Personalbestands um etwa 1 VZÄ in einem Pflegeheim mit 100</w:t>
      </w:r>
      <w:r w:rsidR="00B64C9E">
        <w:rPr>
          <w:rFonts w:ascii="Times New Roman" w:eastAsia="Times New Roman" w:hAnsi="Times New Roman" w:cs="Times New Roman"/>
          <w:lang w:val="de-CH"/>
        </w:rPr>
        <w:t> </w:t>
      </w:r>
      <w:r w:rsidRPr="0089670B">
        <w:rPr>
          <w:rFonts w:ascii="Times New Roman" w:eastAsia="Times New Roman" w:hAnsi="Times New Roman" w:cs="Times New Roman"/>
          <w:lang w:val="de-CH"/>
        </w:rPr>
        <w:t>Betten und damit zu einer Senkung der Pflegekosten bei gleichbleibender Pflegezeit.</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13384ABB"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3D3E522"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30A3507"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59A101C4"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10CDAD33"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3D7A2DB5"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5CE3C8DF"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1979078"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E8E2FB2"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885 000</w:t>
            </w:r>
          </w:p>
        </w:tc>
        <w:tc>
          <w:tcPr>
            <w:tcW w:w="833" w:type="pct"/>
          </w:tcPr>
          <w:p w14:paraId="0FC8B348"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885 000</w:t>
            </w:r>
          </w:p>
        </w:tc>
        <w:tc>
          <w:tcPr>
            <w:tcW w:w="833" w:type="pct"/>
          </w:tcPr>
          <w:p w14:paraId="21928F0D"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885 000</w:t>
            </w:r>
          </w:p>
        </w:tc>
        <w:tc>
          <w:tcPr>
            <w:tcW w:w="831" w:type="pct"/>
          </w:tcPr>
          <w:p w14:paraId="0E869A8D"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2 655 000</w:t>
            </w:r>
          </w:p>
        </w:tc>
      </w:tr>
      <w:tr w:rsidR="00AF0D63" w:rsidRPr="0089670B" w14:paraId="1FDBA435"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99DEEF3"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AE4B53F"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080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30A0AFB"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080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5353F189"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080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1" w:type="pct"/>
          </w:tcPr>
          <w:p w14:paraId="5665F101"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3</w:t>
            </w:r>
            <w:r w:rsidRPr="0089670B">
              <w:rPr>
                <w:rFonts w:eastAsia="Times New Roman" w:cs="Arial"/>
                <w:color w:val="000000"/>
                <w:sz w:val="18"/>
                <w:lang w:val="de-CH"/>
              </w:rPr>
              <w:t> </w:t>
            </w:r>
            <w:r w:rsidRPr="0089670B">
              <w:rPr>
                <w:rFonts w:eastAsia="Times New Roman" w:cs="Arial"/>
                <w:b w:val="0"/>
                <w:bCs/>
                <w:color w:val="000000"/>
                <w:sz w:val="18"/>
                <w:lang w:val="de-CH"/>
              </w:rPr>
              <w:t>240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48374DDC" w14:textId="77777777" w:rsidR="00AF0D63" w:rsidRPr="0089670B" w:rsidRDefault="00AF0D63" w:rsidP="00AF0D63">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Erhöhung der VZÄ-Quote und geringere Dotierung für die Betreuung in den Pflegeheimen</w:t>
      </w:r>
    </w:p>
    <w:p w14:paraId="0CB2CB24" w14:textId="77777777"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Nach den gleichen Grundsätzen wie bei der vorangegangenen Massnahme (Erhöhung der VZÄ-Quote für das Pflegepersonal in den Pflegeheimen) wird auch die Zeit für die Betreuung der Bewohnerinnen und Bewohner von derzeit 1772.40 Stunden auf 1806 Stunden pro Vollzeit-Personaleinheit erhöht.</w:t>
      </w:r>
    </w:p>
    <w:p w14:paraId="4227CBDE" w14:textId="77777777"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Diese Änderung führt zu einer Verringerung des Personalbestands um etwa 1 VZÄ in einem Pflegeheim mit 100 Betten und damit zu einer Senkung der Betreuungskosten bei gleichbleibender Betreuungszeit. Personen im Pflegeheim, die genügend eigene Mittel haben, werden pro Tag weniger bezahlen. Für die übrigen wird es weniger Subventionen für die Betreuungskosten geben.</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24FB5D05"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BC4C870"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174A1A6D"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0E481BF"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9522E11"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50BE060F"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3DC99F3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A2C4E0D"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0BB1C44"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1 310 000</w:t>
            </w:r>
          </w:p>
        </w:tc>
        <w:tc>
          <w:tcPr>
            <w:tcW w:w="833" w:type="pct"/>
          </w:tcPr>
          <w:p w14:paraId="55384AD9"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1 310 000</w:t>
            </w:r>
          </w:p>
        </w:tc>
        <w:tc>
          <w:tcPr>
            <w:tcW w:w="833" w:type="pct"/>
          </w:tcPr>
          <w:p w14:paraId="6B9C4145"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1 310 000</w:t>
            </w:r>
          </w:p>
        </w:tc>
        <w:tc>
          <w:tcPr>
            <w:tcW w:w="831" w:type="pct"/>
          </w:tcPr>
          <w:p w14:paraId="6480D71F"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3 930 000</w:t>
            </w:r>
          </w:p>
        </w:tc>
      </w:tr>
      <w:tr w:rsidR="00AF0D63" w:rsidRPr="0089670B" w14:paraId="6C4FF961"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AED2052"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75FDDDDA"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600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734DBF9"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600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31E7A8F6"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600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1" w:type="pct"/>
          </w:tcPr>
          <w:p w14:paraId="1F49C67A"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4</w:t>
            </w:r>
            <w:r w:rsidRPr="0089670B">
              <w:rPr>
                <w:rFonts w:eastAsia="Times New Roman" w:cs="Arial"/>
                <w:color w:val="000000"/>
                <w:sz w:val="18"/>
                <w:lang w:val="de-CH"/>
              </w:rPr>
              <w:t> </w:t>
            </w:r>
            <w:r w:rsidRPr="0089670B">
              <w:rPr>
                <w:rFonts w:eastAsia="Times New Roman" w:cs="Arial"/>
                <w:b w:val="0"/>
                <w:bCs/>
                <w:color w:val="000000"/>
                <w:sz w:val="18"/>
                <w:lang w:val="de-CH"/>
              </w:rPr>
              <w:t>800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531EEDE1" w14:textId="77777777" w:rsidR="00AF0D63" w:rsidRPr="0089670B" w:rsidRDefault="00AF0D63" w:rsidP="00AF0D63">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Einfrieren der Betriebskostenbeiträge (ohne Löhne) an die sonder- und sozialpädagogischen Institutionen</w:t>
      </w:r>
    </w:p>
    <w:p w14:paraId="6498C374" w14:textId="2AB60E21"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Einfrieren der Betriebskostenbeiträge (ohne Löhne) an die sonder- und sozialpädagogischen Institutionen auf dem gegenwärtigen Stand. Bei einem Grossteil der subventionierten Kosten in den sonder- und sozialpädagogischen Institutionen des Kantons Freiburg (Behinderung, Sucht, Minderjährige, junge Erwachsene) handelt es sich um Lohnkosten, die nicht Teil dieser Massnahme sind. Für die anderen Kosten wird in den kommenden drei Jahren keine Beitragserhöhung gewährt. Die Ziele lassen sich durch Hinauszögern oder Zurückstellen von Investitionen (z. B. IT, Fahrzeuge oder Maschinen), einnahmenseitige Massnahmen (Parkgebühren in Institutionen, die noch keine haben), Anpassung der Essenspreise, Überarbeiten der Preise in den Werkstätten), Massnahmen, die die Leistungsempfängerinnen und -empfänger treffen (verschiedene Preisanpassungen, z.</w:t>
      </w:r>
      <w:r w:rsidR="00B64C9E">
        <w:rPr>
          <w:rFonts w:ascii="Times New Roman" w:eastAsia="Times New Roman" w:hAnsi="Times New Roman" w:cs="Times New Roman"/>
          <w:lang w:val="de-CH"/>
        </w:rPr>
        <w:t> </w:t>
      </w:r>
      <w:r w:rsidRPr="0089670B">
        <w:rPr>
          <w:rFonts w:ascii="Times New Roman" w:eastAsia="Times New Roman" w:hAnsi="Times New Roman" w:cs="Times New Roman"/>
          <w:lang w:val="de-CH"/>
        </w:rPr>
        <w:t>B. Transport, oder Einstellung von Angeboten mit geringer Auslastung. Diese Beiträge werden zu 45 % vom Staat und zu 55 % von den Gemeinden finanziert.</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372123FB"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38F1680"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335F12C7"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16033CF"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2B06C08"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052D54F6"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0195308B"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D6E1A05"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3E8F061"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188 000</w:t>
            </w:r>
          </w:p>
        </w:tc>
        <w:tc>
          <w:tcPr>
            <w:tcW w:w="833" w:type="pct"/>
          </w:tcPr>
          <w:p w14:paraId="2A5AACC8"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432 000</w:t>
            </w:r>
          </w:p>
        </w:tc>
        <w:tc>
          <w:tcPr>
            <w:tcW w:w="833" w:type="pct"/>
          </w:tcPr>
          <w:p w14:paraId="73A32B93"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692 000</w:t>
            </w:r>
          </w:p>
        </w:tc>
        <w:tc>
          <w:tcPr>
            <w:tcW w:w="831" w:type="pct"/>
          </w:tcPr>
          <w:p w14:paraId="55CBAC13"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1 312 000</w:t>
            </w:r>
          </w:p>
        </w:tc>
      </w:tr>
      <w:tr w:rsidR="00AF0D63" w:rsidRPr="0089670B" w14:paraId="3CA2EB88"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373FD97"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23D4736F"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230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85D25A5"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527</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1879E6E3"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846</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1" w:type="pct"/>
          </w:tcPr>
          <w:p w14:paraId="179B51EF"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603</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5132929A" w14:textId="77777777" w:rsidR="00AF0D63" w:rsidRPr="0089670B" w:rsidRDefault="00AF0D63" w:rsidP="00AF0D63">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der Landwirtschaftsbeihilfen (Öko- und Landschaftsqualität)</w:t>
      </w:r>
    </w:p>
    <w:p w14:paraId="1C2F01C1" w14:textId="651DB7E1"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Keine Kompensation der Kürzung des Bundesbeitrags für Direktzahlungen für Öko- und Landschaftsqualität. Mit der Kürzung der Finanzierung des Bundes verringert sich der Beitrag von 90 % auf 50 %, also für den Kanton Freiburg um jährlich 7,2 Millionen Franken. Der Staat wird diese Kürzung nicht ausgleichen</w:t>
      </w:r>
      <w:r w:rsidR="00737DF7">
        <w:rPr>
          <w:rFonts w:ascii="Times New Roman" w:eastAsia="Times New Roman" w:hAnsi="Times New Roman" w:cs="Times New Roman"/>
          <w:lang w:val="de-CH"/>
        </w:rPr>
        <w:t>, die nicht vor 2027 erfolgen wird</w:t>
      </w:r>
      <w:r w:rsidRPr="0089670B">
        <w:rPr>
          <w:rFonts w:ascii="Times New Roman" w:eastAsia="Times New Roman" w:hAnsi="Times New Roman" w:cs="Times New Roman"/>
          <w:lang w:val="de-CH"/>
        </w:rPr>
        <w:t xml:space="preserve">. </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6EF15F6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262FA7D"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3A308226"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1FDC57E"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F8E5CE0"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38DB8A6"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3A220CA9"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CE65EAB"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CCA9505"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32C3C4EC"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7 200 000</w:t>
            </w:r>
          </w:p>
        </w:tc>
        <w:tc>
          <w:tcPr>
            <w:tcW w:w="833" w:type="pct"/>
          </w:tcPr>
          <w:p w14:paraId="1B665EFD"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7 200 000</w:t>
            </w:r>
          </w:p>
        </w:tc>
        <w:tc>
          <w:tcPr>
            <w:tcW w:w="833" w:type="pct"/>
          </w:tcPr>
          <w:p w14:paraId="4156CDCD"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14 400 000</w:t>
            </w:r>
          </w:p>
        </w:tc>
      </w:tr>
      <w:tr w:rsidR="00AF0D63" w:rsidRPr="0089670B" w14:paraId="4A5CA5D7"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74C8B68"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E8CF0B7"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FFB97D0"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1FBDFA7"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6BFE262"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6DAE7AA9" w14:textId="4B64348C" w:rsidR="000772F7" w:rsidRDefault="000772F7" w:rsidP="00AF0D63">
      <w:pPr>
        <w:contextualSpacing/>
        <w:rPr>
          <w:rFonts w:ascii="Times New Roman" w:eastAsia="Times New Roman" w:hAnsi="Times New Roman" w:cs="Times New Roman"/>
          <w:b/>
          <w:lang w:val="de-CH"/>
        </w:rPr>
      </w:pPr>
    </w:p>
    <w:p w14:paraId="5F52F395" w14:textId="7B588909" w:rsidR="00AF0D63" w:rsidRPr="0089670B" w:rsidRDefault="000772F7" w:rsidP="00AF0D63">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lastRenderedPageBreak/>
        <w:t>&gt;</w:t>
      </w:r>
      <w:r w:rsidRPr="0089670B">
        <w:rPr>
          <w:rFonts w:ascii="Times New Roman" w:eastAsia="Times New Roman" w:hAnsi="Times New Roman" w:cs="Times New Roman"/>
          <w:b/>
          <w:lang w:val="de-CH"/>
        </w:rPr>
        <w:tab/>
      </w:r>
      <w:r w:rsidR="00AF0D63" w:rsidRPr="0089670B">
        <w:rPr>
          <w:rFonts w:ascii="Times New Roman" w:eastAsia="Times New Roman" w:hAnsi="Times New Roman" w:cs="Times New Roman"/>
          <w:b/>
          <w:lang w:val="de-CH"/>
        </w:rPr>
        <w:t>Reduktion der Subventionen für die Biodiversität</w:t>
      </w:r>
    </w:p>
    <w:p w14:paraId="0C578A1A" w14:textId="1501A163" w:rsidR="00AF0D63" w:rsidRPr="0089670B" w:rsidRDefault="00AF0D63" w:rsidP="00AF0D63">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Senkung der Subventionen für die </w:t>
      </w:r>
      <w:r w:rsidRPr="000772F7">
        <w:rPr>
          <w:rFonts w:ascii="Times New Roman" w:eastAsia="Times New Roman" w:hAnsi="Times New Roman" w:cs="Times New Roman"/>
          <w:lang w:val="de-CH"/>
        </w:rPr>
        <w:t xml:space="preserve">Biodiversität </w:t>
      </w:r>
      <w:r w:rsidR="00BB51BC" w:rsidRPr="000772F7">
        <w:rPr>
          <w:rFonts w:ascii="Times New Roman" w:eastAsia="Times New Roman" w:hAnsi="Times New Roman" w:cs="Times New Roman"/>
          <w:lang w:val="de-CH"/>
        </w:rPr>
        <w:t xml:space="preserve">zur Einhaltung </w:t>
      </w:r>
      <w:r w:rsidRPr="000772F7">
        <w:rPr>
          <w:rFonts w:ascii="Times New Roman" w:eastAsia="Times New Roman" w:hAnsi="Times New Roman" w:cs="Times New Roman"/>
          <w:lang w:val="de-CH"/>
        </w:rPr>
        <w:t>der letzten Fassung des</w:t>
      </w:r>
      <w:r w:rsidRPr="0089670B">
        <w:rPr>
          <w:rFonts w:ascii="Times New Roman" w:eastAsia="Times New Roman" w:hAnsi="Times New Roman" w:cs="Times New Roman"/>
          <w:lang w:val="de-CH"/>
        </w:rPr>
        <w:t xml:space="preserve"> Finanzplans. Die aufgewendeten Mittel (Rechnung 2023) und vorgesehenen Beträge (Voranschlag 2024 und 2025 und FP 26-28) belaufen sich derzeit auf 11 777 798 Franken. </w:t>
      </w:r>
    </w:p>
    <w:tbl>
      <w:tblPr>
        <w:tblStyle w:val="TableauEtatFR"/>
        <w:tblW w:w="5000" w:type="pct"/>
        <w:tblLook w:val="04E0" w:firstRow="1" w:lastRow="1" w:firstColumn="1" w:lastColumn="0" w:noHBand="0" w:noVBand="1"/>
      </w:tblPr>
      <w:tblGrid>
        <w:gridCol w:w="3312"/>
        <w:gridCol w:w="1653"/>
        <w:gridCol w:w="1653"/>
        <w:gridCol w:w="1653"/>
        <w:gridCol w:w="1649"/>
      </w:tblGrid>
      <w:tr w:rsidR="00AF0D63" w:rsidRPr="0089670B" w14:paraId="691AA005"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559BB4C" w14:textId="77777777" w:rsidR="00AF0D63" w:rsidRPr="0089670B" w:rsidRDefault="00AF0D63"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E7320C3"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1BC9DA1"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BF7D33A"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3D6F1237" w14:textId="77777777" w:rsidR="00AF0D63" w:rsidRPr="0089670B" w:rsidRDefault="00AF0D63"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AF0D63" w:rsidRPr="0089670B" w14:paraId="730F720B"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D79CA11" w14:textId="77777777" w:rsidR="00AF0D63" w:rsidRPr="0089670B" w:rsidRDefault="00AF0D63"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449B762"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2 023 000</w:t>
            </w:r>
          </w:p>
        </w:tc>
        <w:tc>
          <w:tcPr>
            <w:tcW w:w="833" w:type="pct"/>
          </w:tcPr>
          <w:p w14:paraId="1B0CEFD6"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1 584 000</w:t>
            </w:r>
          </w:p>
        </w:tc>
        <w:tc>
          <w:tcPr>
            <w:tcW w:w="833" w:type="pct"/>
          </w:tcPr>
          <w:p w14:paraId="5A59B849"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1 509 000</w:t>
            </w:r>
          </w:p>
        </w:tc>
        <w:tc>
          <w:tcPr>
            <w:tcW w:w="833" w:type="pct"/>
          </w:tcPr>
          <w:p w14:paraId="3EFFB6AA" w14:textId="77777777" w:rsidR="00AF0D63" w:rsidRPr="0089670B" w:rsidRDefault="00AF0D63"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5 116 000</w:t>
            </w:r>
          </w:p>
        </w:tc>
      </w:tr>
      <w:tr w:rsidR="00AF0D63" w:rsidRPr="0089670B" w14:paraId="479AF11D"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2970B7B" w14:textId="77777777" w:rsidR="00AF0D63" w:rsidRPr="0089670B" w:rsidRDefault="00AF0D63"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7A02E58"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71EDCCF"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609A7D2"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B780D16" w14:textId="77777777" w:rsidR="00AF0D63" w:rsidRPr="0089670B" w:rsidRDefault="00AF0D63"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35111B1C" w14:textId="1E20C393" w:rsidR="00363534" w:rsidRPr="00FE3A13" w:rsidRDefault="00363534" w:rsidP="00AF0D63">
      <w:pPr>
        <w:pStyle w:val="Listealphabtique"/>
        <w:numPr>
          <w:ilvl w:val="0"/>
          <w:numId w:val="0"/>
        </w:numPr>
      </w:pPr>
    </w:p>
    <w:p w14:paraId="0B800166" w14:textId="1481A61E" w:rsidR="00D350C8" w:rsidRPr="00FE3A13" w:rsidRDefault="00AF0D63" w:rsidP="00D350C8">
      <w:pPr>
        <w:pStyle w:val="Listealphabtique"/>
        <w:numPr>
          <w:ilvl w:val="0"/>
          <w:numId w:val="31"/>
        </w:numPr>
        <w:ind w:left="426" w:hanging="426"/>
        <w:rPr>
          <w:b/>
          <w:bCs/>
        </w:rPr>
      </w:pPr>
      <w:r w:rsidRPr="0089670B">
        <w:rPr>
          <w:rFonts w:ascii="Times New Roman" w:eastAsia="Times New Roman" w:hAnsi="Times New Roman" w:cs="Times New Roman"/>
          <w:b/>
          <w:lang w:val="de-CH"/>
        </w:rPr>
        <w:t>Massnahmen des PSKF</w:t>
      </w:r>
    </w:p>
    <w:p w14:paraId="04B22640" w14:textId="77777777" w:rsidR="006B26FD" w:rsidRPr="0089670B" w:rsidRDefault="006C6999" w:rsidP="006B26FD">
      <w:pPr>
        <w:contextualSpacing/>
        <w:rPr>
          <w:rFonts w:ascii="Times New Roman" w:eastAsia="Times New Roman" w:hAnsi="Times New Roman" w:cs="Times New Roman"/>
          <w:b/>
          <w:bCs/>
          <w:lang w:val="de-CH"/>
        </w:rPr>
      </w:pPr>
      <w:r w:rsidRPr="006B26FD">
        <w:rPr>
          <w:b/>
          <w:bCs/>
          <w:lang w:val="de-CH"/>
        </w:rPr>
        <w:t>&gt;</w:t>
      </w:r>
      <w:r w:rsidRPr="006B26FD">
        <w:rPr>
          <w:b/>
          <w:bCs/>
          <w:lang w:val="de-CH"/>
        </w:rPr>
        <w:tab/>
      </w:r>
      <w:r w:rsidR="006B26FD" w:rsidRPr="0089670B">
        <w:rPr>
          <w:rFonts w:ascii="Times New Roman" w:eastAsia="Times New Roman" w:hAnsi="Times New Roman" w:cs="Times New Roman"/>
          <w:b/>
          <w:lang w:val="de-CH"/>
        </w:rPr>
        <w:t>Zusammenlegung gewisser Aufgaben in sonder- und sozialpädagogischen Institutionen</w:t>
      </w:r>
    </w:p>
    <w:p w14:paraId="4172290F"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Einige kleine und mittlere Institutionen verfügen über begrenzte Mittel, um einen professionellen und effizienten Service zu gewährleisten, sowohl in administrativer Hinsicht als auch in Bezug auf bestimmte Aspekte der Unternehmensführung.</w:t>
      </w:r>
    </w:p>
    <w:p w14:paraId="539E0D0C" w14:textId="30E0B86F"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Zusammenlegung administrativer Aufgaben oder den Zusammenschluss kleinerer Strukturen in den sonder- und sozialpädagogischen Institutionen. Damit soll eine ausreichende kritische Grösse für eine Effizienzsteigerung in administrativen und/oder technischen Belangen erreicht werden.</w:t>
      </w:r>
      <w:r w:rsidR="00737DF7">
        <w:rPr>
          <w:rFonts w:ascii="Times New Roman" w:eastAsia="Times New Roman" w:hAnsi="Times New Roman" w:cs="Times New Roman"/>
          <w:lang w:val="de-CH"/>
        </w:rPr>
        <w:t xml:space="preserve"> Diese Massnahme kann nicht vor 2027 umgesetzt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06E53C20"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1677513"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903537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FA4BB23"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DAC2A8B"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0E90804"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1338FA68"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34053B9"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5D892B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108283D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160 000</w:t>
            </w:r>
          </w:p>
        </w:tc>
        <w:tc>
          <w:tcPr>
            <w:tcW w:w="833" w:type="pct"/>
          </w:tcPr>
          <w:p w14:paraId="7A0988AD"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160 000</w:t>
            </w:r>
          </w:p>
        </w:tc>
        <w:tc>
          <w:tcPr>
            <w:tcW w:w="833" w:type="pct"/>
          </w:tcPr>
          <w:p w14:paraId="5ACD5B6B"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320 000</w:t>
            </w:r>
          </w:p>
        </w:tc>
      </w:tr>
      <w:tr w:rsidR="006B26FD" w:rsidRPr="0089670B" w14:paraId="31BE74C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BEB15CA"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4AFAE1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2B67BAC"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5DB37516"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489FB3B8"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400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7293F04E"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Änderung der Berechnungsweise für die Verwaltungskosten der ORS</w:t>
      </w:r>
    </w:p>
    <w:p w14:paraId="3076C8A3" w14:textId="68EC1A1A"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Neue Berechnungsmethode für die Verwaltungskosten der ORS vor (Asylbereich). Der Staatsrat hatte beschlossen, die Verwaltungskosten der ORS schrittweise von 8 %</w:t>
      </w:r>
      <w:r w:rsidR="00737DF7">
        <w:rPr>
          <w:rFonts w:ascii="Times New Roman" w:eastAsia="Times New Roman" w:hAnsi="Times New Roman" w:cs="Times New Roman"/>
          <w:lang w:val="de-CH"/>
        </w:rPr>
        <w:t xml:space="preserve"> des Umsatzes</w:t>
      </w:r>
      <w:r w:rsidRPr="0089670B">
        <w:rPr>
          <w:rFonts w:ascii="Times New Roman" w:eastAsia="Times New Roman" w:hAnsi="Times New Roman" w:cs="Times New Roman"/>
          <w:lang w:val="de-CH"/>
        </w:rPr>
        <w:t xml:space="preserve"> im Jahr 2022 bis zu 10 % im Jahr 2026 zu übernehmen. Seit 2020 hat sich die Situation im Asylbereich jedoch erheblich verändert</w:t>
      </w:r>
      <w:r w:rsidR="00737DF7">
        <w:rPr>
          <w:rFonts w:ascii="Times New Roman" w:eastAsia="Times New Roman" w:hAnsi="Times New Roman" w:cs="Times New Roman"/>
          <w:lang w:val="de-CH"/>
        </w:rPr>
        <w:t>, und das Gesamtumsatzvolumen hat sich insgesamt mehr als verdreifacht</w:t>
      </w:r>
      <w:r w:rsidRPr="0089670B">
        <w:rPr>
          <w:rFonts w:ascii="Times New Roman" w:eastAsia="Times New Roman" w:hAnsi="Times New Roman" w:cs="Times New Roman"/>
          <w:lang w:val="de-CH"/>
        </w:rPr>
        <w:t>. Die Verwaltungskosten steigen nicht proportional und profitieren von Skaleneffekten. Diese Kosten werden ab 2027 nach folgendem Prinzip neu verhandelt: 10 % bis zu 50 Millionen Franken</w:t>
      </w:r>
      <w:r w:rsidR="00737DF7">
        <w:rPr>
          <w:rFonts w:ascii="Times New Roman" w:eastAsia="Times New Roman" w:hAnsi="Times New Roman" w:cs="Times New Roman"/>
          <w:lang w:val="de-CH"/>
        </w:rPr>
        <w:t xml:space="preserve"> Umsatz</w:t>
      </w:r>
      <w:r w:rsidRPr="0089670B">
        <w:rPr>
          <w:rFonts w:ascii="Times New Roman" w:eastAsia="Times New Roman" w:hAnsi="Times New Roman" w:cs="Times New Roman"/>
          <w:lang w:val="de-CH"/>
        </w:rPr>
        <w:t>, dann 5 %.</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2CFC0E58"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7FBE90F"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7628C81A"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5917D9E"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98CC6BB"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78B0AD7A"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51F349B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CBF0488"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271DC8F3"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3CB2C933"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168 000</w:t>
            </w:r>
          </w:p>
        </w:tc>
        <w:tc>
          <w:tcPr>
            <w:tcW w:w="833" w:type="pct"/>
          </w:tcPr>
          <w:p w14:paraId="31DD88D6"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1AD7556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168 000</w:t>
            </w:r>
          </w:p>
        </w:tc>
      </w:tr>
      <w:tr w:rsidR="006B26FD" w:rsidRPr="0089670B" w14:paraId="315D4540"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D5F1B3C"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44A4CA60"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00F4AF34"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5F207B3"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11E4580"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62366491"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Redimensionierung der Projekte im Zusammenhang mit der Gesundheitsförderung</w:t>
      </w:r>
    </w:p>
    <w:p w14:paraId="5BBCF0FB"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Stabilisierung des für die Gesundheitsförderung bereitgestellten Bruttobetrags. Dieser Betrag wird auf 3,3 Millionen Franken begrenzt. </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75867CC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A75B302"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10614E2A"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00004D3F"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6A00EE7"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6568836B"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695A68B8"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36DE77D"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A56705D"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11218458"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180 000</w:t>
            </w:r>
          </w:p>
        </w:tc>
        <w:tc>
          <w:tcPr>
            <w:tcW w:w="833" w:type="pct"/>
          </w:tcPr>
          <w:p w14:paraId="4DDECE4D"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180 000</w:t>
            </w:r>
          </w:p>
        </w:tc>
        <w:tc>
          <w:tcPr>
            <w:tcW w:w="833" w:type="pct"/>
          </w:tcPr>
          <w:p w14:paraId="779D51DC"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460 000</w:t>
            </w:r>
          </w:p>
        </w:tc>
      </w:tr>
      <w:tr w:rsidR="006B26FD" w:rsidRPr="0089670B" w14:paraId="4DBB32C4"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C70482A"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A8D4DA0"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9E7A8D9"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7456FBC"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3DDC7682"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2197655E"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Höhere Kostenbeteiligung der Eltern bei Internatsunterbringung in sonderpädagogischen Einrichtungen</w:t>
      </w:r>
    </w:p>
    <w:p w14:paraId="48188AA9"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Erhöhung des Beitrags der Eltern für die Betreuung von Freiburger Schülerinnen und Schülern mit besonderem Förderbedarf in Internaten sonderpädagogischer Einrichtungen in Freiburg und ausserhalb des Kantons. </w:t>
      </w:r>
      <w:r w:rsidRPr="0089670B">
        <w:rPr>
          <w:rFonts w:ascii="Times New Roman" w:eastAsia="Times New Roman" w:hAnsi="Times New Roman" w:cs="Times New Roman"/>
          <w:lang w:val="de-CH"/>
        </w:rPr>
        <w:lastRenderedPageBreak/>
        <w:t>Dieser Beitrag wird für alle stationären Angebote von 17.50 auf 22.50 Franken pro Übernachtung erhöht. Dies wäre eine Angleichung an den in den Wohnheimen für Minderjährige geltenden Tarif. Diese Leistung wird zu 45 % vom Staat und zu 55 % von den Gemeinden finanziert.</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359DF321"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08C421E"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4FD1791A"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21FAC3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041DB42A"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295530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03AFB743"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7850173"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149555B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29 475</w:t>
            </w:r>
          </w:p>
        </w:tc>
        <w:tc>
          <w:tcPr>
            <w:tcW w:w="833" w:type="pct"/>
          </w:tcPr>
          <w:p w14:paraId="40055AF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29 475</w:t>
            </w:r>
          </w:p>
        </w:tc>
        <w:tc>
          <w:tcPr>
            <w:tcW w:w="833" w:type="pct"/>
          </w:tcPr>
          <w:p w14:paraId="2880872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29 475</w:t>
            </w:r>
          </w:p>
        </w:tc>
        <w:tc>
          <w:tcPr>
            <w:tcW w:w="833" w:type="pct"/>
          </w:tcPr>
          <w:p w14:paraId="65CCFA6B"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88 425</w:t>
            </w:r>
          </w:p>
        </w:tc>
      </w:tr>
      <w:tr w:rsidR="006B26FD" w:rsidRPr="0089670B" w14:paraId="6AABE70D"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7163765"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7A57DE0D"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36</w:t>
            </w:r>
            <w:r w:rsidRPr="0089670B">
              <w:rPr>
                <w:rFonts w:eastAsia="Times New Roman" w:cs="Arial"/>
                <w:color w:val="000000"/>
                <w:sz w:val="18"/>
                <w:lang w:val="de-CH"/>
              </w:rPr>
              <w:t> </w:t>
            </w:r>
            <w:r w:rsidRPr="0089670B">
              <w:rPr>
                <w:rFonts w:eastAsia="Times New Roman" w:cs="Arial"/>
                <w:b w:val="0"/>
                <w:bCs/>
                <w:color w:val="000000"/>
                <w:sz w:val="18"/>
                <w:lang w:val="de-CH"/>
              </w:rPr>
              <w:t>025</w:t>
            </w:r>
          </w:p>
        </w:tc>
        <w:tc>
          <w:tcPr>
            <w:tcW w:w="833" w:type="pct"/>
          </w:tcPr>
          <w:p w14:paraId="17EE9A0D"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36</w:t>
            </w:r>
            <w:r w:rsidRPr="0089670B">
              <w:rPr>
                <w:rFonts w:eastAsia="Times New Roman" w:cs="Arial"/>
                <w:color w:val="000000"/>
                <w:sz w:val="18"/>
                <w:lang w:val="de-CH"/>
              </w:rPr>
              <w:t> </w:t>
            </w:r>
            <w:r w:rsidRPr="0089670B">
              <w:rPr>
                <w:rFonts w:eastAsia="Times New Roman" w:cs="Arial"/>
                <w:b w:val="0"/>
                <w:bCs/>
                <w:color w:val="000000"/>
                <w:sz w:val="18"/>
                <w:lang w:val="de-CH"/>
              </w:rPr>
              <w:t>025</w:t>
            </w:r>
          </w:p>
        </w:tc>
        <w:tc>
          <w:tcPr>
            <w:tcW w:w="833" w:type="pct"/>
          </w:tcPr>
          <w:p w14:paraId="3798ABF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36</w:t>
            </w:r>
            <w:r w:rsidRPr="0089670B">
              <w:rPr>
                <w:rFonts w:eastAsia="Times New Roman" w:cs="Arial"/>
                <w:color w:val="000000"/>
                <w:sz w:val="18"/>
                <w:lang w:val="de-CH"/>
              </w:rPr>
              <w:t> </w:t>
            </w:r>
            <w:r w:rsidRPr="0089670B">
              <w:rPr>
                <w:rFonts w:eastAsia="Times New Roman" w:cs="Arial"/>
                <w:b w:val="0"/>
                <w:bCs/>
                <w:color w:val="000000"/>
                <w:sz w:val="18"/>
                <w:lang w:val="de-CH"/>
              </w:rPr>
              <w:t>025</w:t>
            </w:r>
          </w:p>
        </w:tc>
        <w:tc>
          <w:tcPr>
            <w:tcW w:w="833" w:type="pct"/>
          </w:tcPr>
          <w:p w14:paraId="770A8C0E"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108</w:t>
            </w:r>
            <w:r w:rsidRPr="0089670B">
              <w:rPr>
                <w:rFonts w:eastAsia="Times New Roman" w:cs="Arial"/>
                <w:color w:val="000000"/>
                <w:sz w:val="18"/>
                <w:lang w:val="de-CH"/>
              </w:rPr>
              <w:t> </w:t>
            </w:r>
            <w:r w:rsidRPr="0089670B">
              <w:rPr>
                <w:rFonts w:eastAsia="Times New Roman" w:cs="Arial"/>
                <w:b w:val="0"/>
                <w:bCs/>
                <w:color w:val="000000"/>
                <w:sz w:val="18"/>
                <w:lang w:val="de-CH"/>
              </w:rPr>
              <w:t>075</w:t>
            </w:r>
          </w:p>
        </w:tc>
      </w:tr>
    </w:tbl>
    <w:p w14:paraId="5FCBC233"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der Beihilfen im Bereich der Kontrolle von Fleisch aus Schlachthöfen</w:t>
      </w:r>
    </w:p>
    <w:p w14:paraId="26E60E9F" w14:textId="24CE2856" w:rsidR="006B26FD" w:rsidRPr="0089670B" w:rsidRDefault="006B26FD" w:rsidP="006B26FD">
      <w:pPr>
        <w:rPr>
          <w:rFonts w:ascii="Times New Roman" w:eastAsia="Times New Roman" w:hAnsi="Times New Roman" w:cs="Times New Roman"/>
          <w:sz w:val="20"/>
          <w:szCs w:val="20"/>
          <w:lang w:val="de-CH"/>
        </w:rPr>
      </w:pPr>
      <w:r w:rsidRPr="0089670B">
        <w:rPr>
          <w:rFonts w:ascii="Times New Roman" w:eastAsia="Times New Roman" w:hAnsi="Times New Roman" w:cs="Times New Roman"/>
          <w:lang w:val="de-CH"/>
        </w:rPr>
        <w:t xml:space="preserve">Massnahme: Streichung des Rabatts der Wirtschaftsförderung von 10 % auf die Kosten für die Fleischkontrolle in den </w:t>
      </w:r>
      <w:r w:rsidR="005432E3">
        <w:rPr>
          <w:rFonts w:ascii="Times New Roman" w:eastAsia="Times New Roman" w:hAnsi="Times New Roman" w:cs="Times New Roman"/>
          <w:lang w:val="de-CH"/>
        </w:rPr>
        <w:t>Grossschlachtbetrieben</w:t>
      </w:r>
      <w:r w:rsidRPr="0089670B">
        <w:rPr>
          <w:rFonts w:ascii="Times New Roman" w:eastAsia="Times New Roman" w:hAnsi="Times New Roman" w:cs="Times New Roman"/>
          <w:lang w:val="de-CH"/>
        </w:rPr>
        <w:t>. Die Gebühren sollen im gleichen Verhältnis erhöht werden</w:t>
      </w:r>
      <w:r w:rsidRPr="0089670B">
        <w:rPr>
          <w:rFonts w:ascii="Times New Roman" w:eastAsia="Times New Roman" w:hAnsi="Times New Roman" w:cs="Times New Roman"/>
          <w:sz w:val="20"/>
          <w:lang w:val="de-CH"/>
        </w:rPr>
        <w:t>.</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0DFD974D"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2CBB969"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3C94CE35"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3B791A9"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45BC209"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6F2F8B3D"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30AAA32A"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4A22D6D"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CB5A13C"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337 000</w:t>
            </w:r>
          </w:p>
        </w:tc>
        <w:tc>
          <w:tcPr>
            <w:tcW w:w="833" w:type="pct"/>
          </w:tcPr>
          <w:p w14:paraId="0EF7778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337 000</w:t>
            </w:r>
          </w:p>
        </w:tc>
        <w:tc>
          <w:tcPr>
            <w:tcW w:w="833" w:type="pct"/>
          </w:tcPr>
          <w:p w14:paraId="46B246B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337 000</w:t>
            </w:r>
          </w:p>
        </w:tc>
        <w:tc>
          <w:tcPr>
            <w:tcW w:w="833" w:type="pct"/>
          </w:tcPr>
          <w:p w14:paraId="404EF8C6"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1 011 000</w:t>
            </w:r>
          </w:p>
        </w:tc>
      </w:tr>
      <w:tr w:rsidR="006B26FD" w:rsidRPr="0089670B" w14:paraId="1DDB8BC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D4256EE"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50DA5AE"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799C70C"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175F218"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4D581A5"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0A8D4BC6"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Änderung der Subventionierung der Dienste für Hilfe und Pflege zu Hause</w:t>
      </w:r>
    </w:p>
    <w:p w14:paraId="69A0AA8B"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Änderung bei der Berechnung der Subventionen, die den verschiedenen Spitex-Organisationen gewährt werden. Gegenwärtig werden nach Artikel 29 Abs. 2 des Reglements vom 23. Januar 2018 über die sozialmedizinischen Leistungen bei der Berechnung der kantonalen Subvention lediglich die Einnahmen aus der Verrechnung zulasten der obligatorischen Krankenpflegeversicherung abgezogen. Die Massnahme schlägt vor, bei der Berechnung sämtliche Einnahmen dieser Dienste in Zusammenhang mit der Hilfe und Pflege zu Hause zu berücksichtigen.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0C60996D"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3BB7880"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A0AB6D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814547A"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EF9C36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7EC9522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734B3E9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0EAB18D"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6AA6EF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036F3C8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5D715E81"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400 000</w:t>
            </w:r>
          </w:p>
        </w:tc>
        <w:tc>
          <w:tcPr>
            <w:tcW w:w="833" w:type="pct"/>
          </w:tcPr>
          <w:p w14:paraId="614370CC"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1 200 000</w:t>
            </w:r>
          </w:p>
        </w:tc>
      </w:tr>
      <w:tr w:rsidR="006B26FD" w:rsidRPr="0089670B" w14:paraId="1A1CCE1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8AC0F34"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BCFFF2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400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57C5D0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400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F0991B6"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400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1D27C77D"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1</w:t>
            </w:r>
            <w:r w:rsidRPr="0089670B">
              <w:rPr>
                <w:rFonts w:eastAsia="Times New Roman" w:cs="Arial"/>
                <w:color w:val="000000"/>
                <w:sz w:val="18"/>
                <w:lang w:val="de-CH"/>
              </w:rPr>
              <w:t> </w:t>
            </w:r>
            <w:r w:rsidRPr="0089670B">
              <w:rPr>
                <w:rFonts w:eastAsia="Times New Roman" w:cs="Arial"/>
                <w:b w:val="0"/>
                <w:bCs/>
                <w:color w:val="000000"/>
                <w:sz w:val="18"/>
                <w:lang w:val="de-CH"/>
              </w:rPr>
              <w:t>200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5E1C2838"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Stabilisierung der GWL und weiterer Leistungen beim HFR und Begrenzung der GWL beim FNPG</w:t>
      </w:r>
    </w:p>
    <w:p w14:paraId="793FC595"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Gemeinwirtschaftliche Leistungen (GWL) und andere Leistungen für das HFR auf dem für 2025 budgetierten Betrag halten, unter Berücksichtigung einer Anpassung an die Kostenrechnung in Höhe von rund 1 Million Franken pro Jahr. Die GWL des FNPG sollen ebenfalls stabilisiert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4FA9F3FD"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E8BCBC8"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74158BCC"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9A110A2"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3081D0D"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94F3B7C"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779050B7"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60218FC"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98560D9"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2 589 000</w:t>
            </w:r>
          </w:p>
        </w:tc>
        <w:tc>
          <w:tcPr>
            <w:tcW w:w="833" w:type="pct"/>
          </w:tcPr>
          <w:p w14:paraId="6CE154D9"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2 952 000</w:t>
            </w:r>
          </w:p>
        </w:tc>
        <w:tc>
          <w:tcPr>
            <w:tcW w:w="833" w:type="pct"/>
          </w:tcPr>
          <w:p w14:paraId="1B80F7E1"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2 523 000</w:t>
            </w:r>
          </w:p>
        </w:tc>
        <w:tc>
          <w:tcPr>
            <w:tcW w:w="833" w:type="pct"/>
          </w:tcPr>
          <w:p w14:paraId="3DB22DB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8 064 000</w:t>
            </w:r>
          </w:p>
        </w:tc>
      </w:tr>
      <w:tr w:rsidR="006B26FD" w:rsidRPr="0089670B" w14:paraId="29E4FCE0"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675861F"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5A7470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D5CA372"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5F72653"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25863D28"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0C5F2F1"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Sonder- und sozialpädagogische Institutionen – Selbstfinanzierung der Therapiestelle physioergo (Buissonnets)</w:t>
      </w:r>
    </w:p>
    <w:p w14:paraId="5505F206"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Selbstfinanzierung der Therapiestelle physioergo der Stiftung Les Buissonets. Diese Therapiestelle bietet physiotherapeutische und ergotherapeutische Leistungen an und ist derzeit defizitär. Die Kosten für die Einrichtung müssen durch die Tarife der Krankenversicherer gedeckt werden. Diese Einrichtung wird zu 45 % vom Staat und zu 55 % von den Gemeinden finanziert.</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4579ED4D"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022AE4A"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D852C1E"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68FA4F9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5CB514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43F913D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20DD8A41"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1917B89"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753D2B6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112 500</w:t>
            </w:r>
          </w:p>
        </w:tc>
        <w:tc>
          <w:tcPr>
            <w:tcW w:w="833" w:type="pct"/>
          </w:tcPr>
          <w:p w14:paraId="46B8141F"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112 500</w:t>
            </w:r>
          </w:p>
        </w:tc>
        <w:tc>
          <w:tcPr>
            <w:tcW w:w="833" w:type="pct"/>
          </w:tcPr>
          <w:p w14:paraId="1EE8B82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112 500</w:t>
            </w:r>
          </w:p>
        </w:tc>
        <w:tc>
          <w:tcPr>
            <w:tcW w:w="833" w:type="pct"/>
          </w:tcPr>
          <w:p w14:paraId="60EDE0FF"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337 500</w:t>
            </w:r>
          </w:p>
        </w:tc>
      </w:tr>
      <w:tr w:rsidR="006B26FD" w:rsidRPr="0089670B" w14:paraId="5B66A97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E0D9D80"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B60390E"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137</w:t>
            </w:r>
            <w:r w:rsidRPr="0089670B">
              <w:rPr>
                <w:rFonts w:eastAsia="Times New Roman" w:cs="Arial"/>
                <w:color w:val="000000"/>
                <w:sz w:val="18"/>
                <w:lang w:val="de-CH"/>
              </w:rPr>
              <w:t> </w:t>
            </w:r>
            <w:r w:rsidRPr="0089670B">
              <w:rPr>
                <w:rFonts w:eastAsia="Times New Roman" w:cs="Arial"/>
                <w:b w:val="0"/>
                <w:bCs/>
                <w:color w:val="000000"/>
                <w:sz w:val="18"/>
                <w:lang w:val="de-CH"/>
              </w:rPr>
              <w:t>500</w:t>
            </w:r>
          </w:p>
        </w:tc>
        <w:tc>
          <w:tcPr>
            <w:tcW w:w="833" w:type="pct"/>
          </w:tcPr>
          <w:p w14:paraId="557983CF"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137</w:t>
            </w:r>
            <w:r w:rsidRPr="0089670B">
              <w:rPr>
                <w:rFonts w:eastAsia="Times New Roman" w:cs="Arial"/>
                <w:color w:val="000000"/>
                <w:sz w:val="18"/>
                <w:lang w:val="de-CH"/>
              </w:rPr>
              <w:t> </w:t>
            </w:r>
            <w:r w:rsidRPr="0089670B">
              <w:rPr>
                <w:rFonts w:eastAsia="Times New Roman" w:cs="Arial"/>
                <w:b w:val="0"/>
                <w:bCs/>
                <w:color w:val="000000"/>
                <w:sz w:val="18"/>
                <w:lang w:val="de-CH"/>
              </w:rPr>
              <w:t>500</w:t>
            </w:r>
          </w:p>
        </w:tc>
        <w:tc>
          <w:tcPr>
            <w:tcW w:w="833" w:type="pct"/>
          </w:tcPr>
          <w:p w14:paraId="31C27F1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137</w:t>
            </w:r>
            <w:r w:rsidRPr="0089670B">
              <w:rPr>
                <w:rFonts w:eastAsia="Times New Roman" w:cs="Arial"/>
                <w:color w:val="000000"/>
                <w:sz w:val="18"/>
                <w:lang w:val="de-CH"/>
              </w:rPr>
              <w:t> </w:t>
            </w:r>
            <w:r w:rsidRPr="0089670B">
              <w:rPr>
                <w:rFonts w:eastAsia="Times New Roman" w:cs="Arial"/>
                <w:b w:val="0"/>
                <w:bCs/>
                <w:color w:val="000000"/>
                <w:sz w:val="18"/>
                <w:lang w:val="de-CH"/>
              </w:rPr>
              <w:t>500</w:t>
            </w:r>
          </w:p>
        </w:tc>
        <w:tc>
          <w:tcPr>
            <w:tcW w:w="833" w:type="pct"/>
          </w:tcPr>
          <w:p w14:paraId="0D92FFA9"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412</w:t>
            </w:r>
            <w:r w:rsidRPr="0089670B">
              <w:rPr>
                <w:rFonts w:eastAsia="Times New Roman" w:cs="Arial"/>
                <w:color w:val="000000"/>
                <w:sz w:val="18"/>
                <w:lang w:val="de-CH"/>
              </w:rPr>
              <w:t> </w:t>
            </w:r>
            <w:r w:rsidRPr="0089670B">
              <w:rPr>
                <w:rFonts w:eastAsia="Times New Roman" w:cs="Arial"/>
                <w:b w:val="0"/>
                <w:bCs/>
                <w:color w:val="000000"/>
                <w:sz w:val="18"/>
                <w:lang w:val="de-CH"/>
              </w:rPr>
              <w:t>500</w:t>
            </w:r>
          </w:p>
        </w:tc>
      </w:tr>
    </w:tbl>
    <w:p w14:paraId="55DA7E82" w14:textId="77777777" w:rsidR="006B26FD" w:rsidRDefault="006B26FD" w:rsidP="006B26FD">
      <w:pPr>
        <w:contextualSpacing/>
        <w:rPr>
          <w:rFonts w:ascii="Times New Roman" w:eastAsia="Times New Roman" w:hAnsi="Times New Roman" w:cs="Times New Roman"/>
          <w:b/>
          <w:lang w:val="de-CH"/>
        </w:rPr>
      </w:pPr>
      <w:r w:rsidRPr="0089670B">
        <w:rPr>
          <w:rFonts w:ascii="Times New Roman" w:eastAsia="Times New Roman" w:hAnsi="Times New Roman" w:cs="Times New Roman"/>
          <w:b/>
          <w:lang w:val="de-CH"/>
        </w:rPr>
        <w:lastRenderedPageBreak/>
        <w:t>&gt;</w:t>
      </w:r>
      <w:r w:rsidRPr="0089670B">
        <w:rPr>
          <w:rFonts w:ascii="Times New Roman" w:eastAsia="Times New Roman" w:hAnsi="Times New Roman" w:cs="Times New Roman"/>
          <w:b/>
          <w:lang w:val="de-CH"/>
        </w:rPr>
        <w:tab/>
        <w:t>Streichung der Beihilfe für den Bau von Gebäuden für kulturelle Zwecke</w:t>
      </w:r>
    </w:p>
    <w:p w14:paraId="3A3433F1"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Keine finanzielle Unterstützung für die Errichtung der «Maison des Amériques» in Châtel-St-Denis im Jahr 2027. Im Finanzplan war kein anderes Projekt in diesem Bereich vorgesehen.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6EF20063"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FB981E8"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AB9ADED"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0520E54"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6FC6CF4"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CECAE93"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127795B6"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505BEA4"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586F69F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454171D7"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c>
          <w:tcPr>
            <w:tcW w:w="833" w:type="pct"/>
          </w:tcPr>
          <w:p w14:paraId="7AB90CA9"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28279B2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r>
      <w:tr w:rsidR="006B26FD" w:rsidRPr="0089670B" w14:paraId="1C56C42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0B73499"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F697E03"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D142E46"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3A4036EE"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C8819E8"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47AF0094"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von Förderbeihilfen für die Landwirtschaft</w:t>
      </w:r>
    </w:p>
    <w:p w14:paraId="1FB5F866"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Kürzung von Beihilfen für die Landwirtschaft im Bereich der Förderung und Unterstützung. Diese Kürzungen werden landwirtschaftliche Organisationen und/oder Projekte betreffen. Konkret werden die Förderung von regionalen Produkten, AOP und AOC, die Förderung der Rinder-, Ziegen-, Schaf- und Pferdezucht, die Viehverwertung sowie Innovationsprojekte betroffen sein.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08DA5708"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307113C"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612CFCC4"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5E9E078"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8551956"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03B9C57F"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2539690D"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B4982BB"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E291BF3"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5A21EED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62D4F62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1" w:type="pct"/>
          </w:tcPr>
          <w:p w14:paraId="1EF4825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r>
      <w:tr w:rsidR="006B26FD" w:rsidRPr="0089670B" w14:paraId="7756E439"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67FCD99"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FFF3110"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C09FB6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35FF1216"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1" w:type="pct"/>
          </w:tcPr>
          <w:p w14:paraId="1565A425"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5B7E552B"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der Subventionen für Bodenverbesserungen</w:t>
      </w:r>
    </w:p>
    <w:p w14:paraId="18963335" w14:textId="0179DFB0"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w:t>
      </w:r>
      <w:r w:rsidR="0089570A">
        <w:rPr>
          <w:rFonts w:ascii="Times New Roman" w:eastAsia="Times New Roman" w:hAnsi="Times New Roman" w:cs="Times New Roman"/>
          <w:lang w:val="de-CH"/>
        </w:rPr>
        <w:t xml:space="preserve">Weniger </w:t>
      </w:r>
      <w:r w:rsidR="00463187">
        <w:rPr>
          <w:rFonts w:ascii="Times New Roman" w:eastAsia="Times New Roman" w:hAnsi="Times New Roman" w:cs="Times New Roman"/>
          <w:lang w:val="de-CH"/>
        </w:rPr>
        <w:t xml:space="preserve">steigende </w:t>
      </w:r>
      <w:r w:rsidR="0089570A">
        <w:rPr>
          <w:rFonts w:ascii="Times New Roman" w:eastAsia="Times New Roman" w:hAnsi="Times New Roman" w:cs="Times New Roman"/>
          <w:lang w:val="de-CH"/>
        </w:rPr>
        <w:t xml:space="preserve">Subventionen </w:t>
      </w:r>
      <w:r w:rsidRPr="0089670B">
        <w:rPr>
          <w:rFonts w:ascii="Times New Roman" w:eastAsia="Times New Roman" w:hAnsi="Times New Roman" w:cs="Times New Roman"/>
          <w:lang w:val="de-CH"/>
        </w:rPr>
        <w:t xml:space="preserve">für Bodenverbesserungen. Das Gesamtbudget in diesem Bereich soll </w:t>
      </w:r>
      <w:r w:rsidR="0089570A">
        <w:rPr>
          <w:rFonts w:ascii="Times New Roman" w:eastAsia="Times New Roman" w:hAnsi="Times New Roman" w:cs="Times New Roman"/>
          <w:lang w:val="de-CH"/>
        </w:rPr>
        <w:t xml:space="preserve">entsprechend den verfügbaren Bundesgeldern </w:t>
      </w:r>
      <w:r w:rsidRPr="0089670B">
        <w:rPr>
          <w:rFonts w:ascii="Times New Roman" w:eastAsia="Times New Roman" w:hAnsi="Times New Roman" w:cs="Times New Roman"/>
          <w:lang w:val="de-CH"/>
        </w:rPr>
        <w:t xml:space="preserve">auf 11,1 Millionen Franken begrenzt werden. Um das neue Budget einhalten zu können, </w:t>
      </w:r>
      <w:r w:rsidR="009A25ED">
        <w:rPr>
          <w:rFonts w:ascii="Times New Roman" w:eastAsia="Times New Roman" w:hAnsi="Times New Roman" w:cs="Times New Roman"/>
          <w:lang w:val="de-CH"/>
        </w:rPr>
        <w:t>wird es</w:t>
      </w:r>
      <w:r w:rsidR="0089570A">
        <w:rPr>
          <w:rFonts w:ascii="Times New Roman" w:eastAsia="Times New Roman" w:hAnsi="Times New Roman" w:cs="Times New Roman"/>
          <w:lang w:val="de-CH"/>
        </w:rPr>
        <w:t xml:space="preserve"> zweifellos</w:t>
      </w:r>
      <w:r w:rsidR="0089570A" w:rsidRPr="0089670B">
        <w:rPr>
          <w:rFonts w:ascii="Times New Roman" w:eastAsia="Times New Roman" w:hAnsi="Times New Roman" w:cs="Times New Roman"/>
          <w:lang w:val="de-CH"/>
        </w:rPr>
        <w:t xml:space="preserve"> </w:t>
      </w:r>
      <w:r w:rsidRPr="0089670B">
        <w:rPr>
          <w:rFonts w:ascii="Times New Roman" w:eastAsia="Times New Roman" w:hAnsi="Times New Roman" w:cs="Times New Roman"/>
          <w:lang w:val="de-CH"/>
        </w:rPr>
        <w:t xml:space="preserve">eine Priorisierung der Subventionen </w:t>
      </w:r>
      <w:r w:rsidR="009A25ED">
        <w:rPr>
          <w:rFonts w:ascii="Times New Roman" w:eastAsia="Times New Roman" w:hAnsi="Times New Roman" w:cs="Times New Roman"/>
          <w:lang w:val="de-CH"/>
        </w:rPr>
        <w:t>brauchen</w:t>
      </w:r>
      <w:r w:rsidRPr="0089670B">
        <w:rPr>
          <w:rFonts w:ascii="Times New Roman" w:eastAsia="Times New Roman" w:hAnsi="Times New Roman" w:cs="Times New Roman"/>
          <w:lang w:val="de-CH"/>
        </w:rPr>
        <w:t>.</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7D39AD8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53730E6"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415BCDAF"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9EE7C27"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D1DCC3E"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B314BE8"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15F2F059"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8C3720F"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6CFB64B7"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0</w:t>
            </w:r>
          </w:p>
        </w:tc>
        <w:tc>
          <w:tcPr>
            <w:tcW w:w="833" w:type="pct"/>
          </w:tcPr>
          <w:p w14:paraId="0353B453"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494 000</w:t>
            </w:r>
          </w:p>
        </w:tc>
        <w:tc>
          <w:tcPr>
            <w:tcW w:w="833" w:type="pct"/>
          </w:tcPr>
          <w:p w14:paraId="3D3980BC"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530 000</w:t>
            </w:r>
          </w:p>
        </w:tc>
        <w:tc>
          <w:tcPr>
            <w:tcW w:w="833" w:type="pct"/>
          </w:tcPr>
          <w:p w14:paraId="620C890F"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1 024 000</w:t>
            </w:r>
          </w:p>
        </w:tc>
      </w:tr>
      <w:tr w:rsidR="006B26FD" w:rsidRPr="0089670B" w14:paraId="66682C9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3FB4F64"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7B21669F"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B6AE3E9"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120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5EB64F1D"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130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1305F3D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250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45835A26"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der Subventionen für nachhaltige Entwicklung</w:t>
      </w:r>
    </w:p>
    <w:p w14:paraId="5B262D9C"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Kürzung der Subventionen für nachhaltige Entwicklung,</w:t>
      </w:r>
      <w:r>
        <w:rPr>
          <w:rFonts w:ascii="Times New Roman" w:eastAsia="Times New Roman" w:hAnsi="Times New Roman" w:cs="Times New Roman"/>
          <w:lang w:val="de-CH"/>
        </w:rPr>
        <w:t xml:space="preserve"> </w:t>
      </w:r>
      <w:r w:rsidRPr="0089670B">
        <w:rPr>
          <w:rFonts w:ascii="Times New Roman" w:eastAsia="Times New Roman" w:hAnsi="Times New Roman" w:cs="Times New Roman"/>
          <w:lang w:val="de-CH"/>
        </w:rPr>
        <w:t>die von verschiedenen Stellen mehrerer Direktionen des Staates verwaltet werden. Die ursprünglich vorgesehene Beihilfe wird um 20 % gekürzt. Davon könnten betragsmässig geringfügig betroffen sein: die Landwirtschaft, die Gewässer, der Innovationspreis Fribourg Freiburg, die Schulen, die Gemeinden, die Forsten und die Vereine.</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44057C4E"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2B0904A"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2A9C3FD3"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47494C6E"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205FC7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1AB244C8"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7E9945A3"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17E9966"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10CFA876"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35 000</w:t>
            </w:r>
          </w:p>
        </w:tc>
        <w:tc>
          <w:tcPr>
            <w:tcW w:w="833" w:type="pct"/>
          </w:tcPr>
          <w:p w14:paraId="097E788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35 000</w:t>
            </w:r>
          </w:p>
        </w:tc>
        <w:tc>
          <w:tcPr>
            <w:tcW w:w="833" w:type="pct"/>
          </w:tcPr>
          <w:p w14:paraId="53E1CB32"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35 000</w:t>
            </w:r>
          </w:p>
        </w:tc>
        <w:tc>
          <w:tcPr>
            <w:tcW w:w="833" w:type="pct"/>
          </w:tcPr>
          <w:p w14:paraId="183D314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105 000</w:t>
            </w:r>
          </w:p>
        </w:tc>
      </w:tr>
      <w:tr w:rsidR="006B26FD" w:rsidRPr="0089670B" w14:paraId="450A777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9118948"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0CC6DC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10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0D9CC809"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10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52B2B91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10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D738D8F"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30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3D972717"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der Subventionen für den Klimaplan</w:t>
      </w:r>
    </w:p>
    <w:p w14:paraId="6AC38308"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Kürzung der Subventionen für den Klimaplan. Für den Zeitraum 2021-2026 konnten einige finanzielle Unterstützungsmassnahmen in diesem Bereich aufgrund der Verzögerung bei der Ausführungsbestimmung des Klimagesetzes nicht umgesetzt werden, mit Ausnahme derjenigen, für die vom Staatsrat befristete Verordnungen verabschiedet wurden. Dadurch wird die Gewährung neuer Subventionen automatisch gestoppt. Die ursprünglich vorgesehenen Beträge sollen um 15,5 % gekürzt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0217B851"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986B666"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701067DB"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406D1F9D"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3562A8F8"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24F91141"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416A0CCD"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306BCC3"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14846DAB"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140 500</w:t>
            </w:r>
          </w:p>
        </w:tc>
        <w:tc>
          <w:tcPr>
            <w:tcW w:w="833" w:type="pct"/>
          </w:tcPr>
          <w:p w14:paraId="3770080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168 000</w:t>
            </w:r>
          </w:p>
        </w:tc>
        <w:tc>
          <w:tcPr>
            <w:tcW w:w="833" w:type="pct"/>
          </w:tcPr>
          <w:p w14:paraId="5FF08BEB"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191 500</w:t>
            </w:r>
          </w:p>
        </w:tc>
        <w:tc>
          <w:tcPr>
            <w:tcW w:w="833" w:type="pct"/>
          </w:tcPr>
          <w:p w14:paraId="2A34A9FD"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500 000</w:t>
            </w:r>
          </w:p>
        </w:tc>
      </w:tr>
      <w:tr w:rsidR="006B26FD" w:rsidRPr="0089670B" w14:paraId="26D10963"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C79EFAA"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CEC0269"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59</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55252BB8"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70</w:t>
            </w:r>
            <w:r w:rsidRPr="0089670B">
              <w:rPr>
                <w:rFonts w:eastAsia="Times New Roman" w:cs="Arial"/>
                <w:color w:val="000000"/>
                <w:sz w:val="18"/>
                <w:lang w:val="de-CH"/>
              </w:rPr>
              <w:t> </w:t>
            </w:r>
            <w:r w:rsidRPr="0089670B">
              <w:rPr>
                <w:rFonts w:eastAsia="Times New Roman" w:cs="Arial"/>
                <w:b w:val="0"/>
                <w:bCs/>
                <w:color w:val="000000"/>
                <w:sz w:val="18"/>
                <w:lang w:val="de-CH"/>
              </w:rPr>
              <w:t>500</w:t>
            </w:r>
          </w:p>
        </w:tc>
        <w:tc>
          <w:tcPr>
            <w:tcW w:w="833" w:type="pct"/>
          </w:tcPr>
          <w:p w14:paraId="0E0B06D1"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80</w:t>
            </w:r>
            <w:r w:rsidRPr="0089670B">
              <w:rPr>
                <w:rFonts w:eastAsia="Times New Roman" w:cs="Arial"/>
                <w:color w:val="000000"/>
                <w:sz w:val="18"/>
                <w:lang w:val="de-CH"/>
              </w:rPr>
              <w:t> </w:t>
            </w:r>
            <w:r w:rsidRPr="0089670B">
              <w:rPr>
                <w:rFonts w:eastAsia="Times New Roman" w:cs="Arial"/>
                <w:b w:val="0"/>
                <w:bCs/>
                <w:color w:val="000000"/>
                <w:sz w:val="18"/>
                <w:lang w:val="de-CH"/>
              </w:rPr>
              <w:t>500</w:t>
            </w:r>
          </w:p>
        </w:tc>
        <w:tc>
          <w:tcPr>
            <w:tcW w:w="833" w:type="pct"/>
          </w:tcPr>
          <w:p w14:paraId="581132A7"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210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3C61D0D7"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lastRenderedPageBreak/>
        <w:t>&gt;</w:t>
      </w:r>
      <w:r w:rsidRPr="0089670B">
        <w:rPr>
          <w:rFonts w:ascii="Times New Roman" w:eastAsia="Times New Roman" w:hAnsi="Times New Roman" w:cs="Times New Roman"/>
          <w:b/>
          <w:lang w:val="de-CH"/>
        </w:rPr>
        <w:tab/>
        <w:t>Kürzung der Subventionen für die Tourismusförderung</w:t>
      </w:r>
    </w:p>
    <w:p w14:paraId="0F959296"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Kürzung der Subventionen für die Tourismusförderung. Eine Senkung des Kantonsbeitrags wird sich direkt auf das Budget des Freiburger Tourismusverbands (FTV) auswirken. Es verringert sich um etwa 1,3 % im Vergleich zum geplanten Gesamtbudget.</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3020993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8254D18"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4A0B924C"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38F83BC3"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6196CA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38690639"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599E861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DA2AB05"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1487C911"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38395A88"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0B52E69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100 000</w:t>
            </w:r>
          </w:p>
        </w:tc>
        <w:tc>
          <w:tcPr>
            <w:tcW w:w="833" w:type="pct"/>
          </w:tcPr>
          <w:p w14:paraId="06648713"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300 000</w:t>
            </w:r>
          </w:p>
        </w:tc>
      </w:tr>
      <w:tr w:rsidR="006B26FD" w:rsidRPr="0089670B" w14:paraId="28FA3D0A"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18A33C9"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1DF1784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3A099A8"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33395A6"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D00F66A"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23047E47" w14:textId="73FD05CC"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r>
      <w:r w:rsidR="00737DF7">
        <w:rPr>
          <w:rFonts w:ascii="Times New Roman" w:eastAsia="Times New Roman" w:hAnsi="Times New Roman" w:cs="Times New Roman"/>
          <w:b/>
          <w:lang w:val="de-CH"/>
        </w:rPr>
        <w:t>Kürzung der Subventionen für Mobilitätsinfrast</w:t>
      </w:r>
      <w:r w:rsidR="0049315A">
        <w:rPr>
          <w:rFonts w:ascii="Times New Roman" w:eastAsia="Times New Roman" w:hAnsi="Times New Roman" w:cs="Times New Roman"/>
          <w:b/>
          <w:lang w:val="de-CH"/>
        </w:rPr>
        <w:t>r</w:t>
      </w:r>
      <w:r w:rsidR="00737DF7">
        <w:rPr>
          <w:rFonts w:ascii="Times New Roman" w:eastAsia="Times New Roman" w:hAnsi="Times New Roman" w:cs="Times New Roman"/>
          <w:b/>
          <w:lang w:val="de-CH"/>
        </w:rPr>
        <w:t>ukturen in den Agglomerationen</w:t>
      </w:r>
    </w:p>
    <w:p w14:paraId="7E6D34DE"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Verzicht auf gewisse mögliche Subventionen. Dies sind vornehmlich die Subventionen, die sich aus Artikel 177 des MobG ergeben und die Mobilitätsinfrastrukturen in den Agglomerationen betreffen.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56481BE0"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E922900"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83BC4B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77F545B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177F6228"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CE55DB2"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3419E9B8"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76252A4"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209377F"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2 500 000</w:t>
            </w:r>
          </w:p>
        </w:tc>
        <w:tc>
          <w:tcPr>
            <w:tcW w:w="833" w:type="pct"/>
          </w:tcPr>
          <w:p w14:paraId="36A2B56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2 500 000</w:t>
            </w:r>
          </w:p>
        </w:tc>
        <w:tc>
          <w:tcPr>
            <w:tcW w:w="833" w:type="pct"/>
          </w:tcPr>
          <w:p w14:paraId="1B1678C8"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2 500 000</w:t>
            </w:r>
          </w:p>
        </w:tc>
        <w:tc>
          <w:tcPr>
            <w:tcW w:w="833" w:type="pct"/>
          </w:tcPr>
          <w:p w14:paraId="48244FE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7 500 000</w:t>
            </w:r>
          </w:p>
        </w:tc>
      </w:tr>
      <w:tr w:rsidR="006B26FD" w:rsidRPr="0089670B" w14:paraId="01902EF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1281667"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59F05019"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2</w:t>
            </w:r>
            <w:r w:rsidRPr="0089670B">
              <w:rPr>
                <w:rFonts w:eastAsia="Times New Roman" w:cs="Arial"/>
                <w:color w:val="000000"/>
                <w:sz w:val="18"/>
                <w:lang w:val="de-CH"/>
              </w:rPr>
              <w:t> </w:t>
            </w:r>
            <w:r w:rsidRPr="0089670B">
              <w:rPr>
                <w:rFonts w:eastAsia="Times New Roman" w:cs="Arial"/>
                <w:b w:val="0"/>
                <w:bCs/>
                <w:color w:val="000000"/>
                <w:sz w:val="18"/>
                <w:lang w:val="de-CH"/>
              </w:rPr>
              <w:t>500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733DB163"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2</w:t>
            </w:r>
            <w:r w:rsidRPr="0089670B">
              <w:rPr>
                <w:rFonts w:eastAsia="Times New Roman" w:cs="Arial"/>
                <w:color w:val="000000"/>
                <w:sz w:val="18"/>
                <w:lang w:val="de-CH"/>
              </w:rPr>
              <w:t> </w:t>
            </w:r>
            <w:r w:rsidRPr="0089670B">
              <w:rPr>
                <w:rFonts w:eastAsia="Times New Roman" w:cs="Arial"/>
                <w:b w:val="0"/>
                <w:bCs/>
                <w:color w:val="000000"/>
                <w:sz w:val="18"/>
                <w:lang w:val="de-CH"/>
              </w:rPr>
              <w:t>500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0CB08C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2</w:t>
            </w:r>
            <w:r w:rsidRPr="0089670B">
              <w:rPr>
                <w:rFonts w:eastAsia="Times New Roman" w:cs="Arial"/>
                <w:color w:val="000000"/>
                <w:sz w:val="18"/>
                <w:lang w:val="de-CH"/>
              </w:rPr>
              <w:t> </w:t>
            </w:r>
            <w:r w:rsidRPr="0089670B">
              <w:rPr>
                <w:rFonts w:eastAsia="Times New Roman" w:cs="Arial"/>
                <w:b w:val="0"/>
                <w:bCs/>
                <w:color w:val="000000"/>
                <w:sz w:val="18"/>
                <w:lang w:val="de-CH"/>
              </w:rPr>
              <w:t>500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c>
          <w:tcPr>
            <w:tcW w:w="833" w:type="pct"/>
          </w:tcPr>
          <w:p w14:paraId="281D27E4"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Pr>
                <w:rFonts w:eastAsia="Times New Roman" w:cs="Arial"/>
                <w:b w:val="0"/>
                <w:bCs/>
                <w:color w:val="000000"/>
                <w:sz w:val="18"/>
                <w:lang w:val="de-CH"/>
              </w:rPr>
              <w:t>– </w:t>
            </w:r>
            <w:r w:rsidRPr="0089670B">
              <w:rPr>
                <w:rFonts w:eastAsia="Times New Roman" w:cs="Arial"/>
                <w:b w:val="0"/>
                <w:bCs/>
                <w:color w:val="000000"/>
                <w:sz w:val="18"/>
                <w:lang w:val="de-CH"/>
              </w:rPr>
              <w:t>7</w:t>
            </w:r>
            <w:r w:rsidRPr="0089670B">
              <w:rPr>
                <w:rFonts w:eastAsia="Times New Roman" w:cs="Arial"/>
                <w:color w:val="000000"/>
                <w:sz w:val="18"/>
                <w:lang w:val="de-CH"/>
              </w:rPr>
              <w:t> </w:t>
            </w:r>
            <w:r w:rsidRPr="0089670B">
              <w:rPr>
                <w:rFonts w:eastAsia="Times New Roman" w:cs="Arial"/>
                <w:b w:val="0"/>
                <w:bCs/>
                <w:color w:val="000000"/>
                <w:sz w:val="18"/>
                <w:lang w:val="de-CH"/>
              </w:rPr>
              <w:t>500</w:t>
            </w:r>
            <w:r w:rsidRPr="0089670B">
              <w:rPr>
                <w:rFonts w:eastAsia="Times New Roman" w:cs="Arial"/>
                <w:color w:val="000000"/>
                <w:sz w:val="18"/>
                <w:lang w:val="de-CH"/>
              </w:rPr>
              <w:t> </w:t>
            </w:r>
            <w:r w:rsidRPr="0089670B">
              <w:rPr>
                <w:rFonts w:eastAsia="Times New Roman" w:cs="Arial"/>
                <w:b w:val="0"/>
                <w:bCs/>
                <w:color w:val="000000"/>
                <w:sz w:val="18"/>
                <w:lang w:val="de-CH"/>
              </w:rPr>
              <w:t>000</w:t>
            </w:r>
          </w:p>
        </w:tc>
      </w:tr>
    </w:tbl>
    <w:p w14:paraId="1367A5F6"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des Subventionssatzes für multimodale Plattformen</w:t>
      </w:r>
    </w:p>
    <w:p w14:paraId="0A568020"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 xml:space="preserve">Massnahme: Senkung des Subventionssatzes für multimodale Plattformen im Verkehrsbereich. Der Staat beteiligt sich finanziell am Bau und an der Sanierung dieser Plattformen. Sein Beitrag variiert je nach verfügbaren Mitteln und darf 50 % der Gesamtkosten nicht überschreiten. Die Subventionen in diesem Bereich werden künftig auf 35 % begrenzt. </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6AE3892F"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37DFB9E"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032AB023"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17B3CE6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6800F5AE"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07DE0146"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5565F18A"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612B71A"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70730FF"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360 000</w:t>
            </w:r>
          </w:p>
        </w:tc>
        <w:tc>
          <w:tcPr>
            <w:tcW w:w="833" w:type="pct"/>
          </w:tcPr>
          <w:p w14:paraId="39EF643A"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750 000</w:t>
            </w:r>
          </w:p>
        </w:tc>
        <w:tc>
          <w:tcPr>
            <w:tcW w:w="833" w:type="pct"/>
          </w:tcPr>
          <w:p w14:paraId="2FE4EAC0"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810 000</w:t>
            </w:r>
          </w:p>
        </w:tc>
        <w:tc>
          <w:tcPr>
            <w:tcW w:w="833" w:type="pct"/>
          </w:tcPr>
          <w:p w14:paraId="7C0E8DE1"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1 920 000</w:t>
            </w:r>
          </w:p>
        </w:tc>
      </w:tr>
      <w:tr w:rsidR="006B26FD" w:rsidRPr="002854D1" w14:paraId="30CCA3ED"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2F01E43" w14:textId="77777777" w:rsidR="006B26FD" w:rsidRPr="002854D1" w:rsidRDefault="006B26FD" w:rsidP="007B12C8">
            <w:pPr>
              <w:spacing w:after="0"/>
              <w:rPr>
                <w:rFonts w:eastAsia="Times New Roman" w:cs="Arial"/>
                <w:b w:val="0"/>
                <w:bCs/>
                <w:sz w:val="18"/>
                <w:szCs w:val="20"/>
                <w:lang w:val="de-CH"/>
              </w:rPr>
            </w:pPr>
            <w:r w:rsidRPr="002854D1">
              <w:rPr>
                <w:rFonts w:eastAsia="Times New Roman" w:cs="Arial"/>
                <w:b w:val="0"/>
                <w:bCs/>
                <w:sz w:val="18"/>
                <w:lang w:val="de-CH"/>
              </w:rPr>
              <w:t>Gemeinden</w:t>
            </w:r>
          </w:p>
        </w:tc>
        <w:tc>
          <w:tcPr>
            <w:tcW w:w="833" w:type="pct"/>
          </w:tcPr>
          <w:p w14:paraId="10C5D618" w14:textId="77777777" w:rsidR="006B26FD" w:rsidRPr="002854D1"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2854D1">
              <w:rPr>
                <w:rFonts w:eastAsia="Times New Roman" w:cs="Arial"/>
                <w:b w:val="0"/>
                <w:bCs/>
                <w:color w:val="000000"/>
                <w:sz w:val="18"/>
                <w:lang w:val="de-CH"/>
              </w:rPr>
              <w:t>– 360 000</w:t>
            </w:r>
          </w:p>
        </w:tc>
        <w:tc>
          <w:tcPr>
            <w:tcW w:w="833" w:type="pct"/>
          </w:tcPr>
          <w:p w14:paraId="10B323D3" w14:textId="77777777" w:rsidR="006B26FD" w:rsidRPr="002854D1"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2854D1">
              <w:rPr>
                <w:rFonts w:eastAsia="Times New Roman" w:cs="Arial"/>
                <w:b w:val="0"/>
                <w:bCs/>
                <w:color w:val="000000"/>
                <w:sz w:val="18"/>
                <w:lang w:val="de-CH"/>
              </w:rPr>
              <w:t>– 750 000</w:t>
            </w:r>
          </w:p>
        </w:tc>
        <w:tc>
          <w:tcPr>
            <w:tcW w:w="833" w:type="pct"/>
          </w:tcPr>
          <w:p w14:paraId="4372059B" w14:textId="77777777" w:rsidR="006B26FD" w:rsidRPr="002854D1"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2854D1">
              <w:rPr>
                <w:rFonts w:eastAsia="Times New Roman" w:cs="Arial"/>
                <w:b w:val="0"/>
                <w:bCs/>
                <w:color w:val="000000"/>
                <w:sz w:val="18"/>
                <w:lang w:val="de-CH"/>
              </w:rPr>
              <w:t>– 810 000</w:t>
            </w:r>
          </w:p>
        </w:tc>
        <w:tc>
          <w:tcPr>
            <w:tcW w:w="833" w:type="pct"/>
          </w:tcPr>
          <w:p w14:paraId="084DEEBE" w14:textId="77777777" w:rsidR="006B26FD" w:rsidRPr="002854D1"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2854D1">
              <w:rPr>
                <w:rFonts w:eastAsia="Times New Roman" w:cs="Arial"/>
                <w:b w:val="0"/>
                <w:bCs/>
                <w:color w:val="000000"/>
                <w:sz w:val="18"/>
                <w:lang w:val="de-CH"/>
              </w:rPr>
              <w:t>– 1 920 000</w:t>
            </w:r>
          </w:p>
        </w:tc>
      </w:tr>
    </w:tbl>
    <w:p w14:paraId="35B977B7"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des Budgets für verschiedene Unterstützungsmassnahmen für Unternehmen</w:t>
      </w:r>
    </w:p>
    <w:p w14:paraId="27327F4C"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Anpassung des Budgets für Massnahmen zur Unterstützung von Unternehmen. Die im Voranschlag eingestellten Beträge wurden in den letzten Jahren nicht benötigt, was jeweils zu Kreditübertragungen führte. Die Praxis wird daher an den tatsächlichen Bedarf angepasst.</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153E0516"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74A5BF4"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5AB67535"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24BB5CBB"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42E129AE"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3" w:type="pct"/>
          </w:tcPr>
          <w:p w14:paraId="5308D772"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1A640DF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755DA36"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03A10C75"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546798E1"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2560C84E"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200 000</w:t>
            </w:r>
          </w:p>
        </w:tc>
        <w:tc>
          <w:tcPr>
            <w:tcW w:w="833" w:type="pct"/>
          </w:tcPr>
          <w:p w14:paraId="0CF126A4"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600 000</w:t>
            </w:r>
          </w:p>
        </w:tc>
      </w:tr>
      <w:tr w:rsidR="006B26FD" w:rsidRPr="0089670B" w14:paraId="7DFEF42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B77780C"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01451F42"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53CCD19C"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73923512"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4B0AF251"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38E95722" w14:textId="77777777" w:rsidR="006B26FD" w:rsidRPr="0089670B" w:rsidRDefault="006B26FD" w:rsidP="006B26FD">
      <w:pPr>
        <w:contextualSpacing/>
        <w:rPr>
          <w:rFonts w:ascii="Times New Roman" w:eastAsia="Times New Roman" w:hAnsi="Times New Roman" w:cs="Times New Roman"/>
          <w:b/>
          <w:bCs/>
          <w:lang w:val="de-CH"/>
        </w:rPr>
      </w:pPr>
      <w:r w:rsidRPr="0089670B">
        <w:rPr>
          <w:rFonts w:ascii="Times New Roman" w:eastAsia="Times New Roman" w:hAnsi="Times New Roman" w:cs="Times New Roman"/>
          <w:b/>
          <w:lang w:val="de-CH"/>
        </w:rPr>
        <w:t>&gt;</w:t>
      </w:r>
      <w:r w:rsidRPr="0089670B">
        <w:rPr>
          <w:rFonts w:ascii="Times New Roman" w:eastAsia="Times New Roman" w:hAnsi="Times New Roman" w:cs="Times New Roman"/>
          <w:b/>
          <w:lang w:val="de-CH"/>
        </w:rPr>
        <w:tab/>
        <w:t>Kürzung der Auslandshilfe</w:t>
      </w:r>
    </w:p>
    <w:p w14:paraId="6AC07A9B" w14:textId="77777777" w:rsidR="006B26FD" w:rsidRPr="0089670B" w:rsidRDefault="006B26FD" w:rsidP="006B26FD">
      <w:pPr>
        <w:rPr>
          <w:rFonts w:ascii="Times New Roman" w:eastAsia="Times New Roman" w:hAnsi="Times New Roman" w:cs="Times New Roman"/>
          <w:lang w:val="de-CH"/>
        </w:rPr>
      </w:pPr>
      <w:r w:rsidRPr="0089670B">
        <w:rPr>
          <w:rFonts w:ascii="Times New Roman" w:eastAsia="Times New Roman" w:hAnsi="Times New Roman" w:cs="Times New Roman"/>
          <w:lang w:val="de-CH"/>
        </w:rPr>
        <w:t>Massnahme: Kürzung der Auslandshilfe. Zu den Legislaturzielen gehört das Bestreben, langfristig einen Beitrag in der Grössenordnung von einem Franken pro Jahr und Einwohner zu erreichen. Der Beitrag dürfte also grundsätzlich entsprechend der Bevölkerungszahl im Kanton Freiburg schwanken. In den letzten Jahren ist die Finanzierung jedoch bei 320 000 Franken geblieben, das heisst unter den im Rahmen des Leistungsauftrags vorgesehenen Beträgen. In den nächsten Jahren sollen nun die Beträge für die Auslandhilfe weiter auf 320 000 Franken/Jahr begrenzt bleiben.</w:t>
      </w:r>
    </w:p>
    <w:tbl>
      <w:tblPr>
        <w:tblStyle w:val="TableauEtatFR"/>
        <w:tblW w:w="5000" w:type="pct"/>
        <w:tblLook w:val="04E0" w:firstRow="1" w:lastRow="1" w:firstColumn="1" w:lastColumn="0" w:noHBand="0" w:noVBand="1"/>
      </w:tblPr>
      <w:tblGrid>
        <w:gridCol w:w="3312"/>
        <w:gridCol w:w="1653"/>
        <w:gridCol w:w="1653"/>
        <w:gridCol w:w="1653"/>
        <w:gridCol w:w="1649"/>
      </w:tblGrid>
      <w:tr w:rsidR="006B26FD" w:rsidRPr="0089670B" w14:paraId="38FFCBEE"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52C828B" w14:textId="77777777" w:rsidR="006B26FD" w:rsidRPr="0089670B" w:rsidRDefault="006B26FD" w:rsidP="007B12C8">
            <w:pPr>
              <w:spacing w:after="0"/>
              <w:rPr>
                <w:rFonts w:eastAsia="Times New Roman" w:cs="Arial"/>
                <w:bCs/>
                <w:sz w:val="21"/>
                <w:szCs w:val="20"/>
                <w:lang w:val="de-CH"/>
              </w:rPr>
            </w:pPr>
            <w:r w:rsidRPr="0089670B">
              <w:rPr>
                <w:rFonts w:eastAsia="Times New Roman" w:cs="Arial"/>
                <w:sz w:val="18"/>
                <w:lang w:val="de-CH"/>
              </w:rPr>
              <w:t>Finanzielle Auswirkungen in Franken</w:t>
            </w:r>
          </w:p>
        </w:tc>
        <w:tc>
          <w:tcPr>
            <w:tcW w:w="833" w:type="pct"/>
          </w:tcPr>
          <w:p w14:paraId="47990076"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2026</w:t>
            </w:r>
          </w:p>
        </w:tc>
        <w:tc>
          <w:tcPr>
            <w:tcW w:w="833" w:type="pct"/>
          </w:tcPr>
          <w:p w14:paraId="53B39358"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2027</w:t>
            </w:r>
          </w:p>
        </w:tc>
        <w:tc>
          <w:tcPr>
            <w:tcW w:w="833" w:type="pct"/>
          </w:tcPr>
          <w:p w14:paraId="2B288710"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2028</w:t>
            </w:r>
          </w:p>
        </w:tc>
        <w:tc>
          <w:tcPr>
            <w:tcW w:w="831" w:type="pct"/>
          </w:tcPr>
          <w:p w14:paraId="4CD24076" w14:textId="77777777" w:rsidR="006B26FD" w:rsidRPr="0089670B" w:rsidRDefault="006B26FD"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89670B">
              <w:rPr>
                <w:rFonts w:eastAsia="Times New Roman" w:cs="Arial"/>
                <w:sz w:val="18"/>
                <w:lang w:val="de-CH"/>
              </w:rPr>
              <w:t>Total</w:t>
            </w:r>
          </w:p>
        </w:tc>
      </w:tr>
      <w:tr w:rsidR="006B26FD" w:rsidRPr="0089670B" w14:paraId="3E65F890"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83F33DD" w14:textId="77777777" w:rsidR="006B26FD" w:rsidRPr="0089670B" w:rsidRDefault="006B26FD" w:rsidP="007B12C8">
            <w:pPr>
              <w:spacing w:after="0"/>
              <w:rPr>
                <w:rFonts w:eastAsia="Times New Roman" w:cs="Arial"/>
                <w:bCs/>
                <w:sz w:val="18"/>
                <w:szCs w:val="20"/>
                <w:lang w:val="de-CH"/>
              </w:rPr>
            </w:pPr>
            <w:r w:rsidRPr="0089670B">
              <w:rPr>
                <w:rFonts w:eastAsia="Times New Roman" w:cs="Arial"/>
                <w:sz w:val="18"/>
                <w:lang w:val="de-CH"/>
              </w:rPr>
              <w:t>Staat</w:t>
            </w:r>
          </w:p>
        </w:tc>
        <w:tc>
          <w:tcPr>
            <w:tcW w:w="833" w:type="pct"/>
          </w:tcPr>
          <w:p w14:paraId="3BB58D49"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15 000</w:t>
            </w:r>
          </w:p>
        </w:tc>
        <w:tc>
          <w:tcPr>
            <w:tcW w:w="833" w:type="pct"/>
          </w:tcPr>
          <w:p w14:paraId="3EFA07DB"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15 000</w:t>
            </w:r>
          </w:p>
        </w:tc>
        <w:tc>
          <w:tcPr>
            <w:tcW w:w="833" w:type="pct"/>
          </w:tcPr>
          <w:p w14:paraId="190C2A56"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15 000</w:t>
            </w:r>
          </w:p>
        </w:tc>
        <w:tc>
          <w:tcPr>
            <w:tcW w:w="831" w:type="pct"/>
          </w:tcPr>
          <w:p w14:paraId="02C0ED8D" w14:textId="77777777" w:rsidR="006B26FD" w:rsidRPr="0089670B" w:rsidRDefault="006B26FD"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89670B">
              <w:rPr>
                <w:rFonts w:eastAsia="Times New Roman" w:cs="Arial"/>
                <w:color w:val="000000"/>
                <w:sz w:val="18"/>
                <w:lang w:val="de-CH"/>
              </w:rPr>
              <w:t>45 000</w:t>
            </w:r>
          </w:p>
        </w:tc>
      </w:tr>
      <w:tr w:rsidR="006B26FD" w:rsidRPr="00565E37" w14:paraId="608ACB8D"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8FD8AF2" w14:textId="77777777" w:rsidR="006B26FD" w:rsidRPr="0089670B" w:rsidRDefault="006B26FD" w:rsidP="007B12C8">
            <w:pPr>
              <w:spacing w:after="0"/>
              <w:rPr>
                <w:rFonts w:eastAsia="Times New Roman" w:cs="Arial"/>
                <w:b w:val="0"/>
                <w:bCs/>
                <w:sz w:val="18"/>
                <w:szCs w:val="20"/>
                <w:lang w:val="de-CH"/>
              </w:rPr>
            </w:pPr>
            <w:r w:rsidRPr="0089670B">
              <w:rPr>
                <w:rFonts w:eastAsia="Times New Roman" w:cs="Arial"/>
                <w:b w:val="0"/>
                <w:bCs/>
                <w:sz w:val="18"/>
                <w:lang w:val="de-CH"/>
              </w:rPr>
              <w:t>Gemeinden</w:t>
            </w:r>
          </w:p>
        </w:tc>
        <w:tc>
          <w:tcPr>
            <w:tcW w:w="833" w:type="pct"/>
          </w:tcPr>
          <w:p w14:paraId="61C86690"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0139DCB"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3" w:type="pct"/>
          </w:tcPr>
          <w:p w14:paraId="6B995BC5" w14:textId="77777777" w:rsidR="006B26FD" w:rsidRPr="0089670B"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c>
          <w:tcPr>
            <w:tcW w:w="831" w:type="pct"/>
          </w:tcPr>
          <w:p w14:paraId="75628B66" w14:textId="77777777" w:rsidR="006B26FD" w:rsidRPr="00565E37" w:rsidRDefault="006B26FD"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89670B">
              <w:rPr>
                <w:rFonts w:eastAsia="Times New Roman" w:cs="Arial"/>
                <w:b w:val="0"/>
                <w:bCs/>
                <w:color w:val="000000"/>
                <w:sz w:val="18"/>
                <w:lang w:val="de-CH"/>
              </w:rPr>
              <w:t>0</w:t>
            </w:r>
          </w:p>
        </w:tc>
      </w:tr>
    </w:tbl>
    <w:p w14:paraId="6EA71F8C" w14:textId="1C5D97E1" w:rsidR="0072020B" w:rsidRPr="00FE3A13" w:rsidRDefault="0072020B" w:rsidP="007D58E6"/>
    <w:p w14:paraId="72B42591" w14:textId="50E81C15" w:rsidR="009877D1" w:rsidRPr="00EB6310" w:rsidRDefault="002279BE" w:rsidP="009877D1">
      <w:pPr>
        <w:pStyle w:val="Titre3"/>
        <w:rPr>
          <w:lang w:val="de-CH"/>
        </w:rPr>
      </w:pPr>
      <w:bookmarkStart w:id="31" w:name="_Toc196226218"/>
      <w:r w:rsidRPr="00EB6310">
        <w:rPr>
          <w:lang w:val="de-CH"/>
        </w:rPr>
        <w:lastRenderedPageBreak/>
        <w:t>Projekte und Reformen</w:t>
      </w:r>
      <w:bookmarkEnd w:id="31"/>
    </w:p>
    <w:p w14:paraId="11A0AFAD" w14:textId="77777777" w:rsidR="00EA3619" w:rsidRPr="004607F2" w:rsidRDefault="00EA3619" w:rsidP="00EA3619">
      <w:pPr>
        <w:rPr>
          <w:rFonts w:ascii="Times New Roman" w:eastAsia="Times New Roman" w:hAnsi="Times New Roman" w:cs="Times New Roman"/>
          <w:lang w:val="de-CH"/>
        </w:rPr>
      </w:pPr>
      <w:r w:rsidRPr="004607F2">
        <w:rPr>
          <w:rFonts w:ascii="Times New Roman" w:eastAsia="Times New Roman" w:hAnsi="Times New Roman" w:cs="Times New Roman"/>
          <w:lang w:val="de-CH"/>
        </w:rPr>
        <w:t>Es werden folgende Massnahmen bezüglich Projekte und Reformen vorgeschlagen:</w:t>
      </w:r>
    </w:p>
    <w:tbl>
      <w:tblPr>
        <w:tblStyle w:val="TableauEtatFR"/>
        <w:tblW w:w="5000" w:type="pct"/>
        <w:tblLook w:val="04E0" w:firstRow="1" w:lastRow="1" w:firstColumn="1" w:lastColumn="0" w:noHBand="0" w:noVBand="1"/>
      </w:tblPr>
      <w:tblGrid>
        <w:gridCol w:w="9920"/>
      </w:tblGrid>
      <w:tr w:rsidR="00EA3619" w:rsidRPr="005B3823" w14:paraId="40F25E26" w14:textId="77777777" w:rsidTr="007B12C8">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5000" w:type="pct"/>
          </w:tcPr>
          <w:p w14:paraId="5C804C0C" w14:textId="77777777" w:rsidR="00EA3619" w:rsidRPr="004607F2" w:rsidRDefault="00EA3619" w:rsidP="007B12C8">
            <w:pPr>
              <w:spacing w:after="0"/>
              <w:rPr>
                <w:rFonts w:eastAsia="Times New Roman" w:cs="Arial"/>
                <w:bCs/>
                <w:sz w:val="21"/>
                <w:szCs w:val="20"/>
                <w:lang w:val="de-CH"/>
              </w:rPr>
            </w:pPr>
            <w:r w:rsidRPr="004607F2">
              <w:rPr>
                <w:rFonts w:eastAsia="Times New Roman" w:cs="Arial"/>
                <w:sz w:val="18"/>
                <w:lang w:val="de-CH"/>
              </w:rPr>
              <w:t>Massnahmen in der Zuständigkeit des Staatsrats, die Projekte und Reformen betreffen und ab 2026 oder 2027 zur Anwendung kommen sollen</w:t>
            </w:r>
          </w:p>
        </w:tc>
      </w:tr>
      <w:tr w:rsidR="00EA3619" w:rsidRPr="005B3823" w14:paraId="3E8F772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tcPr>
          <w:p w14:paraId="2D129FF6" w14:textId="3B84F7F9" w:rsidR="00463187" w:rsidRPr="00EB7308" w:rsidRDefault="00EA3619" w:rsidP="007B12C8">
            <w:pPr>
              <w:spacing w:line="280" w:lineRule="atLeast"/>
              <w:rPr>
                <w:rFonts w:cs="Arial"/>
                <w:b w:val="0"/>
                <w:sz w:val="18"/>
                <w:szCs w:val="20"/>
                <w:lang w:val="de-CH"/>
              </w:rPr>
            </w:pPr>
            <w:r w:rsidRPr="004607F2">
              <w:rPr>
                <w:rFonts w:eastAsia="Times New Roman" w:cs="Arial"/>
                <w:sz w:val="18"/>
                <w:lang w:val="de-CH"/>
              </w:rPr>
              <w:t>b) Massnahmen des PSKF</w:t>
            </w:r>
            <w:r w:rsidRPr="004607F2">
              <w:rPr>
                <w:rFonts w:eastAsia="Times New Roman" w:cs="Arial"/>
                <w:b w:val="0"/>
                <w:sz w:val="18"/>
                <w:lang w:val="de-CH"/>
              </w:rPr>
              <w:br/>
              <w:t xml:space="preserve">- </w:t>
            </w:r>
            <w:r w:rsidR="0089570A" w:rsidRPr="0089570A">
              <w:rPr>
                <w:rFonts w:eastAsia="Times New Roman" w:cs="Arial"/>
                <w:b w:val="0"/>
                <w:sz w:val="18"/>
                <w:lang w:val="de-CH"/>
              </w:rPr>
              <w:t>Reduktion der Kommunikationsmittel des Staatsrats</w:t>
            </w:r>
            <w:r w:rsidRPr="004607F2">
              <w:rPr>
                <w:rFonts w:eastAsia="Times New Roman" w:cs="Arial"/>
                <w:b w:val="0"/>
                <w:sz w:val="18"/>
                <w:lang w:val="de-CH"/>
              </w:rPr>
              <w:br/>
              <w:t>- Ersetzen der Briefumschläge des Staates und weisses Recyclingpapier durch kostengünstigeres Recyclingpapier</w:t>
            </w:r>
            <w:r w:rsidRPr="004607F2">
              <w:rPr>
                <w:rFonts w:eastAsia="Times New Roman" w:cs="Arial"/>
                <w:b w:val="0"/>
                <w:sz w:val="18"/>
                <w:lang w:val="de-CH"/>
              </w:rPr>
              <w:br/>
              <w:t>- Aufschub der Umsetzung der Medienunterstützungspolitik an der obligatorischen Schule</w:t>
            </w:r>
            <w:r w:rsidRPr="004607F2">
              <w:rPr>
                <w:rFonts w:eastAsia="Times New Roman" w:cs="Arial"/>
                <w:b w:val="0"/>
                <w:sz w:val="18"/>
                <w:lang w:val="de-CH"/>
              </w:rPr>
              <w:br/>
              <w:t>- Aufschub des Projekts Digifonds</w:t>
            </w:r>
            <w:r w:rsidRPr="004607F2">
              <w:rPr>
                <w:rFonts w:eastAsia="Times New Roman" w:cs="Arial"/>
                <w:b w:val="0"/>
                <w:sz w:val="18"/>
                <w:lang w:val="de-CH"/>
              </w:rPr>
              <w:br/>
              <w:t>- Kürzung des Mehrjahres-Globalbudgets der Universität</w:t>
            </w:r>
            <w:r w:rsidRPr="004607F2">
              <w:rPr>
                <w:rFonts w:eastAsia="Times New Roman" w:cs="Arial"/>
                <w:b w:val="0"/>
                <w:sz w:val="18"/>
                <w:lang w:val="de-CH"/>
              </w:rPr>
              <w:br/>
              <w:t>- Einsparungen im POA-</w:t>
            </w:r>
            <w:r w:rsidRPr="004607F2">
              <w:rPr>
                <w:rFonts w:eastAsia="Times New Roman" w:cs="Arial"/>
                <w:b w:val="0"/>
                <w:sz w:val="18"/>
                <w:lang w:val="de-CH"/>
              </w:rPr>
              <w:br/>
              <w:t>- Änderung der Abschreibungspolitik</w:t>
            </w:r>
            <w:r w:rsidRPr="004607F2">
              <w:rPr>
                <w:rFonts w:eastAsia="Times New Roman" w:cs="Arial"/>
                <w:b w:val="0"/>
                <w:sz w:val="18"/>
                <w:lang w:val="de-CH"/>
              </w:rPr>
              <w:br/>
              <w:t>- Ausgliederung und Verkauf von Alphütten (Veräusserung nicht strategischer Vermögenswerte)</w:t>
            </w:r>
            <w:r w:rsidRPr="004607F2">
              <w:rPr>
                <w:rFonts w:eastAsia="Times New Roman" w:cs="Arial"/>
                <w:b w:val="0"/>
                <w:sz w:val="18"/>
                <w:lang w:val="de-CH"/>
              </w:rPr>
              <w:br/>
              <w:t>- Änderung im Fonds für Bodenverbesserungen</w:t>
            </w:r>
            <w:r w:rsidRPr="004607F2">
              <w:rPr>
                <w:rFonts w:eastAsia="Times New Roman" w:cs="Arial"/>
                <w:b w:val="0"/>
                <w:sz w:val="18"/>
                <w:lang w:val="de-CH"/>
              </w:rPr>
              <w:br/>
              <w:t>- Keine weiteren Mittel für den Pflanzenschutz-Aktionsplan ab 2027</w:t>
            </w:r>
            <w:r w:rsidRPr="004607F2">
              <w:rPr>
                <w:rFonts w:eastAsia="Times New Roman" w:cs="Arial"/>
                <w:b w:val="0"/>
                <w:sz w:val="18"/>
                <w:lang w:val="de-CH"/>
              </w:rPr>
              <w:br/>
              <w:t>- Abriss des Schweinestalls in Grangeneuve</w:t>
            </w:r>
            <w:r w:rsidRPr="004607F2">
              <w:rPr>
                <w:rFonts w:eastAsia="Times New Roman" w:cs="Arial"/>
                <w:b w:val="0"/>
                <w:sz w:val="18"/>
                <w:lang w:val="de-CH"/>
              </w:rPr>
              <w:br/>
              <w:t>- Auf Preissenkungen ausgerichtete Praxisänderung bei der KLV</w:t>
            </w:r>
            <w:r w:rsidRPr="004607F2">
              <w:rPr>
                <w:rFonts w:eastAsia="Times New Roman" w:cs="Arial"/>
                <w:b w:val="0"/>
                <w:sz w:val="18"/>
                <w:lang w:val="de-CH"/>
              </w:rPr>
              <w:br/>
              <w:t>- Verzicht auf Löhne für Schülerinnen und Schüler der EMF und der Eikon</w:t>
            </w:r>
            <w:r w:rsidRPr="004607F2">
              <w:rPr>
                <w:rFonts w:eastAsia="Times New Roman" w:cs="Arial"/>
                <w:b w:val="0"/>
                <w:sz w:val="18"/>
                <w:lang w:val="de-CH"/>
              </w:rPr>
              <w:br/>
              <w:t>- Rekapitalisierung Stiftung Seed Capital Freiburg</w:t>
            </w:r>
            <w:r w:rsidRPr="004607F2">
              <w:rPr>
                <w:rFonts w:eastAsia="Times New Roman" w:cs="Arial"/>
                <w:b w:val="0"/>
                <w:sz w:val="18"/>
                <w:lang w:val="de-CH"/>
              </w:rPr>
              <w:br/>
              <w:t>- Verkleinerung des kantonalen Strassennetzes</w:t>
            </w:r>
            <w:r w:rsidR="00463187">
              <w:rPr>
                <w:rFonts w:eastAsia="Times New Roman" w:cs="Arial"/>
                <w:b w:val="0"/>
                <w:sz w:val="18"/>
                <w:lang w:val="de-CH"/>
              </w:rPr>
              <w:br/>
            </w:r>
            <w:r w:rsidR="00463187" w:rsidRPr="001A4F6D">
              <w:rPr>
                <w:rFonts w:eastAsia="Times New Roman" w:cs="Arial"/>
                <w:bCs/>
                <w:sz w:val="18"/>
                <w:lang w:val="de-CH"/>
              </w:rPr>
              <w:t xml:space="preserve">- </w:t>
            </w:r>
            <w:r w:rsidR="00313DBE">
              <w:rPr>
                <w:rFonts w:eastAsia="Times New Roman" w:cs="Arial"/>
                <w:b w:val="0"/>
                <w:bCs/>
                <w:sz w:val="18"/>
                <w:lang w:val="de-CH"/>
              </w:rPr>
              <w:t>Lebensmittel</w:t>
            </w:r>
            <w:r w:rsidR="00313DBE" w:rsidRPr="00EB7308">
              <w:rPr>
                <w:rFonts w:cs="Arial"/>
                <w:b w:val="0"/>
                <w:sz w:val="18"/>
                <w:szCs w:val="20"/>
                <w:lang w:val="de-CH"/>
              </w:rPr>
              <w:t>st</w:t>
            </w:r>
            <w:r w:rsidR="00463187" w:rsidRPr="00EB7308">
              <w:rPr>
                <w:rFonts w:cs="Arial"/>
                <w:b w:val="0"/>
                <w:sz w:val="18"/>
                <w:szCs w:val="20"/>
                <w:lang w:val="de-CH"/>
              </w:rPr>
              <w:t>rategie</w:t>
            </w:r>
            <w:r w:rsidR="00463187" w:rsidRPr="00EB7308">
              <w:rPr>
                <w:rFonts w:cs="Arial"/>
                <w:sz w:val="18"/>
                <w:szCs w:val="20"/>
                <w:lang w:val="de-CH"/>
              </w:rPr>
              <w:t xml:space="preserve"> </w:t>
            </w:r>
          </w:p>
        </w:tc>
      </w:tr>
    </w:tbl>
    <w:p w14:paraId="59FAFBB2" w14:textId="733416C0" w:rsidR="004D6DF7" w:rsidRPr="00FE3A13" w:rsidRDefault="0081433C" w:rsidP="00B84E83">
      <w:pPr>
        <w:pStyle w:val="Listealphabtique"/>
        <w:numPr>
          <w:ilvl w:val="0"/>
          <w:numId w:val="36"/>
        </w:numPr>
        <w:ind w:left="426" w:hanging="426"/>
        <w:rPr>
          <w:b/>
          <w:bCs/>
        </w:rPr>
      </w:pPr>
      <w:r w:rsidRPr="00EB6310">
        <w:rPr>
          <w:b/>
          <w:bCs/>
          <w:lang w:val="de-CH"/>
        </w:rPr>
        <w:t>M</w:t>
      </w:r>
      <w:r w:rsidR="00667D09" w:rsidRPr="00EB6310">
        <w:rPr>
          <w:b/>
          <w:bCs/>
          <w:lang w:val="de-CH"/>
        </w:rPr>
        <w:t>assnahmen</w:t>
      </w:r>
      <w:r w:rsidR="00667D09">
        <w:rPr>
          <w:b/>
          <w:bCs/>
        </w:rPr>
        <w:t xml:space="preserve"> des PSKF</w:t>
      </w:r>
    </w:p>
    <w:p w14:paraId="1E07C600" w14:textId="2EE82C5E" w:rsidR="00072502" w:rsidRPr="004607F2" w:rsidRDefault="0081433C" w:rsidP="00072502">
      <w:pPr>
        <w:contextualSpacing/>
        <w:rPr>
          <w:rFonts w:ascii="Times New Roman" w:eastAsia="Times New Roman" w:hAnsi="Times New Roman" w:cs="Times New Roman"/>
          <w:b/>
          <w:bCs/>
          <w:lang w:val="de-CH"/>
        </w:rPr>
      </w:pPr>
      <w:r w:rsidRPr="00072502">
        <w:rPr>
          <w:b/>
          <w:bCs/>
          <w:lang w:val="de-CH"/>
        </w:rPr>
        <w:t>&gt;</w:t>
      </w:r>
      <w:r w:rsidRPr="00072502">
        <w:rPr>
          <w:b/>
          <w:bCs/>
          <w:lang w:val="de-CH"/>
        </w:rPr>
        <w:tab/>
      </w:r>
      <w:r w:rsidR="00737DF7">
        <w:rPr>
          <w:rFonts w:ascii="Times New Roman" w:eastAsia="Times New Roman" w:hAnsi="Times New Roman" w:cs="Times New Roman"/>
          <w:b/>
          <w:lang w:val="de-CH"/>
        </w:rPr>
        <w:t xml:space="preserve">Reduktion der Kommunikationsmittel </w:t>
      </w:r>
      <w:r w:rsidR="00072502" w:rsidRPr="004607F2">
        <w:rPr>
          <w:rFonts w:ascii="Times New Roman" w:eastAsia="Times New Roman" w:hAnsi="Times New Roman" w:cs="Times New Roman"/>
          <w:b/>
          <w:lang w:val="de-CH"/>
        </w:rPr>
        <w:t>des Staatsrats</w:t>
      </w:r>
    </w:p>
    <w:p w14:paraId="2B43A4A0" w14:textId="04E2D316" w:rsidR="00072502" w:rsidRPr="004607F2" w:rsidRDefault="00072502" w:rsidP="00072502">
      <w:pPr>
        <w:rPr>
          <w:rFonts w:ascii="Times New Roman" w:eastAsia="Times New Roman" w:hAnsi="Times New Roman" w:cs="Times New Roman"/>
          <w:lang w:val="de-CH"/>
        </w:rPr>
      </w:pP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266A73A6"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D0F518F"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2FB8C712"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5EB9DB7F"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1B268ECD"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3" w:type="pct"/>
          </w:tcPr>
          <w:p w14:paraId="31410506"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5DE2052F"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CE3712F"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1C79F5AA"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0</w:t>
            </w:r>
          </w:p>
        </w:tc>
        <w:tc>
          <w:tcPr>
            <w:tcW w:w="833" w:type="pct"/>
          </w:tcPr>
          <w:p w14:paraId="0DD22937"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10 000</w:t>
            </w:r>
          </w:p>
        </w:tc>
        <w:tc>
          <w:tcPr>
            <w:tcW w:w="833" w:type="pct"/>
          </w:tcPr>
          <w:p w14:paraId="5283EE22"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10 000</w:t>
            </w:r>
          </w:p>
        </w:tc>
        <w:tc>
          <w:tcPr>
            <w:tcW w:w="833" w:type="pct"/>
          </w:tcPr>
          <w:p w14:paraId="2A536F4F"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20 000</w:t>
            </w:r>
          </w:p>
        </w:tc>
      </w:tr>
      <w:tr w:rsidR="00072502" w:rsidRPr="004607F2" w14:paraId="5C40041E"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2EDD3F6"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38E94FD2"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9A801C1"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D583A7A"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CC853B4"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1EEAEA1D"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Ersetzen der Briefumschläge des Staates und weisses Recyclingpapier durch kostengünstigeres Recyclingpapier</w:t>
      </w:r>
    </w:p>
    <w:p w14:paraId="35240DA3" w14:textId="0CC89D2E"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Andere Umschläge und anderes Papier als bisher. Der Staat Freiburg wird seine Briefumschläge (Proclima, 100 % recycelt) durch Umschl</w:t>
      </w:r>
      <w:r w:rsidR="00737DF7">
        <w:rPr>
          <w:rFonts w:ascii="Times New Roman" w:eastAsia="Times New Roman" w:hAnsi="Times New Roman" w:cs="Times New Roman"/>
          <w:lang w:val="de-CH"/>
        </w:rPr>
        <w:t>ä</w:t>
      </w:r>
      <w:r w:rsidRPr="004607F2">
        <w:rPr>
          <w:rFonts w:ascii="Times New Roman" w:eastAsia="Times New Roman" w:hAnsi="Times New Roman" w:cs="Times New Roman"/>
          <w:lang w:val="de-CH"/>
        </w:rPr>
        <w:t>ge aus grauem Recyclingpapier ersetzt. Das 100%-ige Recyclingpapier (Refutura) soll auch durch weisses TCF-Papier ersetzt werden. Dies betrifft alle Einheiten des Staates, die sich ans Corporate Design des Staates halten müssen. Diese neuen Varianten sind kostengünstiger.</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6BE215D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32BFB69"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0958B2C8"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2ACF48A6"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6D22BF4D"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6911D33F"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308B61A4"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B6CBFE8"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760B0936"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75 000</w:t>
            </w:r>
          </w:p>
        </w:tc>
        <w:tc>
          <w:tcPr>
            <w:tcW w:w="833" w:type="pct"/>
          </w:tcPr>
          <w:p w14:paraId="206D45F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75 000</w:t>
            </w:r>
          </w:p>
        </w:tc>
        <w:tc>
          <w:tcPr>
            <w:tcW w:w="833" w:type="pct"/>
          </w:tcPr>
          <w:p w14:paraId="1B21FD8F"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75 000</w:t>
            </w:r>
          </w:p>
        </w:tc>
        <w:tc>
          <w:tcPr>
            <w:tcW w:w="831" w:type="pct"/>
          </w:tcPr>
          <w:p w14:paraId="02090EDA"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225 000</w:t>
            </w:r>
          </w:p>
        </w:tc>
      </w:tr>
      <w:tr w:rsidR="00072502" w:rsidRPr="004607F2" w14:paraId="407D6C7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E2D9D01"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66ED2AB1"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338BC7E8"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1480CF93"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2CA7E809"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26B82C10"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Aufschub der Umsetzung der Medienunterstützungspolitik an der obligatorischen Schule</w:t>
      </w:r>
    </w:p>
    <w:p w14:paraId="027F392F"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 xml:space="preserve">Massnahme: Aufschub der Umsetzung der Medienunterstützungspolitik für den Teil, der sich auf den obligatorischen Unterricht bezieht (Programm zur Vermittlung von Medienkompetenz). Dadurch wird die Presse weniger unterstützt. Der Staatsrat ist jedoch der Ansicht, dass es andere, direktere Wege zu ihrer Unterstützung gibt. Es handelt sich auch lediglich um einen Aufschub, und nicht um eine Abschaffung dieser Hilfe. </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7351F4B4"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5C16B9B"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lastRenderedPageBreak/>
              <w:t>Finanzielle Auswirkungen in Franken</w:t>
            </w:r>
          </w:p>
        </w:tc>
        <w:tc>
          <w:tcPr>
            <w:tcW w:w="833" w:type="pct"/>
          </w:tcPr>
          <w:p w14:paraId="484A079B"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5B129E2C"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744AE828"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78B92F21"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3741261C"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A259700"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7F1EAD5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64 000</w:t>
            </w:r>
          </w:p>
        </w:tc>
        <w:tc>
          <w:tcPr>
            <w:tcW w:w="833" w:type="pct"/>
          </w:tcPr>
          <w:p w14:paraId="56ECFAB5"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64 000</w:t>
            </w:r>
          </w:p>
        </w:tc>
        <w:tc>
          <w:tcPr>
            <w:tcW w:w="833" w:type="pct"/>
          </w:tcPr>
          <w:p w14:paraId="5C5AE7C4"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64 000</w:t>
            </w:r>
          </w:p>
        </w:tc>
        <w:tc>
          <w:tcPr>
            <w:tcW w:w="831" w:type="pct"/>
          </w:tcPr>
          <w:p w14:paraId="267A2744"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192 000</w:t>
            </w:r>
          </w:p>
        </w:tc>
      </w:tr>
      <w:tr w:rsidR="00072502" w:rsidRPr="004607F2" w14:paraId="17369301"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95FC1CF"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499B0089"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5A70558B"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228EA42B"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553CC3F6"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23B250A7"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Aufschub des Projekts Digifonds</w:t>
      </w:r>
    </w:p>
    <w:p w14:paraId="0ACCCE7E" w14:textId="5D2FFE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 xml:space="preserve">Die Massnahme beinhaltet den Aufschub gewisser Digifonds-Projekte. Es handelt sich nicht um eine Streichung des </w:t>
      </w:r>
      <w:r w:rsidR="0089570A">
        <w:rPr>
          <w:rFonts w:ascii="Times New Roman" w:eastAsia="Times New Roman" w:hAnsi="Times New Roman" w:cs="Times New Roman"/>
          <w:lang w:val="de-CH"/>
        </w:rPr>
        <w:t>Gesamtp</w:t>
      </w:r>
      <w:r w:rsidRPr="004607F2">
        <w:rPr>
          <w:rFonts w:ascii="Times New Roman" w:eastAsia="Times New Roman" w:hAnsi="Times New Roman" w:cs="Times New Roman"/>
          <w:lang w:val="de-CH"/>
        </w:rPr>
        <w:t>rojekts, für das der Staat bereits Mittel bereitgestellt hat, sondern um eine zeitliche Staffelung. Es ist mit einer verlängerte Projektdauer zu rechnen, dessen ursprüngliche Ziele sollten aber erreicht werden können.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0549AF06"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E1A779C"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086B9296"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21E34229"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266DE52E"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60FDD7B9"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505129D5"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6CC3259"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12B470E1"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5 000</w:t>
            </w:r>
          </w:p>
        </w:tc>
        <w:tc>
          <w:tcPr>
            <w:tcW w:w="833" w:type="pct"/>
          </w:tcPr>
          <w:p w14:paraId="2F5B149F"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88 000</w:t>
            </w:r>
          </w:p>
        </w:tc>
        <w:tc>
          <w:tcPr>
            <w:tcW w:w="833" w:type="pct"/>
          </w:tcPr>
          <w:p w14:paraId="5432EA0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29 000</w:t>
            </w:r>
          </w:p>
        </w:tc>
        <w:tc>
          <w:tcPr>
            <w:tcW w:w="831" w:type="pct"/>
          </w:tcPr>
          <w:p w14:paraId="40491FA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122 000</w:t>
            </w:r>
          </w:p>
        </w:tc>
      </w:tr>
      <w:tr w:rsidR="00072502" w:rsidRPr="004607F2" w14:paraId="65D1FCC5"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4BE9F21" w14:textId="77777777" w:rsidR="00072502" w:rsidRPr="004607F2" w:rsidRDefault="00072502" w:rsidP="007B12C8">
            <w:pPr>
              <w:spacing w:after="0"/>
              <w:rPr>
                <w:rFonts w:eastAsia="Times New Roman" w:cs="Arial"/>
                <w:b w:val="0"/>
                <w:bCs/>
                <w:sz w:val="18"/>
                <w:szCs w:val="20"/>
                <w:lang w:val="de-CH"/>
              </w:rPr>
            </w:pPr>
            <w:r w:rsidRPr="004607F2">
              <w:rPr>
                <w:rFonts w:eastAsia="Times New Roman" w:cs="Arial"/>
                <w:bCs/>
                <w:sz w:val="18"/>
                <w:lang w:val="de-CH"/>
              </w:rPr>
              <w:t>Gemeinden</w:t>
            </w:r>
          </w:p>
        </w:tc>
        <w:tc>
          <w:tcPr>
            <w:tcW w:w="833" w:type="pct"/>
          </w:tcPr>
          <w:p w14:paraId="2FEB8B28"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c>
          <w:tcPr>
            <w:tcW w:w="833" w:type="pct"/>
          </w:tcPr>
          <w:p w14:paraId="7A465305"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c>
          <w:tcPr>
            <w:tcW w:w="833" w:type="pct"/>
          </w:tcPr>
          <w:p w14:paraId="76EBF0AE"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c>
          <w:tcPr>
            <w:tcW w:w="831" w:type="pct"/>
          </w:tcPr>
          <w:p w14:paraId="547D4BCE"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r>
    </w:tbl>
    <w:p w14:paraId="43DAF0BA"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Kürzung des Mehrjahres-Globalbudgets der Universität</w:t>
      </w:r>
    </w:p>
    <w:p w14:paraId="4151DD45"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Kürzung des Universitätsbudgets. Die Universität muss damit im Rahmen des Programms zur Sanierung der Staatsfinanzen einen Beitrag leisten und wird über weniger Mittel verfügen als ursprünglich im Finanzplan vorgesehen. Aufgrund ihrer Autonomie wird sie selbst entscheiden, welche Bereiche von der Kürzung betroffen sein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2DA252FB"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CA287C4"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023F5308"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526111E0"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70F7B283"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69885142"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617A5971"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7562047"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4E212D5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500 000</w:t>
            </w:r>
          </w:p>
        </w:tc>
        <w:tc>
          <w:tcPr>
            <w:tcW w:w="833" w:type="pct"/>
          </w:tcPr>
          <w:p w14:paraId="69D6465D"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1 000 000</w:t>
            </w:r>
          </w:p>
        </w:tc>
        <w:tc>
          <w:tcPr>
            <w:tcW w:w="833" w:type="pct"/>
          </w:tcPr>
          <w:p w14:paraId="5C56481B"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1 000 000</w:t>
            </w:r>
          </w:p>
        </w:tc>
        <w:tc>
          <w:tcPr>
            <w:tcW w:w="831" w:type="pct"/>
          </w:tcPr>
          <w:p w14:paraId="75192A5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2 500 000</w:t>
            </w:r>
          </w:p>
        </w:tc>
      </w:tr>
      <w:tr w:rsidR="00072502" w:rsidRPr="004607F2" w14:paraId="2E0E7E8E"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DC63E69"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29550D60"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3EEEDD70"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CB1E90D"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00468FFD"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7D19D66A"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Einsparungen im POA</w:t>
      </w:r>
    </w:p>
    <w:p w14:paraId="63439E03"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Weniger Ausgaben beim Amt für Personal und Organisation. Die Dienstleistungen Dritter sollen reduziert werden. Dies betrifft insbesondere die Personalpolitik. Der verfügbare Betrag für Dienstleistungen Dritter soll auf 600 000 Franken begrenzt und damit um 50 000 Franken gekürzt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500AD770"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3411BC85"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277A1595"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119AB1C0"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76A1C433"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36F0D43C"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627BE2A9"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AF7D521"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20B82CFB"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50 000</w:t>
            </w:r>
          </w:p>
        </w:tc>
        <w:tc>
          <w:tcPr>
            <w:tcW w:w="833" w:type="pct"/>
          </w:tcPr>
          <w:p w14:paraId="54A2526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50 000</w:t>
            </w:r>
          </w:p>
        </w:tc>
        <w:tc>
          <w:tcPr>
            <w:tcW w:w="833" w:type="pct"/>
          </w:tcPr>
          <w:p w14:paraId="7241171B"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50 000</w:t>
            </w:r>
          </w:p>
        </w:tc>
        <w:tc>
          <w:tcPr>
            <w:tcW w:w="831" w:type="pct"/>
          </w:tcPr>
          <w:p w14:paraId="46205C25"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150 000</w:t>
            </w:r>
          </w:p>
        </w:tc>
      </w:tr>
      <w:tr w:rsidR="00072502" w:rsidRPr="004607F2" w14:paraId="092B1C1D"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5B36AD3"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0F15FD0B"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5999410C"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7615015"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1B4A36F5"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55E24679"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Änderung der Abschreibungspolitik</w:t>
      </w:r>
    </w:p>
    <w:p w14:paraId="64B663CD"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Anpassung der Abschreibungspolitik des Staates. Derzeit beginnt die Abschreibung eines Objekts mit Beginn der Investitionsausgaben zu einem festen Abschreibungssatz auf den Restwert mit einer Abschreibungsdauer von 20 Jahren.</w:t>
      </w:r>
    </w:p>
    <w:p w14:paraId="441F9321"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 xml:space="preserve">Der Staatsrat schlägt eine Überarbeitung der Abschreibungspolitik vor. Die Änderungen bewirken eine Verschiebung des Abschreibungsbeginns, d. h. der Beginn der Abschreibung einer neuen Investition des Verwaltungsvermögens wird auf den Zeitpunkt ihrer Nutzungsaufnahme verschoben, jedoch spätestens 4 Jahre nach dem Investitionsbeschluss bzw. dem Verpflichtungskredit. Diese Änderungen betreffen nur die Objekt- bzw. Ausführungskredite, die den Grossteil des Investitionsvolumens für das Verwaltungsvermögen des Staates ausmachen. Mit dieser 4-Jahres-Grenze soll ein «spätester» Beginn vorgesehen werden, damit der Abschreibungsbeginn nicht zu weit weg rückt. Dabei muss übrigens die oft spät erstellte Schlussabrechnung nicht unbedingt vor Beginn der Abschreibung vorliegen. Diese Änderungen können ohne Änderung des Gesetzes über den Finanzhaushalt des Staates vorgenommen werden. Die finanziellen Auswirkungen hängen vom Investitionsvolumen und von der Realisierung ab. </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04AC850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A5C22CC"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lastRenderedPageBreak/>
              <w:t>Finanzielle Auswirkungen in Franken</w:t>
            </w:r>
          </w:p>
        </w:tc>
        <w:tc>
          <w:tcPr>
            <w:tcW w:w="833" w:type="pct"/>
          </w:tcPr>
          <w:p w14:paraId="0BAF9C5E"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6B0E74B9"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24A0CE5A"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481910F6"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57B687F1"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97871AD"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4CADD7A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3 500 000</w:t>
            </w:r>
          </w:p>
        </w:tc>
        <w:tc>
          <w:tcPr>
            <w:tcW w:w="833" w:type="pct"/>
          </w:tcPr>
          <w:p w14:paraId="443731C1"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8 570 000</w:t>
            </w:r>
          </w:p>
        </w:tc>
        <w:tc>
          <w:tcPr>
            <w:tcW w:w="833" w:type="pct"/>
          </w:tcPr>
          <w:p w14:paraId="147C9E45"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1 200 000</w:t>
            </w:r>
          </w:p>
        </w:tc>
        <w:tc>
          <w:tcPr>
            <w:tcW w:w="831" w:type="pct"/>
          </w:tcPr>
          <w:p w14:paraId="0BD078CA"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13 270 000</w:t>
            </w:r>
          </w:p>
        </w:tc>
      </w:tr>
      <w:tr w:rsidR="00072502" w:rsidRPr="004607F2" w14:paraId="6E009B59"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08A08FD"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1A877C9F"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5AC4A7C4"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4564F966"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4DC086CF"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2854919B"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Ausgliederung und Verkauf von Alphütten (Veräusserung nicht strategischer Vermögenswerte)</w:t>
      </w:r>
    </w:p>
    <w:p w14:paraId="4F62ACEB" w14:textId="0742AB4E"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 xml:space="preserve">Massnahme: Verkauf von Alphütten, die für den Staat Freiburg nicht von strategischer Bedeutung sind. Die staatseigenen Alphütten, die land- und forstwirtschaftlich genutzt werden, verbleiben im Besitz des Kantons und werden weiterhin entsprechend instand gehalten. Der Verkauf wird die Kosten des Staates (Versicherungen, Instandhaltung) senken. Im Falle eines Verkaufs fallen bestimmte Mieteinnahmen weg. Der Verkaufspreis der Alphütten ist nicht in den finanziellen Auswirkungen eingerechnet. </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7A421B40"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7908366"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1E0D933C"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09D61A99"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75C72317"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739A1C71"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16389BDF"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51C5E5C"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3C5CCFDB" w14:textId="13B71B61" w:rsidR="00072502" w:rsidRPr="004607F2" w:rsidRDefault="0089570A"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Pr>
                <w:rFonts w:eastAsia="Times New Roman" w:cs="Arial"/>
                <w:color w:val="000000"/>
                <w:sz w:val="18"/>
                <w:lang w:val="de-CH"/>
              </w:rPr>
              <w:t>1</w:t>
            </w:r>
            <w:r w:rsidR="00072502" w:rsidRPr="004607F2">
              <w:rPr>
                <w:rFonts w:eastAsia="Times New Roman" w:cs="Arial"/>
                <w:color w:val="000000"/>
                <w:sz w:val="18"/>
                <w:lang w:val="de-CH"/>
              </w:rPr>
              <w:t>5 000</w:t>
            </w:r>
          </w:p>
        </w:tc>
        <w:tc>
          <w:tcPr>
            <w:tcW w:w="833" w:type="pct"/>
          </w:tcPr>
          <w:p w14:paraId="4F9ED5A1" w14:textId="19541D81" w:rsidR="00072502" w:rsidRPr="004607F2" w:rsidRDefault="0089570A"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Pr>
                <w:rFonts w:eastAsia="Times New Roman" w:cs="Arial"/>
                <w:color w:val="000000"/>
                <w:sz w:val="18"/>
                <w:lang w:val="de-CH"/>
              </w:rPr>
              <w:t>3</w:t>
            </w:r>
            <w:r w:rsidR="00072502" w:rsidRPr="004607F2">
              <w:rPr>
                <w:rFonts w:eastAsia="Times New Roman" w:cs="Arial"/>
                <w:color w:val="000000"/>
                <w:sz w:val="18"/>
                <w:lang w:val="de-CH"/>
              </w:rPr>
              <w:t>0 000</w:t>
            </w:r>
          </w:p>
        </w:tc>
        <w:tc>
          <w:tcPr>
            <w:tcW w:w="833" w:type="pct"/>
          </w:tcPr>
          <w:p w14:paraId="1B766FDC" w14:textId="2CDAC5C8" w:rsidR="00072502" w:rsidRPr="004607F2" w:rsidRDefault="0089570A"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Pr>
                <w:rFonts w:eastAsia="Times New Roman" w:cs="Arial"/>
                <w:color w:val="000000"/>
                <w:sz w:val="18"/>
                <w:lang w:val="de-CH"/>
              </w:rPr>
              <w:t>6</w:t>
            </w:r>
            <w:r w:rsidR="00072502" w:rsidRPr="004607F2">
              <w:rPr>
                <w:rFonts w:eastAsia="Times New Roman" w:cs="Arial"/>
                <w:color w:val="000000"/>
                <w:sz w:val="18"/>
                <w:lang w:val="de-CH"/>
              </w:rPr>
              <w:t>0 000</w:t>
            </w:r>
          </w:p>
        </w:tc>
        <w:tc>
          <w:tcPr>
            <w:tcW w:w="831" w:type="pct"/>
          </w:tcPr>
          <w:p w14:paraId="29AE13C1" w14:textId="2A1FF5D3" w:rsidR="00072502" w:rsidRPr="004607F2" w:rsidRDefault="0089570A"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Pr>
                <w:rFonts w:eastAsia="Times New Roman" w:cs="Arial"/>
                <w:color w:val="000000"/>
                <w:sz w:val="18"/>
                <w:lang w:val="de-CH"/>
              </w:rPr>
              <w:t>105</w:t>
            </w:r>
            <w:r w:rsidRPr="004607F2">
              <w:rPr>
                <w:rFonts w:eastAsia="Times New Roman" w:cs="Arial"/>
                <w:color w:val="000000"/>
                <w:sz w:val="18"/>
                <w:lang w:val="de-CH"/>
              </w:rPr>
              <w:t> </w:t>
            </w:r>
            <w:r w:rsidR="00072502" w:rsidRPr="004607F2">
              <w:rPr>
                <w:rFonts w:eastAsia="Times New Roman" w:cs="Arial"/>
                <w:color w:val="000000"/>
                <w:sz w:val="18"/>
                <w:lang w:val="de-CH"/>
              </w:rPr>
              <w:t>000</w:t>
            </w:r>
          </w:p>
        </w:tc>
      </w:tr>
      <w:tr w:rsidR="00072502" w:rsidRPr="004607F2" w14:paraId="102B08DC"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4C07BCD"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375A2D62"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198BCE23"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236FDDC6"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159BAC3B"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5DFFA6F4" w14:textId="77777777" w:rsidR="00072502" w:rsidRPr="004607F2" w:rsidRDefault="00072502" w:rsidP="00072502">
      <w:pPr>
        <w:contextualSpacing/>
        <w:rPr>
          <w:rFonts w:ascii="Times New Roman" w:eastAsia="Times New Roman" w:hAnsi="Times New Roman" w:cs="Times New Roman"/>
          <w:b/>
          <w:bCs/>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Änderung im Fonds für Bodenverbesserungen</w:t>
      </w:r>
    </w:p>
    <w:p w14:paraId="33B4BFF9"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Änderung im Fonds für Bodenverbesserungen. Weniger Fondseinlagen aufgrund des derzeit geringen Bedarfs. Die Leistungen für die Bodenverbesserungen bleiben.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7E5F0BD9"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38358B6C"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79329183"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24054248"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78CC8903"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59B13585"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38830152"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F56908D"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56F4297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192 000</w:t>
            </w:r>
          </w:p>
        </w:tc>
        <w:tc>
          <w:tcPr>
            <w:tcW w:w="833" w:type="pct"/>
          </w:tcPr>
          <w:p w14:paraId="6FE8B06B"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241 000</w:t>
            </w:r>
          </w:p>
        </w:tc>
        <w:tc>
          <w:tcPr>
            <w:tcW w:w="833" w:type="pct"/>
          </w:tcPr>
          <w:p w14:paraId="4CC4FD6B"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295 000</w:t>
            </w:r>
          </w:p>
        </w:tc>
        <w:tc>
          <w:tcPr>
            <w:tcW w:w="831" w:type="pct"/>
          </w:tcPr>
          <w:p w14:paraId="3C3AD826"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728 000</w:t>
            </w:r>
          </w:p>
        </w:tc>
      </w:tr>
      <w:tr w:rsidR="00072502" w:rsidRPr="004607F2" w14:paraId="1CCA2EA6"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4D686A0"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04F767D1"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22567F8A"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B6796F7"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001766AA"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136C5433"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Keine weiteren Mittel für den Pflanzenschutz</w:t>
      </w:r>
      <w:r>
        <w:rPr>
          <w:rFonts w:ascii="Times New Roman" w:eastAsia="Times New Roman" w:hAnsi="Times New Roman" w:cs="Times New Roman"/>
          <w:b/>
          <w:lang w:val="de-CH"/>
        </w:rPr>
        <w:t>mittel</w:t>
      </w:r>
      <w:r w:rsidRPr="004607F2">
        <w:rPr>
          <w:rFonts w:ascii="Times New Roman" w:eastAsia="Times New Roman" w:hAnsi="Times New Roman" w:cs="Times New Roman"/>
          <w:b/>
          <w:lang w:val="de-CH"/>
        </w:rPr>
        <w:t>-Aktionsplan ab 2027</w:t>
      </w:r>
    </w:p>
    <w:p w14:paraId="3DE6EAFD"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Ab 2027 gibt es keine weiteren Mittel für den Pflanzenschutzmittel-Aktionsplan. Die ILFD und die RIMU hatten ursprünglich vorgeschlagen, d</w:t>
      </w:r>
      <w:r>
        <w:rPr>
          <w:rFonts w:ascii="Times New Roman" w:eastAsia="Times New Roman" w:hAnsi="Times New Roman" w:cs="Times New Roman"/>
          <w:lang w:val="de-CH"/>
        </w:rPr>
        <w:t>iesen Aktionsplan</w:t>
      </w:r>
      <w:r w:rsidRPr="004607F2">
        <w:rPr>
          <w:rFonts w:ascii="Times New Roman" w:eastAsia="Times New Roman" w:hAnsi="Times New Roman" w:cs="Times New Roman"/>
          <w:lang w:val="de-CH"/>
        </w:rPr>
        <w:t xml:space="preserve"> über das Jahr 2026 hinaus zu verlängern, was aber nicht der Fall sein wird. </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0ADA733D"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ED1CA2B"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3145C0CB"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5C01F82C"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529A9450"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0F38A339"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12FA7606"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983A11B"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49C8809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0</w:t>
            </w:r>
          </w:p>
        </w:tc>
        <w:tc>
          <w:tcPr>
            <w:tcW w:w="833" w:type="pct"/>
          </w:tcPr>
          <w:p w14:paraId="2BFB1853"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550 000</w:t>
            </w:r>
          </w:p>
        </w:tc>
        <w:tc>
          <w:tcPr>
            <w:tcW w:w="833" w:type="pct"/>
          </w:tcPr>
          <w:p w14:paraId="5AE0E35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550 000</w:t>
            </w:r>
          </w:p>
        </w:tc>
        <w:tc>
          <w:tcPr>
            <w:tcW w:w="831" w:type="pct"/>
          </w:tcPr>
          <w:p w14:paraId="007E93D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1 100 000</w:t>
            </w:r>
          </w:p>
        </w:tc>
      </w:tr>
      <w:tr w:rsidR="00072502" w:rsidRPr="004607F2" w14:paraId="26B849AF"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D8E92A2"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519C16A6"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C1DAC91"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49721922"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393AFAE7"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06EF8948"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Abriss des Schweinestalls in Grangeneuve</w:t>
      </w:r>
    </w:p>
    <w:p w14:paraId="2E72464E" w14:textId="028ECFB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Abriss des Schweinestalls in Grangeneuve, der aus den 1970er Jahren stammt und im Laufe der Zeit an die technologischen Entwicklungen angepasst worden ist. Er entspricht zwar den Tierhaltungsstandards, ist aber kein Vorzeigemodell und auch nicht mehr rentabel. Das Sparpotenzial dieser Massnahme ist aufgrund der Kosten des für 2026 geplanten Abbruchs gering.</w:t>
      </w:r>
      <w:r w:rsidR="00737DF7">
        <w:rPr>
          <w:rFonts w:ascii="Times New Roman" w:eastAsia="Times New Roman" w:hAnsi="Times New Roman" w:cs="Times New Roman"/>
          <w:lang w:val="de-CH"/>
        </w:rPr>
        <w:t xml:space="preserve"> Es soll übrigens zusammen mit Agroscope im Rahmen der Gesamterneuerung</w:t>
      </w:r>
      <w:r w:rsidR="00C7297E">
        <w:rPr>
          <w:rFonts w:ascii="Times New Roman" w:eastAsia="Times New Roman" w:hAnsi="Times New Roman" w:cs="Times New Roman"/>
          <w:lang w:val="de-CH"/>
        </w:rPr>
        <w:t xml:space="preserve"> der Ställe</w:t>
      </w:r>
      <w:r w:rsidR="00737DF7">
        <w:rPr>
          <w:rFonts w:ascii="Times New Roman" w:eastAsia="Times New Roman" w:hAnsi="Times New Roman" w:cs="Times New Roman"/>
          <w:lang w:val="de-CH"/>
        </w:rPr>
        <w:t xml:space="preserve"> am Standort Posieux ein neuer Schweinestall gebaut werden.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56DA920A"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0FFEC2F"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2514BCB7"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279872DA"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1E7ADBC8"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6A4E3F2D"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0EE8FF0C"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A216AAB"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0F05DE3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2854D1">
              <w:rPr>
                <w:rFonts w:eastAsia="Times New Roman" w:cs="Arial"/>
                <w:bCs/>
                <w:color w:val="000000"/>
                <w:sz w:val="18"/>
                <w:lang w:val="de-CH"/>
              </w:rPr>
              <w:t>– </w:t>
            </w:r>
            <w:r w:rsidRPr="004607F2">
              <w:rPr>
                <w:rFonts w:eastAsia="Times New Roman" w:cs="Arial"/>
                <w:color w:val="000000"/>
                <w:sz w:val="18"/>
                <w:lang w:val="de-CH"/>
              </w:rPr>
              <w:t>200 000</w:t>
            </w:r>
          </w:p>
        </w:tc>
        <w:tc>
          <w:tcPr>
            <w:tcW w:w="833" w:type="pct"/>
          </w:tcPr>
          <w:p w14:paraId="6F2AB161"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160 000</w:t>
            </w:r>
          </w:p>
        </w:tc>
        <w:tc>
          <w:tcPr>
            <w:tcW w:w="833" w:type="pct"/>
          </w:tcPr>
          <w:p w14:paraId="53E3C86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160 000</w:t>
            </w:r>
          </w:p>
        </w:tc>
        <w:tc>
          <w:tcPr>
            <w:tcW w:w="831" w:type="pct"/>
          </w:tcPr>
          <w:p w14:paraId="648CF6E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120 000</w:t>
            </w:r>
          </w:p>
        </w:tc>
      </w:tr>
      <w:tr w:rsidR="00072502" w:rsidRPr="004607F2" w14:paraId="5DB11D4C"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B8D1DE4"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0FC085F4"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67DF981D"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07DB6C67"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07DA530F"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6EBDC4F3"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 xml:space="preserve">Auf Preissenkungen ausgerichtete Praxisänderung bei der KLV </w:t>
      </w:r>
    </w:p>
    <w:p w14:paraId="01397E0A" w14:textId="14760C51"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Praxisänderung der kantonalen Lehrmittelverwaltung (KLV) für mehr Effizienz. Dabei gibt es drei Schwerpunkte: Erstens werden Einkäufe ausserhalb der KLV auf 10</w:t>
      </w:r>
      <w:r w:rsidR="00B00875">
        <w:rPr>
          <w:rFonts w:ascii="Times New Roman" w:eastAsia="Times New Roman" w:hAnsi="Times New Roman" w:cs="Times New Roman"/>
          <w:lang w:val="de-CH"/>
        </w:rPr>
        <w:t> </w:t>
      </w:r>
      <w:r w:rsidRPr="004607F2">
        <w:rPr>
          <w:rFonts w:ascii="Times New Roman" w:eastAsia="Times New Roman" w:hAnsi="Times New Roman" w:cs="Times New Roman"/>
          <w:lang w:val="de-CH"/>
        </w:rPr>
        <w:t xml:space="preserve">% der Gesamteinkäufe für die Positionen </w:t>
      </w:r>
      <w:r w:rsidRPr="004607F2">
        <w:rPr>
          <w:rFonts w:ascii="Times New Roman" w:eastAsia="Times New Roman" w:hAnsi="Times New Roman" w:cs="Times New Roman"/>
          <w:lang w:val="de-CH"/>
        </w:rPr>
        <w:lastRenderedPageBreak/>
        <w:t>«Lehrmittel» und «Schulmaterial» begrenzt. Zweitens soll der Staat einen Anteil am Gewinn der KLV in Höhe von 15% in Form einer Gutschrift erhalten. Drittens wird die KLV eine Einzelartikel</w:t>
      </w:r>
      <w:r w:rsidR="00B50C29">
        <w:rPr>
          <w:rFonts w:ascii="Times New Roman" w:eastAsia="Times New Roman" w:hAnsi="Times New Roman" w:cs="Times New Roman"/>
          <w:lang w:val="de-CH"/>
        </w:rPr>
        <w:t>-</w:t>
      </w:r>
      <w:r w:rsidRPr="004607F2">
        <w:rPr>
          <w:rFonts w:ascii="Times New Roman" w:eastAsia="Times New Roman" w:hAnsi="Times New Roman" w:cs="Times New Roman"/>
          <w:lang w:val="de-CH"/>
        </w:rPr>
        <w:t xml:space="preserve"> und AOP-Strategie fahren, </w:t>
      </w:r>
      <w:r w:rsidR="00B50C29">
        <w:rPr>
          <w:rFonts w:ascii="Times New Roman" w:eastAsia="Times New Roman" w:hAnsi="Times New Roman" w:cs="Times New Roman"/>
          <w:lang w:val="de-CH"/>
        </w:rPr>
        <w:t xml:space="preserve">um </w:t>
      </w:r>
      <w:r w:rsidRPr="004607F2">
        <w:rPr>
          <w:rFonts w:ascii="Times New Roman" w:eastAsia="Times New Roman" w:hAnsi="Times New Roman" w:cs="Times New Roman"/>
          <w:lang w:val="de-CH"/>
        </w:rPr>
        <w:t>die Vielfalt des Artikelangebot</w:t>
      </w:r>
      <w:r w:rsidR="00B50C29">
        <w:rPr>
          <w:rFonts w:ascii="Times New Roman" w:eastAsia="Times New Roman" w:hAnsi="Times New Roman" w:cs="Times New Roman"/>
          <w:lang w:val="de-CH"/>
        </w:rPr>
        <w:t>s</w:t>
      </w:r>
      <w:r w:rsidRPr="004607F2">
        <w:rPr>
          <w:rFonts w:ascii="Times New Roman" w:eastAsia="Times New Roman" w:hAnsi="Times New Roman" w:cs="Times New Roman"/>
          <w:lang w:val="de-CH"/>
        </w:rPr>
        <w:t xml:space="preserve"> zu reduzieren.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377DAB27"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5A4FE82"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75C46F88"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0BF7A37E"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3647C402"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7A375325"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3EDC5E3A"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B1BC29E"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2306243B"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66 000</w:t>
            </w:r>
          </w:p>
        </w:tc>
        <w:tc>
          <w:tcPr>
            <w:tcW w:w="833" w:type="pct"/>
          </w:tcPr>
          <w:p w14:paraId="3DA8B696"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96 000</w:t>
            </w:r>
          </w:p>
        </w:tc>
        <w:tc>
          <w:tcPr>
            <w:tcW w:w="833" w:type="pct"/>
          </w:tcPr>
          <w:p w14:paraId="0C717974"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96 000</w:t>
            </w:r>
          </w:p>
        </w:tc>
        <w:tc>
          <w:tcPr>
            <w:tcW w:w="831" w:type="pct"/>
          </w:tcPr>
          <w:p w14:paraId="784D0C43"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258 000</w:t>
            </w:r>
          </w:p>
        </w:tc>
      </w:tr>
      <w:tr w:rsidR="00072502" w:rsidRPr="004607F2" w14:paraId="0EE1AAAE"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717A286"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50C2C525"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5B120DCE"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3" w:type="pct"/>
          </w:tcPr>
          <w:p w14:paraId="5EA89138"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c>
          <w:tcPr>
            <w:tcW w:w="831" w:type="pct"/>
          </w:tcPr>
          <w:p w14:paraId="03D7F514"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sidRPr="004607F2">
              <w:rPr>
                <w:rFonts w:eastAsia="Times New Roman" w:cs="Arial"/>
                <w:b w:val="0"/>
                <w:color w:val="000000"/>
                <w:sz w:val="18"/>
                <w:lang w:val="de-CH"/>
              </w:rPr>
              <w:t>0</w:t>
            </w:r>
          </w:p>
        </w:tc>
      </w:tr>
    </w:tbl>
    <w:p w14:paraId="025D8159"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Verzicht auf Löhne für Schülerinnen und Schüler der EMF und der Eikon</w:t>
      </w:r>
    </w:p>
    <w:p w14:paraId="5837E648" w14:textId="23B28EA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Den Schülerinnen und Schülern der Berufsfachschule Freiburg und der Berufsfachschule für Gestaltung des Kantons Freiburg soll kein Lohn mehr gezahlt werden. Derzeit hängen die Förderprämien von den Noten und von der Lernbereitschaft ab. Andere Prämien, die an Praktika in Unternehmen und/oder Auftragsarbeiten gebunden sind, sind möglich und werden nicht angetastet.</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2AF917DE"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38A45C7"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1AA3CA2C"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188FBC99"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5D42FF6A"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6E4D6A6F"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2A11F524"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11556B9"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1AACBE1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297 000</w:t>
            </w:r>
          </w:p>
        </w:tc>
        <w:tc>
          <w:tcPr>
            <w:tcW w:w="833" w:type="pct"/>
          </w:tcPr>
          <w:p w14:paraId="70054BC0"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298 500</w:t>
            </w:r>
          </w:p>
        </w:tc>
        <w:tc>
          <w:tcPr>
            <w:tcW w:w="833" w:type="pct"/>
          </w:tcPr>
          <w:p w14:paraId="1637E4F6"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300 000</w:t>
            </w:r>
          </w:p>
        </w:tc>
        <w:tc>
          <w:tcPr>
            <w:tcW w:w="831" w:type="pct"/>
          </w:tcPr>
          <w:p w14:paraId="79576D88"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895 500</w:t>
            </w:r>
          </w:p>
        </w:tc>
      </w:tr>
      <w:tr w:rsidR="00072502" w:rsidRPr="004607F2" w14:paraId="5E20FC04"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DF62DF0" w14:textId="77777777" w:rsidR="00072502" w:rsidRPr="004607F2" w:rsidRDefault="00072502" w:rsidP="007B12C8">
            <w:pPr>
              <w:spacing w:after="0"/>
              <w:rPr>
                <w:rFonts w:eastAsia="Times New Roman" w:cs="Arial"/>
                <w:b w:val="0"/>
                <w:bCs/>
                <w:sz w:val="18"/>
                <w:szCs w:val="20"/>
                <w:lang w:val="de-CH"/>
              </w:rPr>
            </w:pPr>
            <w:r w:rsidRPr="004607F2">
              <w:rPr>
                <w:rFonts w:eastAsia="Times New Roman" w:cs="Arial"/>
                <w:b w:val="0"/>
                <w:bCs/>
                <w:sz w:val="18"/>
                <w:lang w:val="de-CH"/>
              </w:rPr>
              <w:t>Gemeinden</w:t>
            </w:r>
          </w:p>
        </w:tc>
        <w:tc>
          <w:tcPr>
            <w:tcW w:w="833" w:type="pct"/>
          </w:tcPr>
          <w:p w14:paraId="384D0B15"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 w:val="0"/>
                <w:bCs/>
                <w:color w:val="000000"/>
                <w:sz w:val="18"/>
                <w:lang w:val="de-CH"/>
              </w:rPr>
              <w:t>0</w:t>
            </w:r>
          </w:p>
        </w:tc>
        <w:tc>
          <w:tcPr>
            <w:tcW w:w="833" w:type="pct"/>
          </w:tcPr>
          <w:p w14:paraId="7EAEF59F"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 w:val="0"/>
                <w:bCs/>
                <w:color w:val="000000"/>
                <w:sz w:val="18"/>
                <w:lang w:val="de-CH"/>
              </w:rPr>
              <w:t>0</w:t>
            </w:r>
          </w:p>
        </w:tc>
        <w:tc>
          <w:tcPr>
            <w:tcW w:w="833" w:type="pct"/>
          </w:tcPr>
          <w:p w14:paraId="1911E287"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 w:val="0"/>
                <w:bCs/>
                <w:color w:val="000000"/>
                <w:sz w:val="18"/>
                <w:lang w:val="de-CH"/>
              </w:rPr>
              <w:t>0</w:t>
            </w:r>
          </w:p>
        </w:tc>
        <w:tc>
          <w:tcPr>
            <w:tcW w:w="831" w:type="pct"/>
          </w:tcPr>
          <w:p w14:paraId="5E2C21FE"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 w:val="0"/>
                <w:bCs/>
                <w:color w:val="000000"/>
                <w:sz w:val="18"/>
                <w:lang w:val="de-CH"/>
              </w:rPr>
              <w:t>0</w:t>
            </w:r>
          </w:p>
        </w:tc>
      </w:tr>
    </w:tbl>
    <w:p w14:paraId="32711120"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Rekapitalisierung Stiftung Seed Capital Freiburg</w:t>
      </w:r>
    </w:p>
    <w:p w14:paraId="36AAD324"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 xml:space="preserve">Massnahme: Rekapitalisierung der Stiftung Seed Capital Freiburg. Nach neuesten Informationen scheint dies derzeit nicht notwendig zu sein. Der Staatsrat wird die Entwicklung der Situation genauer beurteilen. </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4D100742"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272CFBD"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19986053"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05B421C1"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6A7F952B"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3B8A8B55"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62038925"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AF33E79"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60B09D71"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600 000</w:t>
            </w:r>
          </w:p>
        </w:tc>
        <w:tc>
          <w:tcPr>
            <w:tcW w:w="833" w:type="pct"/>
          </w:tcPr>
          <w:p w14:paraId="7294F10F"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600 000</w:t>
            </w:r>
          </w:p>
        </w:tc>
        <w:tc>
          <w:tcPr>
            <w:tcW w:w="833" w:type="pct"/>
          </w:tcPr>
          <w:p w14:paraId="56F0B3B3"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600 000</w:t>
            </w:r>
          </w:p>
        </w:tc>
        <w:tc>
          <w:tcPr>
            <w:tcW w:w="831" w:type="pct"/>
          </w:tcPr>
          <w:p w14:paraId="6B2ABF8E"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1 800 000</w:t>
            </w:r>
          </w:p>
        </w:tc>
      </w:tr>
      <w:tr w:rsidR="00072502" w:rsidRPr="004607F2" w14:paraId="0B95A033"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CB13346" w14:textId="77777777" w:rsidR="00072502" w:rsidRPr="004607F2" w:rsidRDefault="00072502" w:rsidP="007B12C8">
            <w:pPr>
              <w:spacing w:after="0"/>
              <w:rPr>
                <w:rFonts w:eastAsia="Times New Roman" w:cs="Arial"/>
                <w:b w:val="0"/>
                <w:bCs/>
                <w:sz w:val="18"/>
                <w:szCs w:val="20"/>
                <w:lang w:val="de-CH"/>
              </w:rPr>
            </w:pPr>
            <w:r w:rsidRPr="004607F2">
              <w:rPr>
                <w:rFonts w:eastAsia="Times New Roman" w:cs="Arial"/>
                <w:bCs/>
                <w:sz w:val="18"/>
                <w:lang w:val="de-CH"/>
              </w:rPr>
              <w:t>Gemeinden</w:t>
            </w:r>
          </w:p>
        </w:tc>
        <w:tc>
          <w:tcPr>
            <w:tcW w:w="833" w:type="pct"/>
          </w:tcPr>
          <w:p w14:paraId="7508CE4E"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c>
          <w:tcPr>
            <w:tcW w:w="833" w:type="pct"/>
          </w:tcPr>
          <w:p w14:paraId="6DDF8A48"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c>
          <w:tcPr>
            <w:tcW w:w="833" w:type="pct"/>
          </w:tcPr>
          <w:p w14:paraId="33C8E76A"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c>
          <w:tcPr>
            <w:tcW w:w="831" w:type="pct"/>
          </w:tcPr>
          <w:p w14:paraId="3D629FB4"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bCs/>
                <w:color w:val="000000"/>
                <w:sz w:val="18"/>
                <w:szCs w:val="20"/>
                <w:lang w:val="de-CH"/>
              </w:rPr>
            </w:pPr>
            <w:r w:rsidRPr="004607F2">
              <w:rPr>
                <w:rFonts w:eastAsia="Times New Roman" w:cs="Arial"/>
                <w:bCs/>
                <w:color w:val="000000"/>
                <w:sz w:val="18"/>
                <w:lang w:val="de-CH"/>
              </w:rPr>
              <w:t>0</w:t>
            </w:r>
          </w:p>
        </w:tc>
      </w:tr>
    </w:tbl>
    <w:p w14:paraId="062F75E9"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b/>
          <w:lang w:val="de-CH"/>
        </w:rPr>
        <w:t>&gt;</w:t>
      </w:r>
      <w:r w:rsidRPr="004607F2">
        <w:rPr>
          <w:rFonts w:ascii="Times New Roman" w:eastAsia="Times New Roman" w:hAnsi="Times New Roman" w:cs="Times New Roman"/>
          <w:b/>
          <w:lang w:val="de-CH"/>
        </w:rPr>
        <w:tab/>
        <w:t>Verkleinerung des kantonalen Strassennetzes</w:t>
      </w:r>
    </w:p>
    <w:p w14:paraId="65CB13A7" w14:textId="77777777" w:rsidR="00072502" w:rsidRPr="004607F2" w:rsidRDefault="00072502" w:rsidP="00072502">
      <w:pPr>
        <w:rPr>
          <w:rFonts w:ascii="Times New Roman" w:eastAsia="Times New Roman" w:hAnsi="Times New Roman" w:cs="Times New Roman"/>
          <w:lang w:val="de-CH"/>
        </w:rPr>
      </w:pPr>
      <w:r w:rsidRPr="004607F2">
        <w:rPr>
          <w:rFonts w:ascii="Times New Roman" w:eastAsia="Times New Roman" w:hAnsi="Times New Roman" w:cs="Times New Roman"/>
          <w:lang w:val="de-CH"/>
        </w:rPr>
        <w:t>Massnahme: Verkleinerung des kantonalen Strassennetzes. Nach dem Entwurf des Mobilitätsgesetzes des Staatsrats vom August 2021 waren 650 km statt der vom Grossen Rat am 5. November 2021 beschlossenen 683 km Kantonsstrassen vorgesehen. Das kantonale Strassennetz fällt in den Zuständigkeitsbereich des Staatsrats. Daher wird er auf die ursprünglich von ihm befürwortete Variante zurückkommen.</w:t>
      </w:r>
    </w:p>
    <w:tbl>
      <w:tblPr>
        <w:tblStyle w:val="TableauEtatFR"/>
        <w:tblW w:w="5000" w:type="pct"/>
        <w:tblLook w:val="04E0" w:firstRow="1" w:lastRow="1" w:firstColumn="1" w:lastColumn="0" w:noHBand="0" w:noVBand="1"/>
      </w:tblPr>
      <w:tblGrid>
        <w:gridCol w:w="3312"/>
        <w:gridCol w:w="1653"/>
        <w:gridCol w:w="1653"/>
        <w:gridCol w:w="1653"/>
        <w:gridCol w:w="1649"/>
      </w:tblGrid>
      <w:tr w:rsidR="00072502" w:rsidRPr="004607F2" w14:paraId="75A66AA3" w14:textId="77777777" w:rsidTr="007B12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3ABDEDB9" w14:textId="77777777" w:rsidR="00072502" w:rsidRPr="004607F2" w:rsidRDefault="00072502" w:rsidP="007B12C8">
            <w:pPr>
              <w:spacing w:after="0"/>
              <w:rPr>
                <w:rFonts w:eastAsia="Times New Roman" w:cs="Arial"/>
                <w:bCs/>
                <w:sz w:val="21"/>
                <w:szCs w:val="20"/>
                <w:lang w:val="de-CH"/>
              </w:rPr>
            </w:pPr>
            <w:r w:rsidRPr="004607F2">
              <w:rPr>
                <w:rFonts w:eastAsia="Times New Roman" w:cs="Arial"/>
                <w:sz w:val="18"/>
                <w:lang w:val="de-CH"/>
              </w:rPr>
              <w:t>Finanzielle Auswirkungen in Franken</w:t>
            </w:r>
          </w:p>
        </w:tc>
        <w:tc>
          <w:tcPr>
            <w:tcW w:w="833" w:type="pct"/>
          </w:tcPr>
          <w:p w14:paraId="235595F2"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2026</w:t>
            </w:r>
          </w:p>
        </w:tc>
        <w:tc>
          <w:tcPr>
            <w:tcW w:w="833" w:type="pct"/>
          </w:tcPr>
          <w:p w14:paraId="2566202F"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2027</w:t>
            </w:r>
          </w:p>
        </w:tc>
        <w:tc>
          <w:tcPr>
            <w:tcW w:w="833" w:type="pct"/>
          </w:tcPr>
          <w:p w14:paraId="59ED788C"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2028</w:t>
            </w:r>
          </w:p>
        </w:tc>
        <w:tc>
          <w:tcPr>
            <w:tcW w:w="831" w:type="pct"/>
          </w:tcPr>
          <w:p w14:paraId="06368C06" w14:textId="77777777" w:rsidR="00072502" w:rsidRPr="004607F2" w:rsidRDefault="00072502" w:rsidP="007B12C8">
            <w:pPr>
              <w:spacing w:after="0"/>
              <w:ind w:right="57"/>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8"/>
                <w:szCs w:val="20"/>
                <w:lang w:val="de-CH"/>
              </w:rPr>
            </w:pPr>
            <w:r w:rsidRPr="004607F2">
              <w:rPr>
                <w:rFonts w:eastAsia="Times New Roman" w:cs="Arial"/>
                <w:sz w:val="18"/>
                <w:lang w:val="de-CH"/>
              </w:rPr>
              <w:t>Total</w:t>
            </w:r>
          </w:p>
        </w:tc>
      </w:tr>
      <w:tr w:rsidR="00072502" w:rsidRPr="004607F2" w14:paraId="42AB8651" w14:textId="77777777" w:rsidTr="007B12C8">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C55F2B8" w14:textId="77777777" w:rsidR="00072502" w:rsidRPr="004607F2" w:rsidRDefault="00072502" w:rsidP="007B12C8">
            <w:pPr>
              <w:spacing w:after="0"/>
              <w:rPr>
                <w:rFonts w:eastAsia="Times New Roman" w:cs="Arial"/>
                <w:bCs/>
                <w:sz w:val="18"/>
                <w:szCs w:val="20"/>
                <w:lang w:val="de-CH"/>
              </w:rPr>
            </w:pPr>
            <w:r w:rsidRPr="004607F2">
              <w:rPr>
                <w:rFonts w:eastAsia="Times New Roman" w:cs="Arial"/>
                <w:sz w:val="18"/>
                <w:lang w:val="de-CH"/>
              </w:rPr>
              <w:t>Staat</w:t>
            </w:r>
          </w:p>
        </w:tc>
        <w:tc>
          <w:tcPr>
            <w:tcW w:w="833" w:type="pct"/>
          </w:tcPr>
          <w:p w14:paraId="584D27ED"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1 650 000</w:t>
            </w:r>
          </w:p>
        </w:tc>
        <w:tc>
          <w:tcPr>
            <w:tcW w:w="833" w:type="pct"/>
          </w:tcPr>
          <w:p w14:paraId="230199F3"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1 650 000</w:t>
            </w:r>
          </w:p>
        </w:tc>
        <w:tc>
          <w:tcPr>
            <w:tcW w:w="833" w:type="pct"/>
          </w:tcPr>
          <w:p w14:paraId="0F7BB381"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1 650 000</w:t>
            </w:r>
          </w:p>
        </w:tc>
        <w:tc>
          <w:tcPr>
            <w:tcW w:w="831" w:type="pct"/>
          </w:tcPr>
          <w:p w14:paraId="17A2267F" w14:textId="77777777" w:rsidR="00072502" w:rsidRPr="004607F2" w:rsidRDefault="00072502" w:rsidP="007B12C8">
            <w:pPr>
              <w:spacing w:after="0"/>
              <w:ind w:right="57"/>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20"/>
                <w:lang w:val="de-CH"/>
              </w:rPr>
            </w:pPr>
            <w:r w:rsidRPr="004607F2">
              <w:rPr>
                <w:rFonts w:eastAsia="Times New Roman" w:cs="Arial"/>
                <w:color w:val="000000"/>
                <w:sz w:val="18"/>
                <w:lang w:val="de-CH"/>
              </w:rPr>
              <w:t>4 950 000</w:t>
            </w:r>
          </w:p>
        </w:tc>
      </w:tr>
      <w:tr w:rsidR="00072502" w:rsidRPr="0053075B" w14:paraId="016301C9"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94CA366" w14:textId="77777777" w:rsidR="00072502" w:rsidRPr="004607F2" w:rsidRDefault="00072502" w:rsidP="007B12C8">
            <w:pPr>
              <w:spacing w:after="0"/>
              <w:rPr>
                <w:rFonts w:eastAsia="Times New Roman" w:cs="Arial"/>
                <w:b w:val="0"/>
                <w:sz w:val="18"/>
                <w:szCs w:val="20"/>
                <w:lang w:val="de-CH"/>
              </w:rPr>
            </w:pPr>
            <w:r w:rsidRPr="004607F2">
              <w:rPr>
                <w:rFonts w:eastAsia="Times New Roman" w:cs="Arial"/>
                <w:b w:val="0"/>
                <w:sz w:val="18"/>
                <w:lang w:val="de-CH"/>
              </w:rPr>
              <w:t>Gemeinden</w:t>
            </w:r>
          </w:p>
        </w:tc>
        <w:tc>
          <w:tcPr>
            <w:tcW w:w="833" w:type="pct"/>
          </w:tcPr>
          <w:p w14:paraId="1C254EF5"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4607F2">
              <w:rPr>
                <w:rFonts w:eastAsia="Times New Roman" w:cs="Arial"/>
                <w:b w:val="0"/>
                <w:color w:val="000000"/>
                <w:sz w:val="18"/>
                <w:lang w:val="de-CH"/>
              </w:rPr>
              <w:t>1 650 000</w:t>
            </w:r>
          </w:p>
        </w:tc>
        <w:tc>
          <w:tcPr>
            <w:tcW w:w="833" w:type="pct"/>
          </w:tcPr>
          <w:p w14:paraId="5E52CABE"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4607F2">
              <w:rPr>
                <w:rFonts w:eastAsia="Times New Roman" w:cs="Arial"/>
                <w:b w:val="0"/>
                <w:color w:val="000000"/>
                <w:sz w:val="18"/>
                <w:lang w:val="de-CH"/>
              </w:rPr>
              <w:t>1 650 000</w:t>
            </w:r>
          </w:p>
        </w:tc>
        <w:tc>
          <w:tcPr>
            <w:tcW w:w="833" w:type="pct"/>
          </w:tcPr>
          <w:p w14:paraId="2938CEA4" w14:textId="77777777" w:rsidR="00072502" w:rsidRPr="004607F2"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4607F2">
              <w:rPr>
                <w:rFonts w:eastAsia="Times New Roman" w:cs="Arial"/>
                <w:b w:val="0"/>
                <w:color w:val="000000"/>
                <w:sz w:val="18"/>
                <w:lang w:val="de-CH"/>
              </w:rPr>
              <w:t>1 650 000</w:t>
            </w:r>
          </w:p>
        </w:tc>
        <w:tc>
          <w:tcPr>
            <w:tcW w:w="831" w:type="pct"/>
          </w:tcPr>
          <w:p w14:paraId="035C2779" w14:textId="77777777" w:rsidR="00072502" w:rsidRPr="0053075B" w:rsidRDefault="00072502" w:rsidP="007B12C8">
            <w:pPr>
              <w:spacing w:after="0"/>
              <w:ind w:right="57"/>
              <w:jc w:val="right"/>
              <w:cnfStyle w:val="010000000000" w:firstRow="0" w:lastRow="1" w:firstColumn="0" w:lastColumn="0" w:oddVBand="0" w:evenVBand="0" w:oddHBand="0" w:evenHBand="0" w:firstRowFirstColumn="0" w:firstRowLastColumn="0" w:lastRowFirstColumn="0" w:lastRowLastColumn="0"/>
              <w:rPr>
                <w:rFonts w:eastAsia="Times New Roman" w:cs="Arial"/>
                <w:b w:val="0"/>
                <w:color w:val="000000"/>
                <w:sz w:val="18"/>
                <w:szCs w:val="20"/>
                <w:lang w:val="de-CH"/>
              </w:rPr>
            </w:pPr>
            <w:r>
              <w:rPr>
                <w:rFonts w:eastAsia="Times New Roman" w:cs="Arial"/>
                <w:b w:val="0"/>
                <w:color w:val="000000"/>
                <w:sz w:val="18"/>
                <w:lang w:val="de-CH"/>
              </w:rPr>
              <w:t>– </w:t>
            </w:r>
            <w:r w:rsidRPr="004607F2">
              <w:rPr>
                <w:rFonts w:eastAsia="Times New Roman" w:cs="Arial"/>
                <w:b w:val="0"/>
                <w:color w:val="000000"/>
                <w:sz w:val="18"/>
                <w:lang w:val="de-CH"/>
              </w:rPr>
              <w:t>4 950 000</w:t>
            </w:r>
          </w:p>
        </w:tc>
      </w:tr>
    </w:tbl>
    <w:p w14:paraId="5F98934C" w14:textId="4348C8A6" w:rsidR="00463187" w:rsidRPr="00FE3A13" w:rsidRDefault="00463187" w:rsidP="00463187">
      <w:r w:rsidRPr="00FE3A13">
        <w:rPr>
          <w:b/>
          <w:bCs/>
        </w:rPr>
        <w:t>&gt;</w:t>
      </w:r>
      <w:r w:rsidRPr="00FE3A13">
        <w:rPr>
          <w:b/>
          <w:bCs/>
        </w:rPr>
        <w:tab/>
      </w:r>
      <w:r w:rsidR="00313DBE">
        <w:rPr>
          <w:b/>
          <w:bCs/>
          <w:lang w:val="de-CH"/>
        </w:rPr>
        <w:t>Lebensmittelstrategie</w:t>
      </w:r>
    </w:p>
    <w:p w14:paraId="0C8C2887" w14:textId="7D6B5A72" w:rsidR="00463187" w:rsidRPr="00EB7308" w:rsidRDefault="001C2163" w:rsidP="00463187">
      <w:pPr>
        <w:rPr>
          <w:lang w:val="de-CH"/>
        </w:rPr>
      </w:pPr>
      <w:r w:rsidRPr="00EB7308">
        <w:rPr>
          <w:lang w:val="de-CH"/>
        </w:rPr>
        <w:t>Massnahme: Kürzung der nicht rückzahlbaren Finanzhilfen für die Umsetzung von Fribourg Agri&amp;Food (</w:t>
      </w:r>
      <w:r w:rsidR="00313DBE">
        <w:rPr>
          <w:lang w:val="de-CH"/>
        </w:rPr>
        <w:t>Lebens</w:t>
      </w:r>
      <w:r>
        <w:rPr>
          <w:lang w:val="de-CH"/>
        </w:rPr>
        <w:t xml:space="preserve">mittelstrategie </w:t>
      </w:r>
      <w:r w:rsidRPr="00EB7308">
        <w:rPr>
          <w:lang w:val="de-CH"/>
        </w:rPr>
        <w:t>des Kantons Freiburg) in Bezug auf die Beträge für Dienstleistungen sowie für die Finanzierung spezifischer Projekte und Innovationsschecks</w:t>
      </w:r>
      <w:r w:rsidR="00463187" w:rsidRPr="00EB7308">
        <w:rPr>
          <w:lang w:val="de-CH"/>
        </w:rPr>
        <w:t xml:space="preserve">. </w:t>
      </w:r>
      <w:r w:rsidRPr="00EB7308">
        <w:rPr>
          <w:lang w:val="de-CH"/>
        </w:rPr>
        <w:t>Der Staatsrat stützt sich dabei auf die Vorjahresergebnisse. Laufende Aufträge und Projekte sowie Projektausschreibungen bleiben davon unberührt</w:t>
      </w:r>
      <w:r w:rsidR="00463187" w:rsidRPr="00EB7308">
        <w:rPr>
          <w:lang w:val="de-CH"/>
        </w:rPr>
        <w:t>.</w:t>
      </w:r>
    </w:p>
    <w:tbl>
      <w:tblPr>
        <w:tblStyle w:val="TableauEtatFR"/>
        <w:tblW w:w="5000" w:type="pct"/>
        <w:tblLook w:val="04E0" w:firstRow="1" w:lastRow="1" w:firstColumn="1" w:lastColumn="0" w:noHBand="0" w:noVBand="1"/>
      </w:tblPr>
      <w:tblGrid>
        <w:gridCol w:w="3312"/>
        <w:gridCol w:w="1653"/>
        <w:gridCol w:w="1653"/>
        <w:gridCol w:w="1653"/>
        <w:gridCol w:w="1649"/>
      </w:tblGrid>
      <w:tr w:rsidR="00463187" w:rsidRPr="001C2163" w14:paraId="22F3FFE1" w14:textId="77777777" w:rsidTr="007254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7FB7EE8" w14:textId="16825BC5" w:rsidR="00463187" w:rsidRPr="00EB7308" w:rsidRDefault="00463187" w:rsidP="00463187">
            <w:pPr>
              <w:spacing w:before="0" w:beforeAutospacing="0" w:after="0" w:afterAutospacing="0"/>
              <w:rPr>
                <w:rFonts w:cs="Arial"/>
                <w:b w:val="0"/>
                <w:bCs/>
                <w:color w:val="auto"/>
                <w:w w:val="100"/>
                <w:sz w:val="21"/>
                <w:szCs w:val="20"/>
                <w:lang w:val="de-CH"/>
              </w:rPr>
            </w:pPr>
            <w:r w:rsidRPr="00EB7308">
              <w:rPr>
                <w:rFonts w:cs="Arial"/>
                <w:bCs/>
                <w:sz w:val="18"/>
                <w:szCs w:val="20"/>
                <w:lang w:val="de-CH"/>
              </w:rPr>
              <w:t>Finanzielle Auswirkungen in Franken</w:t>
            </w:r>
          </w:p>
        </w:tc>
        <w:tc>
          <w:tcPr>
            <w:tcW w:w="833" w:type="pct"/>
          </w:tcPr>
          <w:p w14:paraId="06408F82" w14:textId="77777777" w:rsidR="00463187" w:rsidRPr="00EB7308" w:rsidRDefault="00463187" w:rsidP="00463187">
            <w:pPr>
              <w:spacing w:before="0" w:beforeAutospacing="0" w:after="0" w:afterAutospacing="0"/>
              <w:ind w:right="57"/>
              <w:jc w:val="right"/>
              <w:cnfStyle w:val="100000000000" w:firstRow="1" w:lastRow="0" w:firstColumn="0" w:lastColumn="0" w:oddVBand="0" w:evenVBand="0" w:oddHBand="0" w:evenHBand="0" w:firstRowFirstColumn="0" w:firstRowLastColumn="0" w:lastRowFirstColumn="0" w:lastRowLastColumn="0"/>
              <w:rPr>
                <w:rFonts w:cs="Arial"/>
                <w:b w:val="0"/>
                <w:bCs/>
                <w:w w:val="100"/>
                <w:sz w:val="18"/>
                <w:szCs w:val="20"/>
                <w:lang w:val="de-CH"/>
              </w:rPr>
            </w:pPr>
            <w:r w:rsidRPr="00EB7308">
              <w:rPr>
                <w:rFonts w:cs="Arial"/>
                <w:bCs/>
                <w:sz w:val="18"/>
                <w:szCs w:val="20"/>
                <w:lang w:val="de-CH"/>
              </w:rPr>
              <w:t>2026</w:t>
            </w:r>
          </w:p>
        </w:tc>
        <w:tc>
          <w:tcPr>
            <w:tcW w:w="833" w:type="pct"/>
          </w:tcPr>
          <w:p w14:paraId="75CE2033" w14:textId="77777777" w:rsidR="00463187" w:rsidRPr="00EB7308" w:rsidRDefault="00463187" w:rsidP="00463187">
            <w:pPr>
              <w:spacing w:before="0" w:beforeAutospacing="0" w:after="0" w:afterAutospacing="0"/>
              <w:ind w:right="57"/>
              <w:jc w:val="right"/>
              <w:cnfStyle w:val="100000000000" w:firstRow="1" w:lastRow="0" w:firstColumn="0" w:lastColumn="0" w:oddVBand="0" w:evenVBand="0" w:oddHBand="0" w:evenHBand="0" w:firstRowFirstColumn="0" w:firstRowLastColumn="0" w:lastRowFirstColumn="0" w:lastRowLastColumn="0"/>
              <w:rPr>
                <w:rFonts w:cs="Arial"/>
                <w:b w:val="0"/>
                <w:bCs/>
                <w:w w:val="100"/>
                <w:sz w:val="18"/>
                <w:szCs w:val="20"/>
                <w:lang w:val="de-CH"/>
              </w:rPr>
            </w:pPr>
            <w:r w:rsidRPr="00EB7308">
              <w:rPr>
                <w:rFonts w:cs="Arial"/>
                <w:bCs/>
                <w:sz w:val="18"/>
                <w:szCs w:val="20"/>
                <w:lang w:val="de-CH"/>
              </w:rPr>
              <w:t>2027</w:t>
            </w:r>
          </w:p>
        </w:tc>
        <w:tc>
          <w:tcPr>
            <w:tcW w:w="833" w:type="pct"/>
          </w:tcPr>
          <w:p w14:paraId="7FB64AA5" w14:textId="77777777" w:rsidR="00463187" w:rsidRPr="00EB7308" w:rsidRDefault="00463187" w:rsidP="00463187">
            <w:pPr>
              <w:spacing w:before="0" w:beforeAutospacing="0" w:after="0" w:afterAutospacing="0"/>
              <w:ind w:right="57"/>
              <w:jc w:val="right"/>
              <w:cnfStyle w:val="100000000000" w:firstRow="1" w:lastRow="0" w:firstColumn="0" w:lastColumn="0" w:oddVBand="0" w:evenVBand="0" w:oddHBand="0" w:evenHBand="0" w:firstRowFirstColumn="0" w:firstRowLastColumn="0" w:lastRowFirstColumn="0" w:lastRowLastColumn="0"/>
              <w:rPr>
                <w:rFonts w:cs="Arial"/>
                <w:b w:val="0"/>
                <w:bCs/>
                <w:w w:val="100"/>
                <w:sz w:val="18"/>
                <w:szCs w:val="20"/>
                <w:lang w:val="de-CH"/>
              </w:rPr>
            </w:pPr>
            <w:r w:rsidRPr="00EB7308">
              <w:rPr>
                <w:rFonts w:cs="Arial"/>
                <w:bCs/>
                <w:sz w:val="18"/>
                <w:szCs w:val="20"/>
                <w:lang w:val="de-CH"/>
              </w:rPr>
              <w:t>2028</w:t>
            </w:r>
          </w:p>
        </w:tc>
        <w:tc>
          <w:tcPr>
            <w:tcW w:w="831" w:type="pct"/>
          </w:tcPr>
          <w:p w14:paraId="0F5AA18B" w14:textId="77777777" w:rsidR="00463187" w:rsidRPr="00EB7308" w:rsidRDefault="00463187" w:rsidP="00463187">
            <w:pPr>
              <w:spacing w:before="0" w:beforeAutospacing="0" w:after="0" w:afterAutospacing="0"/>
              <w:ind w:right="57"/>
              <w:jc w:val="right"/>
              <w:cnfStyle w:val="100000000000" w:firstRow="1" w:lastRow="0" w:firstColumn="0" w:lastColumn="0" w:oddVBand="0" w:evenVBand="0" w:oddHBand="0" w:evenHBand="0" w:firstRowFirstColumn="0" w:firstRowLastColumn="0" w:lastRowFirstColumn="0" w:lastRowLastColumn="0"/>
              <w:rPr>
                <w:rFonts w:cs="Arial"/>
                <w:b w:val="0"/>
                <w:bCs/>
                <w:w w:val="100"/>
                <w:sz w:val="18"/>
                <w:szCs w:val="20"/>
                <w:lang w:val="de-CH"/>
              </w:rPr>
            </w:pPr>
            <w:r w:rsidRPr="00EB7308">
              <w:rPr>
                <w:rFonts w:cs="Arial"/>
                <w:bCs/>
                <w:sz w:val="18"/>
                <w:szCs w:val="20"/>
                <w:lang w:val="de-CH"/>
              </w:rPr>
              <w:t>Total</w:t>
            </w:r>
          </w:p>
        </w:tc>
      </w:tr>
      <w:tr w:rsidR="00463187" w:rsidRPr="00463187" w14:paraId="298BCA10" w14:textId="77777777" w:rsidTr="0072548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5AC1EED" w14:textId="4DBA91B1" w:rsidR="00463187" w:rsidRPr="00463187" w:rsidRDefault="00463187" w:rsidP="00463187">
            <w:pPr>
              <w:spacing w:before="0" w:beforeAutospacing="0" w:after="0" w:afterAutospacing="0"/>
              <w:rPr>
                <w:rFonts w:cs="Arial"/>
                <w:bCs/>
                <w:w w:val="100"/>
                <w:sz w:val="18"/>
                <w:szCs w:val="20"/>
                <w:lang w:val="en-US"/>
              </w:rPr>
            </w:pPr>
            <w:r>
              <w:rPr>
                <w:rFonts w:cs="Arial"/>
                <w:bCs/>
                <w:w w:val="100"/>
                <w:sz w:val="18"/>
                <w:szCs w:val="20"/>
                <w:lang w:val="en-US"/>
              </w:rPr>
              <w:t>Staat</w:t>
            </w:r>
          </w:p>
        </w:tc>
        <w:tc>
          <w:tcPr>
            <w:tcW w:w="833" w:type="pct"/>
          </w:tcPr>
          <w:p w14:paraId="372B28D0" w14:textId="35507FD9" w:rsidR="00463187" w:rsidRPr="00463187" w:rsidRDefault="00463187" w:rsidP="00463187">
            <w:pPr>
              <w:spacing w:before="0" w:beforeAutospacing="0" w:after="0" w:afterAutospacing="0"/>
              <w:ind w:right="57"/>
              <w:jc w:val="right"/>
              <w:cnfStyle w:val="000000000000" w:firstRow="0" w:lastRow="0" w:firstColumn="0" w:lastColumn="0" w:oddVBand="0" w:evenVBand="0" w:oddHBand="0" w:evenHBand="0" w:firstRowFirstColumn="0" w:firstRowLastColumn="0" w:lastRowFirstColumn="0" w:lastRowLastColumn="0"/>
              <w:rPr>
                <w:rFonts w:cs="Arial"/>
                <w:bCs/>
                <w:color w:val="000000" w:themeColor="text1"/>
                <w:w w:val="100"/>
                <w:sz w:val="18"/>
                <w:szCs w:val="20"/>
                <w:lang w:val="en-US"/>
              </w:rPr>
            </w:pPr>
            <w:r w:rsidRPr="00463187">
              <w:rPr>
                <w:rFonts w:cs="Arial"/>
                <w:bCs/>
                <w:color w:val="000000" w:themeColor="text1"/>
                <w:w w:val="100"/>
                <w:sz w:val="18"/>
                <w:szCs w:val="20"/>
                <w:lang w:val="en-US"/>
              </w:rPr>
              <w:t>200</w:t>
            </w:r>
            <w:r w:rsidR="001C2163">
              <w:rPr>
                <w:rFonts w:cs="Arial"/>
                <w:bCs/>
                <w:color w:val="000000" w:themeColor="text1"/>
                <w:w w:val="100"/>
                <w:sz w:val="18"/>
                <w:szCs w:val="20"/>
                <w:lang w:val="en-US"/>
              </w:rPr>
              <w:t> </w:t>
            </w:r>
            <w:r w:rsidRPr="00463187">
              <w:rPr>
                <w:rFonts w:cs="Arial"/>
                <w:bCs/>
                <w:color w:val="000000" w:themeColor="text1"/>
                <w:w w:val="100"/>
                <w:sz w:val="18"/>
                <w:szCs w:val="20"/>
                <w:lang w:val="en-US"/>
              </w:rPr>
              <w:t>000</w:t>
            </w:r>
          </w:p>
        </w:tc>
        <w:tc>
          <w:tcPr>
            <w:tcW w:w="833" w:type="pct"/>
          </w:tcPr>
          <w:p w14:paraId="0DC98EAE" w14:textId="2566EACB" w:rsidR="00463187" w:rsidRPr="00463187" w:rsidRDefault="00463187" w:rsidP="00463187">
            <w:pPr>
              <w:spacing w:before="0" w:beforeAutospacing="0" w:after="0" w:afterAutospacing="0"/>
              <w:ind w:right="57"/>
              <w:jc w:val="right"/>
              <w:cnfStyle w:val="000000000000" w:firstRow="0" w:lastRow="0" w:firstColumn="0" w:lastColumn="0" w:oddVBand="0" w:evenVBand="0" w:oddHBand="0" w:evenHBand="0" w:firstRowFirstColumn="0" w:firstRowLastColumn="0" w:lastRowFirstColumn="0" w:lastRowLastColumn="0"/>
              <w:rPr>
                <w:rFonts w:cs="Arial"/>
                <w:bCs/>
                <w:color w:val="000000" w:themeColor="text1"/>
                <w:w w:val="100"/>
                <w:sz w:val="18"/>
                <w:szCs w:val="20"/>
                <w:lang w:val="en-US"/>
              </w:rPr>
            </w:pPr>
            <w:r w:rsidRPr="00463187">
              <w:rPr>
                <w:rFonts w:cs="Arial"/>
                <w:bCs/>
                <w:color w:val="000000" w:themeColor="text1"/>
                <w:w w:val="100"/>
                <w:sz w:val="18"/>
                <w:szCs w:val="20"/>
                <w:lang w:val="en-US"/>
              </w:rPr>
              <w:t>200</w:t>
            </w:r>
            <w:r w:rsidR="001C2163">
              <w:rPr>
                <w:rFonts w:cs="Arial"/>
                <w:bCs/>
                <w:color w:val="000000" w:themeColor="text1"/>
                <w:w w:val="100"/>
                <w:sz w:val="18"/>
                <w:szCs w:val="20"/>
                <w:lang w:val="en-US"/>
              </w:rPr>
              <w:t> </w:t>
            </w:r>
            <w:r w:rsidRPr="00463187">
              <w:rPr>
                <w:rFonts w:cs="Arial"/>
                <w:bCs/>
                <w:color w:val="000000" w:themeColor="text1"/>
                <w:w w:val="100"/>
                <w:sz w:val="18"/>
                <w:szCs w:val="20"/>
                <w:lang w:val="en-US"/>
              </w:rPr>
              <w:t>000</w:t>
            </w:r>
          </w:p>
        </w:tc>
        <w:tc>
          <w:tcPr>
            <w:tcW w:w="833" w:type="pct"/>
          </w:tcPr>
          <w:p w14:paraId="087357E5" w14:textId="2F39E8F1" w:rsidR="00463187" w:rsidRPr="00463187" w:rsidRDefault="00463187" w:rsidP="00463187">
            <w:pPr>
              <w:spacing w:before="0" w:beforeAutospacing="0" w:after="0" w:afterAutospacing="0"/>
              <w:ind w:right="57"/>
              <w:jc w:val="right"/>
              <w:cnfStyle w:val="000000000000" w:firstRow="0" w:lastRow="0" w:firstColumn="0" w:lastColumn="0" w:oddVBand="0" w:evenVBand="0" w:oddHBand="0" w:evenHBand="0" w:firstRowFirstColumn="0" w:firstRowLastColumn="0" w:lastRowFirstColumn="0" w:lastRowLastColumn="0"/>
              <w:rPr>
                <w:rFonts w:cs="Arial"/>
                <w:bCs/>
                <w:color w:val="000000" w:themeColor="text1"/>
                <w:w w:val="100"/>
                <w:sz w:val="18"/>
                <w:szCs w:val="20"/>
                <w:lang w:val="en-US"/>
              </w:rPr>
            </w:pPr>
            <w:r w:rsidRPr="00463187">
              <w:rPr>
                <w:rFonts w:cs="Arial"/>
                <w:bCs/>
                <w:color w:val="000000" w:themeColor="text1"/>
                <w:w w:val="100"/>
                <w:sz w:val="18"/>
                <w:szCs w:val="20"/>
                <w:lang w:val="en-US"/>
              </w:rPr>
              <w:t>200</w:t>
            </w:r>
            <w:r w:rsidR="001C2163">
              <w:rPr>
                <w:rFonts w:cs="Arial"/>
                <w:bCs/>
                <w:color w:val="000000" w:themeColor="text1"/>
                <w:w w:val="100"/>
                <w:sz w:val="18"/>
                <w:szCs w:val="20"/>
                <w:lang w:val="en-US"/>
              </w:rPr>
              <w:t> </w:t>
            </w:r>
            <w:r w:rsidRPr="00463187">
              <w:rPr>
                <w:rFonts w:cs="Arial"/>
                <w:bCs/>
                <w:color w:val="000000" w:themeColor="text1"/>
                <w:w w:val="100"/>
                <w:sz w:val="18"/>
                <w:szCs w:val="20"/>
                <w:lang w:val="en-US"/>
              </w:rPr>
              <w:t>000</w:t>
            </w:r>
          </w:p>
        </w:tc>
        <w:tc>
          <w:tcPr>
            <w:tcW w:w="831" w:type="pct"/>
          </w:tcPr>
          <w:p w14:paraId="4BFFA5E3" w14:textId="64E29561" w:rsidR="00463187" w:rsidRPr="00463187" w:rsidRDefault="00463187" w:rsidP="00463187">
            <w:pPr>
              <w:spacing w:before="0" w:beforeAutospacing="0" w:after="0" w:afterAutospacing="0"/>
              <w:ind w:right="57"/>
              <w:jc w:val="right"/>
              <w:cnfStyle w:val="000000000000" w:firstRow="0" w:lastRow="0" w:firstColumn="0" w:lastColumn="0" w:oddVBand="0" w:evenVBand="0" w:oddHBand="0" w:evenHBand="0" w:firstRowFirstColumn="0" w:firstRowLastColumn="0" w:lastRowFirstColumn="0" w:lastRowLastColumn="0"/>
              <w:rPr>
                <w:rFonts w:cs="Arial"/>
                <w:bCs/>
                <w:color w:val="000000" w:themeColor="text1"/>
                <w:w w:val="100"/>
                <w:sz w:val="18"/>
                <w:szCs w:val="20"/>
                <w:lang w:val="en-US"/>
              </w:rPr>
            </w:pPr>
            <w:r w:rsidRPr="00463187">
              <w:rPr>
                <w:rFonts w:cs="Arial"/>
                <w:bCs/>
                <w:color w:val="000000" w:themeColor="text1"/>
                <w:w w:val="100"/>
                <w:sz w:val="18"/>
                <w:szCs w:val="20"/>
                <w:lang w:val="en-US"/>
              </w:rPr>
              <w:t>600</w:t>
            </w:r>
            <w:r w:rsidR="001C2163">
              <w:rPr>
                <w:rFonts w:cs="Arial"/>
                <w:bCs/>
                <w:color w:val="000000" w:themeColor="text1"/>
                <w:w w:val="100"/>
                <w:sz w:val="18"/>
                <w:szCs w:val="20"/>
                <w:lang w:val="en-US"/>
              </w:rPr>
              <w:t> </w:t>
            </w:r>
            <w:r w:rsidRPr="00463187">
              <w:rPr>
                <w:rFonts w:cs="Arial"/>
                <w:bCs/>
                <w:color w:val="000000" w:themeColor="text1"/>
                <w:w w:val="100"/>
                <w:sz w:val="18"/>
                <w:szCs w:val="20"/>
                <w:lang w:val="en-US"/>
              </w:rPr>
              <w:t>000</w:t>
            </w:r>
          </w:p>
        </w:tc>
      </w:tr>
      <w:tr w:rsidR="00463187" w:rsidRPr="00463187" w14:paraId="0A152C00" w14:textId="77777777" w:rsidTr="0072548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2D37E0F" w14:textId="7A47DC4D" w:rsidR="00463187" w:rsidRPr="00463187" w:rsidRDefault="00463187" w:rsidP="00463187">
            <w:pPr>
              <w:spacing w:before="0" w:beforeAutospacing="0" w:after="0" w:afterAutospacing="0"/>
              <w:rPr>
                <w:rFonts w:cs="Arial"/>
                <w:bCs/>
                <w:w w:val="100"/>
                <w:sz w:val="18"/>
                <w:szCs w:val="20"/>
                <w:lang w:val="en-US"/>
              </w:rPr>
            </w:pPr>
            <w:r>
              <w:rPr>
                <w:rFonts w:cs="Arial"/>
                <w:b w:val="0"/>
                <w:bCs/>
                <w:w w:val="100"/>
                <w:sz w:val="18"/>
                <w:szCs w:val="20"/>
                <w:lang w:val="en-US"/>
              </w:rPr>
              <w:t>Gemeinden</w:t>
            </w:r>
          </w:p>
        </w:tc>
        <w:tc>
          <w:tcPr>
            <w:tcW w:w="833" w:type="pct"/>
          </w:tcPr>
          <w:p w14:paraId="3697F2C5" w14:textId="77777777" w:rsidR="00463187" w:rsidRPr="00463187" w:rsidRDefault="00463187" w:rsidP="00463187">
            <w:pPr>
              <w:spacing w:before="0" w:beforeAutospacing="0" w:after="0" w:afterAutospacing="0"/>
              <w:ind w:right="57"/>
              <w:jc w:val="right"/>
              <w:cnfStyle w:val="010000000000" w:firstRow="0" w:lastRow="1" w:firstColumn="0" w:lastColumn="0" w:oddVBand="0" w:evenVBand="0" w:oddHBand="0" w:evenHBand="0" w:firstRowFirstColumn="0" w:firstRowLastColumn="0" w:lastRowFirstColumn="0" w:lastRowLastColumn="0"/>
              <w:rPr>
                <w:rFonts w:cs="Arial"/>
                <w:color w:val="000000" w:themeColor="text1"/>
                <w:w w:val="100"/>
                <w:sz w:val="18"/>
                <w:szCs w:val="20"/>
                <w:lang w:val="en-US"/>
              </w:rPr>
            </w:pPr>
            <w:r w:rsidRPr="00463187">
              <w:rPr>
                <w:rFonts w:cs="Arial"/>
                <w:b w:val="0"/>
                <w:color w:val="000000" w:themeColor="text1"/>
                <w:w w:val="100"/>
                <w:sz w:val="18"/>
                <w:szCs w:val="20"/>
                <w:lang w:val="en-US"/>
              </w:rPr>
              <w:t>0</w:t>
            </w:r>
          </w:p>
        </w:tc>
        <w:tc>
          <w:tcPr>
            <w:tcW w:w="833" w:type="pct"/>
          </w:tcPr>
          <w:p w14:paraId="7E494A00" w14:textId="77777777" w:rsidR="00463187" w:rsidRPr="00463187" w:rsidRDefault="00463187" w:rsidP="00463187">
            <w:pPr>
              <w:spacing w:before="0" w:beforeAutospacing="0" w:after="0" w:afterAutospacing="0"/>
              <w:ind w:right="57"/>
              <w:jc w:val="right"/>
              <w:cnfStyle w:val="010000000000" w:firstRow="0" w:lastRow="1" w:firstColumn="0" w:lastColumn="0" w:oddVBand="0" w:evenVBand="0" w:oddHBand="0" w:evenHBand="0" w:firstRowFirstColumn="0" w:firstRowLastColumn="0" w:lastRowFirstColumn="0" w:lastRowLastColumn="0"/>
              <w:rPr>
                <w:rFonts w:cs="Arial"/>
                <w:color w:val="000000" w:themeColor="text1"/>
                <w:w w:val="100"/>
                <w:sz w:val="18"/>
                <w:szCs w:val="20"/>
                <w:lang w:val="en-US"/>
              </w:rPr>
            </w:pPr>
            <w:r w:rsidRPr="00463187">
              <w:rPr>
                <w:rFonts w:cs="Arial"/>
                <w:b w:val="0"/>
                <w:color w:val="000000" w:themeColor="text1"/>
                <w:w w:val="100"/>
                <w:sz w:val="18"/>
                <w:szCs w:val="20"/>
                <w:lang w:val="en-US"/>
              </w:rPr>
              <w:t>0</w:t>
            </w:r>
          </w:p>
        </w:tc>
        <w:tc>
          <w:tcPr>
            <w:tcW w:w="833" w:type="pct"/>
          </w:tcPr>
          <w:p w14:paraId="5CA8EB6B" w14:textId="77777777" w:rsidR="00463187" w:rsidRPr="00463187" w:rsidRDefault="00463187" w:rsidP="00463187">
            <w:pPr>
              <w:spacing w:before="0" w:beforeAutospacing="0" w:after="0" w:afterAutospacing="0"/>
              <w:ind w:right="57"/>
              <w:jc w:val="right"/>
              <w:cnfStyle w:val="010000000000" w:firstRow="0" w:lastRow="1" w:firstColumn="0" w:lastColumn="0" w:oddVBand="0" w:evenVBand="0" w:oddHBand="0" w:evenHBand="0" w:firstRowFirstColumn="0" w:firstRowLastColumn="0" w:lastRowFirstColumn="0" w:lastRowLastColumn="0"/>
              <w:rPr>
                <w:rFonts w:cs="Arial"/>
                <w:color w:val="000000" w:themeColor="text1"/>
                <w:w w:val="100"/>
                <w:sz w:val="18"/>
                <w:szCs w:val="20"/>
                <w:lang w:val="en-US"/>
              </w:rPr>
            </w:pPr>
            <w:r w:rsidRPr="00463187">
              <w:rPr>
                <w:rFonts w:cs="Arial"/>
                <w:b w:val="0"/>
                <w:color w:val="000000" w:themeColor="text1"/>
                <w:w w:val="100"/>
                <w:sz w:val="18"/>
                <w:szCs w:val="20"/>
                <w:lang w:val="en-US"/>
              </w:rPr>
              <w:t>0</w:t>
            </w:r>
          </w:p>
        </w:tc>
        <w:tc>
          <w:tcPr>
            <w:tcW w:w="831" w:type="pct"/>
          </w:tcPr>
          <w:p w14:paraId="575C46CE" w14:textId="77777777" w:rsidR="00463187" w:rsidRPr="00463187" w:rsidRDefault="00463187" w:rsidP="00463187">
            <w:pPr>
              <w:spacing w:before="0" w:beforeAutospacing="0" w:after="0" w:afterAutospacing="0"/>
              <w:ind w:right="57"/>
              <w:jc w:val="right"/>
              <w:cnfStyle w:val="010000000000" w:firstRow="0" w:lastRow="1" w:firstColumn="0" w:lastColumn="0" w:oddVBand="0" w:evenVBand="0" w:oddHBand="0" w:evenHBand="0" w:firstRowFirstColumn="0" w:firstRowLastColumn="0" w:lastRowFirstColumn="0" w:lastRowLastColumn="0"/>
              <w:rPr>
                <w:rFonts w:cs="Arial"/>
                <w:color w:val="000000" w:themeColor="text1"/>
                <w:w w:val="100"/>
                <w:sz w:val="18"/>
                <w:szCs w:val="20"/>
                <w:lang w:val="en-US"/>
              </w:rPr>
            </w:pPr>
            <w:r w:rsidRPr="00463187">
              <w:rPr>
                <w:rFonts w:cs="Arial"/>
                <w:b w:val="0"/>
                <w:color w:val="000000" w:themeColor="text1"/>
                <w:w w:val="100"/>
                <w:sz w:val="18"/>
                <w:szCs w:val="20"/>
                <w:lang w:val="en-US"/>
              </w:rPr>
              <w:t>0</w:t>
            </w:r>
          </w:p>
        </w:tc>
      </w:tr>
    </w:tbl>
    <w:p w14:paraId="7FBB387C" w14:textId="4E4831AB" w:rsidR="00DD31DF" w:rsidRPr="00FE3A13" w:rsidRDefault="00DD31DF" w:rsidP="00072502">
      <w:pPr>
        <w:pStyle w:val="Listealphabtique"/>
        <w:numPr>
          <w:ilvl w:val="0"/>
          <w:numId w:val="0"/>
        </w:numPr>
      </w:pPr>
    </w:p>
    <w:p w14:paraId="5BD941C9" w14:textId="18F6106B" w:rsidR="0001598C" w:rsidRPr="00173372" w:rsidRDefault="00173372" w:rsidP="0001598C">
      <w:pPr>
        <w:pStyle w:val="Titre1"/>
        <w:rPr>
          <w:lang w:val="de-CH"/>
        </w:rPr>
      </w:pPr>
      <w:bookmarkStart w:id="32" w:name="_Toc196226219"/>
      <w:r w:rsidRPr="00A457A3">
        <w:rPr>
          <w:lang w:val="de-CH"/>
        </w:rPr>
        <w:t>In Verbindung mit parlamentarischen Vorstössen</w:t>
      </w:r>
      <w:bookmarkEnd w:id="32"/>
    </w:p>
    <w:p w14:paraId="231431A1" w14:textId="22C05527" w:rsidR="0001598C" w:rsidRPr="00FE3A13" w:rsidRDefault="0001598C" w:rsidP="0001598C">
      <w:pPr>
        <w:pStyle w:val="Tiret"/>
      </w:pPr>
      <w:r w:rsidRPr="00FE3A13">
        <w:t>—</w:t>
      </w:r>
    </w:p>
    <w:p w14:paraId="423AC0C7" w14:textId="21016283" w:rsidR="007B58F8" w:rsidRPr="00FE3A13" w:rsidRDefault="00173372" w:rsidP="000F1734">
      <w:pPr>
        <w:pStyle w:val="Titre2"/>
      </w:pPr>
      <w:bookmarkStart w:id="33" w:name="_Toc196226220"/>
      <w:r w:rsidRPr="00E70767">
        <w:rPr>
          <w:lang w:val="de-CH"/>
        </w:rPr>
        <w:t>Spätere Umsetzung einiger parlamentarischer Vorstösse</w:t>
      </w:r>
      <w:bookmarkEnd w:id="33"/>
    </w:p>
    <w:p w14:paraId="2EAE3C3B" w14:textId="77777777" w:rsidR="00173372" w:rsidRPr="003E35DE" w:rsidRDefault="00173372" w:rsidP="00173372">
      <w:pPr>
        <w:rPr>
          <w:lang w:val="de-CH"/>
        </w:rPr>
      </w:pPr>
      <w:r w:rsidRPr="003E35DE">
        <w:rPr>
          <w:lang w:val="de-CH"/>
        </w:rPr>
        <w:t>Anfang 2025 hat der Staatsrat mit dem Büro des Grossen Rates Kontakt aufgenommen um abzuklären, ob es eine Möglichkeit zur Einführung einer Art «Moratorium» für die Umsetzung einiger bereits angenommener parlamentarischer Vorstösse gäbe, beispielsweise dadurch, dass die Umsetzung gewisser Beschlüsse vor dem Hintergrund der neuen finanziellen Rahmenbedingungen überprüft oder vorübergehend zurückgestellt oder allenfalls zeitlich gestaffelt hätte werden können.</w:t>
      </w:r>
    </w:p>
    <w:p w14:paraId="6D497C5F" w14:textId="77777777" w:rsidR="00173372" w:rsidRPr="003E35DE" w:rsidRDefault="00173372" w:rsidP="00173372">
      <w:pPr>
        <w:rPr>
          <w:lang w:val="de-CH"/>
        </w:rPr>
      </w:pPr>
      <w:r w:rsidRPr="003E35DE">
        <w:rPr>
          <w:lang w:val="de-CH"/>
        </w:rPr>
        <w:t>Im Rahmen des schriftlichen und mündlichen Austauschs darüber hat das Büro erklärt, es wolle erst den gesamten Entwurf des Programms zur Sanierung der Kantonsfinanzen sehen, bevor es sich zum Vorgehen bei bestimmten Vorstössen festlege. Einige Grossratsmitglieder haben zudem direkt in der Presse auf das Vorgehen des Staatsrats reagiert, der damit erst sondieren und konstruktive Vorschläge erarbeiten wollte. Am 12. Februar 2025 wurde auch eine Anfrage mit dem Titel «Haushaltsdisziplin oder Einhaltung des Volkswillens: Was hat für den Staatsrat Vorrang?» eingereicht.</w:t>
      </w:r>
    </w:p>
    <w:p w14:paraId="373539A8" w14:textId="771DBE6B" w:rsidR="00173372" w:rsidRPr="003E35DE" w:rsidRDefault="00173372" w:rsidP="00173372">
      <w:pPr>
        <w:rPr>
          <w:lang w:val="de-CH"/>
        </w:rPr>
      </w:pPr>
      <w:r w:rsidRPr="003E35DE">
        <w:rPr>
          <w:lang w:val="de-CH"/>
        </w:rPr>
        <w:t>Angesichts der Vorbehalte des Büros des Grossen Rates sah der Staatsrat davon ab, die Frage des Moratoriums im Vorfeld umfassend zu regeln. Er wies jedoch darauf hin, dass er es nicht ausschliesse, im Rahmen des PSKF Anpassungen der Umsetzungsmodalitäten gewisser parlamentarischer Vorstösse vorzuschlagen. Es war nie seine Absicht, demokratische Beschlüsse in Frage zu stellen, aber es erscheint ihm legitim, wie bei den SSM 2013</w:t>
      </w:r>
      <w:r w:rsidR="00B64C9E">
        <w:rPr>
          <w:rFonts w:cstheme="minorHAnsi"/>
          <w:lang w:val="de-CH"/>
        </w:rPr>
        <w:t>–</w:t>
      </w:r>
      <w:r w:rsidRPr="003E35DE">
        <w:rPr>
          <w:lang w:val="de-CH"/>
        </w:rPr>
        <w:t>2016 auch, zu prüfen, ob bei ihrer Umsetzung den neuen finanziellen Rahmenbedingungen Rechnung getragen werden kann.</w:t>
      </w:r>
    </w:p>
    <w:p w14:paraId="63CA2031" w14:textId="0FF1A04D" w:rsidR="007D7D25" w:rsidRPr="00173372" w:rsidRDefault="00173372" w:rsidP="00173372">
      <w:pPr>
        <w:rPr>
          <w:lang w:val="de-CH"/>
        </w:rPr>
      </w:pPr>
      <w:r w:rsidRPr="003E35DE">
        <w:rPr>
          <w:lang w:val="de-CH"/>
        </w:rPr>
        <w:t>Einige der im vorherigen Kapitel beschriebenen Vorschläge sind somit eine Fortsetzung der ursprünglichen Überlegungen des Staatsrats und bestehen im Wesentlichen im Aufschub der Umsetzung von zuvor vom Grossen Rat getroffenen Entscheiden. Dies gilt insbesondere für die Massnahme zum Aussetzen der Teuerungsanpassung in den Pflegeheimen oder zur Kürzung waldbaulicher Subventionen.</w:t>
      </w:r>
    </w:p>
    <w:p w14:paraId="2A6349F6" w14:textId="48449220" w:rsidR="0001598C" w:rsidRPr="00173372" w:rsidRDefault="00173372" w:rsidP="0001598C">
      <w:pPr>
        <w:pStyle w:val="Titre2"/>
        <w:rPr>
          <w:lang w:val="de-CH"/>
        </w:rPr>
      </w:pPr>
      <w:bookmarkStart w:id="34" w:name="_Toc196226221"/>
      <w:r w:rsidRPr="00DB44AF">
        <w:rPr>
          <w:lang w:val="de-CH"/>
        </w:rPr>
        <w:t>Antworten auf noch nicht behandelte parlamentarische Vorstösse</w:t>
      </w:r>
      <w:bookmarkEnd w:id="34"/>
    </w:p>
    <w:p w14:paraId="5B215489" w14:textId="4EE7D34F" w:rsidR="00AD52F5" w:rsidRPr="00EB7308" w:rsidRDefault="008602BF" w:rsidP="008602BF">
      <w:pPr>
        <w:pStyle w:val="Titre3"/>
        <w:rPr>
          <w:lang w:val="de-CH"/>
        </w:rPr>
      </w:pPr>
      <w:bookmarkStart w:id="35" w:name="_Toc196226222"/>
      <w:r w:rsidRPr="00EB7308">
        <w:rPr>
          <w:lang w:val="de-CH"/>
        </w:rPr>
        <w:t xml:space="preserve">Motion </w:t>
      </w:r>
      <w:r w:rsidR="009E2921" w:rsidRPr="00EB7308">
        <w:rPr>
          <w:lang w:val="de-CH"/>
        </w:rPr>
        <w:t>«Für einen fairen Steuersatz» (2024-GC-279)</w:t>
      </w:r>
      <w:bookmarkEnd w:id="35"/>
    </w:p>
    <w:p w14:paraId="4FAC6B6F" w14:textId="77777777" w:rsidR="00173372" w:rsidRPr="003E35DE" w:rsidRDefault="00173372" w:rsidP="00173372">
      <w:pPr>
        <w:pStyle w:val="Corpsdetexte"/>
        <w:rPr>
          <w:lang w:val="de-CH"/>
        </w:rPr>
      </w:pPr>
      <w:r w:rsidRPr="003E35DE">
        <w:rPr>
          <w:lang w:val="de-CH"/>
        </w:rPr>
        <w:t>Die am 19. November 2024 eingereichte Motion «Für einen fairen Steuersatz» (2024-GC-279) bemängelt, dass der maximale Einkommenssteuersatz von 13,5 % für natürliche Personen im Kanton Freiburg bei einem steuerpflichtigen Einkommen einer alleinstehenden Person von 203 900 Franken erreicht ist. Sie fordert eine Steuerprogression über diese 203 900 Franken hinaus bis zu einem Jahreseinkommen von 650 000 Franken, mit einem Höchstsatz von 19 %, wie im Kanton Genf. Ziel dieser Motion ist eine höhere steuerliche Belastung von Personen mit sehr hohen Einkommen. Gemäss Verfasserin und Verfasser dieser Motion könnten diese Steuermehreinnahmen beispielsweise für höhere Prämienverbilligungen in der Krankenversicherung eingesetzt werden.</w:t>
      </w:r>
    </w:p>
    <w:p w14:paraId="137ED969" w14:textId="4700D8CB" w:rsidR="008602BF" w:rsidRPr="00173372" w:rsidRDefault="00173372" w:rsidP="00173372">
      <w:pPr>
        <w:pStyle w:val="Corpsdetexte"/>
        <w:rPr>
          <w:lang w:val="de-CH"/>
        </w:rPr>
      </w:pPr>
      <w:r w:rsidRPr="003E35DE">
        <w:rPr>
          <w:lang w:val="de-CH"/>
        </w:rPr>
        <w:t xml:space="preserve">Der Staatsrat erinnert daran, dass die Steuer definitionsgemäss keinem bestimmten Verwendungszweck zugeordnet werden kann, und verweist darauf, dass sich die Arbeitsgruppe Einnahmen im Rahmen des PSKF eingehend mit der Steuerproblematik auseinandergesetzt hat und diese auch immer wieder in der Regierung thematisiert wird. Insbesondere im Bestreben, eine gewisse steuerliche Attraktivität für hohe Einkommen zu wahren, die einen überwiegenden Teil der Steuereinnahmen im Kanton ausmachen, spricht sich der Staatsrat gegen eine Überarbeitung des Steuertarifs in dem von der Motion geforderten Sinne aus. Er beantragt dem Grossen Rat demnach, die Motion 2024-GC-279 </w:t>
      </w:r>
      <w:r w:rsidR="001F3597">
        <w:rPr>
          <w:lang w:val="de-CH"/>
        </w:rPr>
        <w:t>abzulehnen</w:t>
      </w:r>
      <w:r w:rsidRPr="003E35DE">
        <w:rPr>
          <w:lang w:val="de-CH"/>
        </w:rPr>
        <w:t>.</w:t>
      </w:r>
    </w:p>
    <w:p w14:paraId="63FB6B8B" w14:textId="1CFB0B4D" w:rsidR="008602BF" w:rsidRPr="00EB7308" w:rsidRDefault="00173372" w:rsidP="008602BF">
      <w:pPr>
        <w:pStyle w:val="Titre3"/>
        <w:rPr>
          <w:lang w:val="de-CH"/>
        </w:rPr>
      </w:pPr>
      <w:bookmarkStart w:id="36" w:name="_Toc196226223"/>
      <w:r w:rsidRPr="00EB6310">
        <w:rPr>
          <w:lang w:val="de-CH"/>
        </w:rPr>
        <w:lastRenderedPageBreak/>
        <w:t>Auftrag</w:t>
      </w:r>
      <w:r w:rsidR="008602BF" w:rsidRPr="00EB7308">
        <w:rPr>
          <w:lang w:val="de-CH"/>
        </w:rPr>
        <w:t xml:space="preserve"> </w:t>
      </w:r>
      <w:r w:rsidR="009E2921" w:rsidRPr="00EB7308">
        <w:rPr>
          <w:lang w:val="de-CH"/>
        </w:rPr>
        <w:t>«Für eine effiziente Steuerverwaltung» (2024-GC-286)</w:t>
      </w:r>
      <w:bookmarkEnd w:id="36"/>
    </w:p>
    <w:p w14:paraId="1D0A38EF" w14:textId="77777777" w:rsidR="00173372" w:rsidRPr="003E35DE" w:rsidRDefault="00173372" w:rsidP="00173372">
      <w:pPr>
        <w:pStyle w:val="Corpsdetexte"/>
        <w:rPr>
          <w:lang w:val="de-CH"/>
        </w:rPr>
      </w:pPr>
      <w:r w:rsidRPr="003E35DE">
        <w:rPr>
          <w:lang w:val="de-CH"/>
        </w:rPr>
        <w:t xml:space="preserve">Ausgehend von zwei Studien, die aufzeigen, dass in der Schweiz ein beträchtlicher Teil steuerbarer Gelder dem Fiskus nicht deklariert werden, verlangt der am 20. November 2024 eingereichte Auftrag «Für eine effiziente Steuerverwaltung» (2024-GC-286) eine Personalaufstockung in der Kantonalen Steuerverwaltung (KSTV). Nach den Verfasserinnen und Verfassern des Auftrags sind die betreffenden Stellen als Investition in eine gerechte Steuererhebung zu betrachten. Sie sind der Auffassung, dass mit dem aktuellen Personalbestand der KSTV keine gründliche Prüfung der Steuererklärungen mehr möglich ist und sich Steuerbetrug und Steuerhinterziehung nicht mehr richtig bekämpfen lassen. Sie fordern eine Personalaufstockung sowohl bei den Steuereinschätzerinnen und Steuereinschätzern als auch bei den Revisorinnen und Revisoren und beim Steuerinspektorat und eine alljährliche Anpassung nach Massgabe der Zunahme des Steueraufkommens und der Zahl der Steuerpflichtigen. Für das Steuerinspektorat sprechen sie von einer anfänglichen Aufstockung um 10 VZÄ. </w:t>
      </w:r>
    </w:p>
    <w:p w14:paraId="5D5EA7F7" w14:textId="2C36EFA2" w:rsidR="008602BF" w:rsidRPr="00173372" w:rsidRDefault="00173372" w:rsidP="00173372">
      <w:pPr>
        <w:pStyle w:val="Corpsdetexte"/>
        <w:rPr>
          <w:lang w:val="de-CH"/>
        </w:rPr>
      </w:pPr>
      <w:r w:rsidRPr="003E35DE">
        <w:rPr>
          <w:lang w:val="de-CH"/>
        </w:rPr>
        <w:t>Der Staatsrat verweist darauf, dass er im Rahmen der Massnahme «Aufstockung der Zahl der Steuereinschätzer/innen bei der KSTV für verstärkte Steuerprüfungen» eine Aufstockung des Personalbestands in der KSTV um 12 VZÄ innert drei Jahren vorschlägt. Er ist der Auffassung, dass dies den im Auftrag formulierten Forderungen in angemessener Weise entspricht, und schlägt daher dem Grossen Rat vor, den Auftrag als erfüllt zu betrachten.</w:t>
      </w:r>
    </w:p>
    <w:p w14:paraId="349AAD1F" w14:textId="39540ED7" w:rsidR="0001598C" w:rsidRPr="00EB7308" w:rsidRDefault="00173372" w:rsidP="0001598C">
      <w:pPr>
        <w:pStyle w:val="Titre3"/>
        <w:rPr>
          <w:lang w:val="de-CH"/>
        </w:rPr>
      </w:pPr>
      <w:bookmarkStart w:id="37" w:name="_Toc196226224"/>
      <w:r w:rsidRPr="00EB6310">
        <w:rPr>
          <w:lang w:val="de-CH"/>
        </w:rPr>
        <w:t>Auftrag</w:t>
      </w:r>
      <w:r w:rsidR="0001598C" w:rsidRPr="00EB7308">
        <w:rPr>
          <w:lang w:val="de-CH"/>
        </w:rPr>
        <w:t xml:space="preserve"> </w:t>
      </w:r>
      <w:r w:rsidR="009E2921" w:rsidRPr="00EB7308">
        <w:rPr>
          <w:lang w:val="de-CH"/>
        </w:rPr>
        <w:t>«Senkung der Staatsausgaben zur Erhaltung der Kaufkraft» (2025-GC-40)</w:t>
      </w:r>
      <w:bookmarkEnd w:id="37"/>
    </w:p>
    <w:p w14:paraId="4DE405B4" w14:textId="77777777" w:rsidR="00173372" w:rsidRPr="003E35DE" w:rsidRDefault="00173372" w:rsidP="00173372">
      <w:pPr>
        <w:pStyle w:val="Corpsdetexte"/>
        <w:rPr>
          <w:lang w:val="de-CH"/>
        </w:rPr>
      </w:pPr>
      <w:r w:rsidRPr="003E35DE">
        <w:rPr>
          <w:lang w:val="de-CH"/>
        </w:rPr>
        <w:t>Der am 11. Februar 2025 eingereichte Auftrag «Senkung der Staatsausgaben zur Erhaltung der Kaufkraft» (2025-GC-40) fordert vom Staatsrat die Umsetzung einer Serie von 11 Massnahmen, die es ihm ermöglichen sollen, weiterhin seine Kernaufgaben zu erfüllen, den Bürgerinnen und Bürgern sowie den Unternehmen bedarfsgerechte Dienstleistungen zu bieten und seine Attraktivität als Arbeitgeber zu erhalten. Der Auftrag geht von der Feststellung aus, dass der Staat Freiburg ab 2026 mit einem jährlichen strukturellen Defizit von Millionen Franken rechnet. Eine Steuererhöhung und ein Kaufkraftverlust ohne vorherige Massnahmen zur Ausgabensenkung, wären für viele Bürgerinnen und Bürger kaum nachvollziehbar, zumal mehrere Nachbarkantone Steuersenkungen vorgenommen haben. Vor diesem Hintergrund sollte der Staatsrat unbedingt auf Effizienz und Priorisierung seiner Aufgaben setzen und von seinen Angestellten mehr Einsatz verlangen, insbesondere mit einer Überprüfung und Kanalisierung der Stellenaufstockungen.</w:t>
      </w:r>
    </w:p>
    <w:p w14:paraId="3FBBB337" w14:textId="77777777" w:rsidR="00173372" w:rsidRPr="003E35DE" w:rsidRDefault="00173372" w:rsidP="00173372">
      <w:pPr>
        <w:pStyle w:val="Corpsdetexte"/>
        <w:rPr>
          <w:lang w:val="de-CH"/>
        </w:rPr>
      </w:pPr>
      <w:r w:rsidRPr="003E35DE">
        <w:rPr>
          <w:lang w:val="de-CH"/>
        </w:rPr>
        <w:t xml:space="preserve">Der Staatsrat hält fest, dass die meisten formulierten Vorschläge Vorschlägen entsprechen, die auch in der Kantonsverwaltung eingebracht und im Rahmen der Vorbereitung des Sanierungsprogramms 26-28 geprüft und zumeist für die eingehendere Prüfung mit Blick auf eine spätere Umsetzung berücksichtigt worden sind. Einige davon wurden sogar bereits in den vorliegenden Entwurf integriert, so etwa die Veräusserung von Liegenschaften des Staates (z. B. Alphütten, Alpen), die keinen direkten Bezug mehr zu seinen Kernaufgaben haben oder nicht zum historischen oder kulturellen Erbe gehören. Mehrere Vorschläge betreffen ausserdem Punkte, die bereits früher im Fokus des Staatsrats waren und zur Einleitung interner Rationalisierungsprojekte führten, deren Kontrolle und Umsetzung inzwischen zu den laufenden Aktivitäten der betroffenen Ämter und Direktionen gehören. </w:t>
      </w:r>
    </w:p>
    <w:p w14:paraId="6742DF11" w14:textId="168FDB80" w:rsidR="0099312E" w:rsidRPr="00173372" w:rsidRDefault="00173372" w:rsidP="00173372">
      <w:pPr>
        <w:pStyle w:val="Corpsdetexte"/>
        <w:rPr>
          <w:lang w:val="de-CH"/>
        </w:rPr>
      </w:pPr>
      <w:r w:rsidRPr="003E35DE">
        <w:rPr>
          <w:lang w:val="de-CH"/>
        </w:rPr>
        <w:t xml:space="preserve">In Anbetracht dessen wird der Staatsrat dem Grossen Rat beantragen, den Auftrag 2025-GC-40 </w:t>
      </w:r>
      <w:r w:rsidR="00603C02">
        <w:rPr>
          <w:lang w:val="de-CH"/>
        </w:rPr>
        <w:t>teilweise gutzuheissen</w:t>
      </w:r>
      <w:r w:rsidRPr="003E35DE">
        <w:rPr>
          <w:lang w:val="de-CH"/>
        </w:rPr>
        <w:t>, mit dem Hinweis, dass er verschiedene Massnahmen im Sinne der Anliegen der Verfasser bereits ergriffen oder vorgeschlagen hat.</w:t>
      </w:r>
    </w:p>
    <w:p w14:paraId="366613ED" w14:textId="6F47EAC1" w:rsidR="0001598C" w:rsidRPr="00FE3A13" w:rsidRDefault="00173372" w:rsidP="0001598C">
      <w:pPr>
        <w:pStyle w:val="Titre3"/>
      </w:pPr>
      <w:bookmarkStart w:id="38" w:name="_Toc196226225"/>
      <w:r w:rsidRPr="00EB6310">
        <w:rPr>
          <w:lang w:val="de-CH"/>
        </w:rPr>
        <w:t>Auftrag</w:t>
      </w:r>
      <w:r w:rsidR="0001598C" w:rsidRPr="00EB7308">
        <w:rPr>
          <w:lang w:val="de-CH"/>
        </w:rPr>
        <w:t xml:space="preserve"> </w:t>
      </w:r>
      <w:r w:rsidR="009E2921" w:rsidRPr="00EB7308">
        <w:rPr>
          <w:lang w:val="de-CH"/>
        </w:rPr>
        <w:t xml:space="preserve">«Ist der Sanierungsplan ein Glücksfall für die Biodiversität?» </w:t>
      </w:r>
      <w:r w:rsidR="009E2921" w:rsidRPr="009E2921">
        <w:t>(2025-GC-55)</w:t>
      </w:r>
      <w:bookmarkEnd w:id="38"/>
    </w:p>
    <w:p w14:paraId="64767C86" w14:textId="77777777" w:rsidR="00173372" w:rsidRPr="003E35DE" w:rsidRDefault="00173372" w:rsidP="00173372">
      <w:pPr>
        <w:pStyle w:val="Corpsdetexte"/>
        <w:rPr>
          <w:lang w:val="de-CH"/>
        </w:rPr>
      </w:pPr>
      <w:r w:rsidRPr="003E35DE">
        <w:rPr>
          <w:lang w:val="de-CH"/>
        </w:rPr>
        <w:t>Ausgehend von der Feststellung, dass die sich seit mehreren Jahren abzeichnende Finanzkrise den Staatsrat dazu veranlasst hat, einen Sanierungsplan anzukündigen, plädiert der am 13. Februar 2025 eingereichte Auftrag «Ist der Sanierungsplan ein Glücksfall für die Biodiversität?» (2025-GC-55) dafür, die aktuelle Situation konstruktiv anzugehen und sogar als Glücksfall zu betrachten. Um die die Voraussetzungen zu schaffen und die Mittel zur Erreichung der beschlossenen Klima- und Biodiversitätsziele zu finden, fordern die Verfasser des Auftrags den Staatsrat auf, im Rahmen des Plans zur Sanierung der Staatsfinanzen eine Liste mit 10 Sondermassnahmen zu erstellen.</w:t>
      </w:r>
    </w:p>
    <w:p w14:paraId="3094089B" w14:textId="77777777" w:rsidR="00173372" w:rsidRPr="003E35DE" w:rsidRDefault="00173372" w:rsidP="00173372">
      <w:pPr>
        <w:pStyle w:val="Corpsdetexte"/>
        <w:rPr>
          <w:lang w:val="de-CH"/>
        </w:rPr>
      </w:pPr>
      <w:r w:rsidRPr="003E35DE">
        <w:rPr>
          <w:lang w:val="de-CH"/>
        </w:rPr>
        <w:t xml:space="preserve">Der Staatsrat stellt fest, dass die meisten Massnahmenvorschläge des Auftrags nicht mit den Massnahmen übereinstimmen, die er im Sanierungsprogramm 26-28 zur Umsetzung vorschlägt. Er teilt zwar die Anliegen punkto </w:t>
      </w:r>
      <w:r w:rsidRPr="003E35DE">
        <w:rPr>
          <w:lang w:val="de-CH"/>
        </w:rPr>
        <w:lastRenderedPageBreak/>
        <w:t xml:space="preserve">Lebensdauer von Hardware und Fahrzeugpark sowie das Bestreben zur Senkung des Gesamtenergieverbrauchs der staatlichen Gebäude, will diese jedoch längerfristig im Rahmen seiner laufenden Massnahmen und nicht im Sanierungsplan umsetzen. Der Staatsrat ist im Grundsatz auch mit einer Kürzung der Steuerabzüge für den individualisierten Motorfahrzeugverkehr einverstanden, schlägt jedoch eine neue Obergrenze von 8000 Franken anstelle der im Auftrag vorgeschlagenen 3000 Franken vor. </w:t>
      </w:r>
    </w:p>
    <w:p w14:paraId="0D6AD984" w14:textId="27E48309" w:rsidR="0009197A" w:rsidRPr="00173372" w:rsidRDefault="00173372" w:rsidP="00173372">
      <w:pPr>
        <w:pStyle w:val="Corpsdetexte"/>
        <w:rPr>
          <w:lang w:val="de-CH"/>
        </w:rPr>
      </w:pPr>
      <w:r w:rsidRPr="003E35DE">
        <w:rPr>
          <w:lang w:val="de-CH"/>
        </w:rPr>
        <w:t>In Anbetracht dessen wird der Staatsrat dem Grossen Rat beantragen, den Auft</w:t>
      </w:r>
      <w:r>
        <w:rPr>
          <w:lang w:val="de-CH"/>
        </w:rPr>
        <w:t>r</w:t>
      </w:r>
      <w:r w:rsidRPr="003E35DE">
        <w:rPr>
          <w:lang w:val="de-CH"/>
        </w:rPr>
        <w:t xml:space="preserve">ag 2025-GC-40 </w:t>
      </w:r>
      <w:r w:rsidR="00603C02">
        <w:rPr>
          <w:lang w:val="de-CH"/>
        </w:rPr>
        <w:t>teilweise gutzuheissen</w:t>
      </w:r>
      <w:r w:rsidRPr="003E35DE">
        <w:rPr>
          <w:lang w:val="de-CH"/>
        </w:rPr>
        <w:t>.</w:t>
      </w:r>
    </w:p>
    <w:p w14:paraId="04D22421" w14:textId="39CDDC68" w:rsidR="0001598C" w:rsidRPr="00EB7308" w:rsidRDefault="0001598C" w:rsidP="0001598C">
      <w:pPr>
        <w:pStyle w:val="Titre3"/>
        <w:rPr>
          <w:lang w:val="de-CH"/>
        </w:rPr>
      </w:pPr>
      <w:bookmarkStart w:id="39" w:name="_Toc196226226"/>
      <w:r w:rsidRPr="00EB7308">
        <w:rPr>
          <w:lang w:val="de-CH"/>
        </w:rPr>
        <w:t xml:space="preserve">Motion </w:t>
      </w:r>
      <w:r w:rsidR="009E2921" w:rsidRPr="00EB7308">
        <w:rPr>
          <w:lang w:val="de-CH"/>
        </w:rPr>
        <w:t>«Gut für das Klima und die Staatskasse» (2025-GC-70)</w:t>
      </w:r>
      <w:bookmarkEnd w:id="39"/>
    </w:p>
    <w:p w14:paraId="464AE724" w14:textId="77777777" w:rsidR="002625DC" w:rsidRPr="003E35DE" w:rsidRDefault="002625DC" w:rsidP="002625DC">
      <w:pPr>
        <w:pStyle w:val="Corpsdetexte"/>
        <w:rPr>
          <w:lang w:val="de-CH"/>
        </w:rPr>
      </w:pPr>
      <w:r w:rsidRPr="003E35DE">
        <w:rPr>
          <w:lang w:val="de-CH"/>
        </w:rPr>
        <w:t>Die am 3. März 2025 eingereichte Motion «Gut für das Klima und die Staatskasse» (2025-GC-70) verlangt eine Änderung von Artikel 27 Abs. 1 Bst. a des Gesetzes vom 6. Juni 2000 über die direkten Kantonssteuern (DStG) im Hinblick auf einen Beitrag zur Sanierung der Kantonsfinanzen und zu den Klimazielen. Die zur Debatte stehende Gesetzesbestimmung betrifft den Abzug der Berufskosten für notwendige Fahrten zwischen Wohn- und Arbeitsstätte. Die Verfasser der Motion fordern eine Obergrenze für diese Abzüge bei 4000 pro Jahr, was mehr oder weniger dem Preis eines SBB-Generalabonnements entspricht, statt des derzeitigen Abzugs von 12 000 Franken. Um einen grösseren Anreiz für die Verlagerung des Verkehrs auf andere Verkehrsträger zu schaffen, wird ebenfalls gefordert, den Abzug für Fahrten mit dem Fahrrad auf 1000 Franken zu erhöhen.</w:t>
      </w:r>
    </w:p>
    <w:p w14:paraId="429225DF" w14:textId="77777777" w:rsidR="002625DC" w:rsidRPr="003E35DE" w:rsidRDefault="002625DC" w:rsidP="002625DC">
      <w:pPr>
        <w:pStyle w:val="Corpsdetexte"/>
        <w:rPr>
          <w:lang w:val="de-CH"/>
        </w:rPr>
      </w:pPr>
      <w:r w:rsidRPr="003E35DE">
        <w:rPr>
          <w:lang w:val="de-CH"/>
        </w:rPr>
        <w:t xml:space="preserve">Wie bereits gesagt, ist der Staatsrat mit einer Verringerung des Abzugs der Berufskosten für notwendige Fahrten zwischen Wohn- und Arbeitsstätte mittels individualisiertem Motorfahrzeugverkehr einverstanden, schlägt jedoch eine neue jährlich Obergrenze von 8000 Franken anstelle der in der Motion vorgeschlagenen 4000 Franken vor. Der Staatsrat wird im Rahmen des Sanierungsprogramms jedoch nicht auf die vorgeschlagene Erhöhung des Abzugs für Fahrten mit dem Fahrrad eingehen, was Steuerausfälle zur Folge hätte und damit nicht mit den Zielen des Sanierungsprogramms vereinbar ist. </w:t>
      </w:r>
    </w:p>
    <w:p w14:paraId="44C688F8" w14:textId="0483B954" w:rsidR="00033A00" w:rsidRPr="002625DC" w:rsidRDefault="002625DC" w:rsidP="002625DC">
      <w:pPr>
        <w:pStyle w:val="Corpsdetexte"/>
        <w:rPr>
          <w:lang w:val="de-CH"/>
        </w:rPr>
      </w:pPr>
      <w:r w:rsidRPr="003E35DE">
        <w:rPr>
          <w:lang w:val="de-CH"/>
        </w:rPr>
        <w:t xml:space="preserve">In Anbetracht dessen wird der Staatsrat dem Grossen Rat beantragen, die Motion </w:t>
      </w:r>
      <w:r w:rsidR="00603C02">
        <w:rPr>
          <w:lang w:val="de-CH"/>
        </w:rPr>
        <w:t>teilweise gutzuheissen</w:t>
      </w:r>
      <w:r w:rsidRPr="003E35DE">
        <w:rPr>
          <w:lang w:val="de-CH"/>
        </w:rPr>
        <w:t>, mit dem Hinweis, dass er bereits eine dem Anliegen der Motionäre entsprechende Massnahme zur Verringerung der Steuerabzüge vorsieht.</w:t>
      </w:r>
    </w:p>
    <w:p w14:paraId="463F6C79" w14:textId="2FD87064" w:rsidR="00086338" w:rsidRPr="00EB7308" w:rsidRDefault="002625DC" w:rsidP="00086338">
      <w:pPr>
        <w:pStyle w:val="Titre3"/>
        <w:rPr>
          <w:lang w:val="de-CH"/>
        </w:rPr>
      </w:pPr>
      <w:bookmarkStart w:id="40" w:name="_Toc196226227"/>
      <w:r w:rsidRPr="00EB6310">
        <w:rPr>
          <w:lang w:val="de-CH"/>
        </w:rPr>
        <w:t>Auftrag</w:t>
      </w:r>
      <w:r w:rsidR="00086338" w:rsidRPr="00EB7308">
        <w:rPr>
          <w:lang w:val="de-CH"/>
        </w:rPr>
        <w:t xml:space="preserve"> </w:t>
      </w:r>
      <w:r w:rsidR="009E2921" w:rsidRPr="00EB7308">
        <w:rPr>
          <w:lang w:val="de-CH"/>
        </w:rPr>
        <w:t>«Sparmassnahmen: Die Politik muss mit gutem Beispiel vorangehen» (2025-GC-94)</w:t>
      </w:r>
      <w:bookmarkEnd w:id="40"/>
    </w:p>
    <w:p w14:paraId="3837B26C" w14:textId="299B220A" w:rsidR="002625DC" w:rsidRPr="003E35DE" w:rsidRDefault="002625DC" w:rsidP="002625DC">
      <w:pPr>
        <w:pStyle w:val="Corpsdetexte"/>
        <w:rPr>
          <w:lang w:val="de-CH"/>
        </w:rPr>
      </w:pPr>
      <w:r w:rsidRPr="003E35DE">
        <w:rPr>
          <w:lang w:val="de-CH"/>
        </w:rPr>
        <w:t xml:space="preserve">Im Rahmen der Massnahmen zur Bewältigung der durch die Coronapandemie verursachten Ausnahmesituation war eine Erhöhung der Unterstützungsbeiträge an die politischen Parteien in Wahljahren auf 500 000 Franken beschlossen worden. Der am 27. März 2025 eingereichte Auftrag «Sparmassnahmen: Die Politik muss mit gutem Beispiel vorangehen» (2025-GC-94) fordert die Senkung der finanziellen Beteiligung des Staates an den Wahlkampfkosten auf 250 000 Franken. Dies soll zeigen, dass sich die Politik der gegenwärtigen finanziellen Situation voll bewusst ist, wäre ein starkes Signal an die Steuerpflichtigen, die bereits viele Zugeständnisse machen müssen, und würde sich vertrauensstärkend auf das Verhältnis zwischen der Bevölkerung und ihren gewählten Vertreterinnen und Vertreter auswirken. </w:t>
      </w:r>
      <w:bookmarkStart w:id="41" w:name="_Hlk196822415"/>
      <w:r w:rsidRPr="003E35DE">
        <w:rPr>
          <w:lang w:val="de-CH"/>
        </w:rPr>
        <w:t xml:space="preserve">Dies würde auch zeigen, dass der Staatsrat gewillt ist, den Schwerpunkt auf die für die Bevölkerung wirklich wichtigen Ausgaben zu legen. </w:t>
      </w:r>
      <w:bookmarkEnd w:id="41"/>
    </w:p>
    <w:p w14:paraId="25106B35" w14:textId="4BC4A8BC" w:rsidR="00086338" w:rsidRPr="002625DC" w:rsidRDefault="002625DC" w:rsidP="002625DC">
      <w:pPr>
        <w:pStyle w:val="Corpsdetexte"/>
        <w:rPr>
          <w:lang w:val="de-CH"/>
        </w:rPr>
      </w:pPr>
      <w:r w:rsidRPr="003E35DE">
        <w:rPr>
          <w:lang w:val="de-CH"/>
        </w:rPr>
        <w:t>Bereits vor der Einreichung des Auftrags hatte der Staatsrat eine Massnahme zur Senkung der Beteiligung des Staates an den Wahlkampfkosten in den Jahren 2026 und 2027 um rund 118 000 Franken beschlossen. Er schlägt vor, diese Massnahme, die in die Richtung des eingereichten Auftrags geht, beizubehalten und somit davon auszugehen, dass diesem Folge geleistet wurde.</w:t>
      </w:r>
    </w:p>
    <w:p w14:paraId="3D9950A1" w14:textId="77E5A5EB" w:rsidR="0001598C" w:rsidRPr="00EB6310" w:rsidRDefault="006758E0" w:rsidP="0001598C">
      <w:pPr>
        <w:pStyle w:val="Titre1"/>
        <w:rPr>
          <w:lang w:val="de-CH"/>
        </w:rPr>
      </w:pPr>
      <w:bookmarkStart w:id="42" w:name="_Toc195780036"/>
      <w:bookmarkStart w:id="43" w:name="_Toc195780037"/>
      <w:bookmarkStart w:id="44" w:name="_Toc195780038"/>
      <w:bookmarkStart w:id="45" w:name="_Toc195780039"/>
      <w:bookmarkStart w:id="46" w:name="_Toc195780040"/>
      <w:bookmarkStart w:id="47" w:name="_Toc195780041"/>
      <w:bookmarkStart w:id="48" w:name="_Toc195780042"/>
      <w:bookmarkStart w:id="49" w:name="_Toc195780043"/>
      <w:bookmarkStart w:id="50" w:name="_Toc195780044"/>
      <w:bookmarkStart w:id="51" w:name="_Toc196226228"/>
      <w:bookmarkEnd w:id="42"/>
      <w:bookmarkEnd w:id="43"/>
      <w:bookmarkEnd w:id="44"/>
      <w:bookmarkEnd w:id="45"/>
      <w:bookmarkEnd w:id="46"/>
      <w:bookmarkEnd w:id="47"/>
      <w:bookmarkEnd w:id="48"/>
      <w:bookmarkEnd w:id="49"/>
      <w:bookmarkEnd w:id="50"/>
      <w:r w:rsidRPr="00EB6310">
        <w:rPr>
          <w:lang w:val="de-CH"/>
        </w:rPr>
        <w:t>Kommentar der Gesetzesänderungen</w:t>
      </w:r>
      <w:bookmarkEnd w:id="51"/>
    </w:p>
    <w:p w14:paraId="1C432281" w14:textId="53175576" w:rsidR="0001598C" w:rsidRPr="00FE3A13" w:rsidRDefault="0001598C" w:rsidP="0001598C">
      <w:pPr>
        <w:pStyle w:val="Tiret"/>
      </w:pPr>
      <w:r w:rsidRPr="00FE3A13">
        <w:t>—</w:t>
      </w:r>
    </w:p>
    <w:p w14:paraId="2B699EFB" w14:textId="2EB1F277" w:rsidR="00812C70" w:rsidRPr="006D12E1" w:rsidRDefault="00812C70" w:rsidP="00812C70">
      <w:pPr>
        <w:rPr>
          <w:lang w:val="de-CH"/>
        </w:rPr>
      </w:pPr>
      <w:r w:rsidRPr="006D12E1">
        <w:rPr>
          <w:lang w:val="de-CH"/>
        </w:rPr>
        <w:t>Die in Kapitel 4</w:t>
      </w:r>
      <w:r w:rsidR="009E2921">
        <w:rPr>
          <w:lang w:val="de-CH"/>
        </w:rPr>
        <w:t>.2</w:t>
      </w:r>
      <w:r w:rsidRPr="006D12E1">
        <w:rPr>
          <w:lang w:val="de-CH"/>
        </w:rPr>
        <w:t xml:space="preserve"> aufgeführten Massnahmen in der Zuständigkeit des Grossen Rates führen zu Gesetzesänderungen. Die Massnahmen sind hier nach den jeweils geänderten Erlassen und deren SGF-Nummer geordnet. Um einen </w:t>
      </w:r>
      <w:r w:rsidRPr="006D12E1">
        <w:rPr>
          <w:lang w:val="de-CH"/>
        </w:rPr>
        <w:lastRenderedPageBreak/>
        <w:t>besseren Bezug zu Kapitel 4</w:t>
      </w:r>
      <w:r w:rsidR="009E2921">
        <w:rPr>
          <w:lang w:val="de-CH"/>
        </w:rPr>
        <w:t>.2</w:t>
      </w:r>
      <w:r w:rsidRPr="006D12E1">
        <w:rPr>
          <w:lang w:val="de-CH"/>
        </w:rPr>
        <w:t xml:space="preserve"> herzustellen, wurden die Kommentare so weit wie möglich nach Massnahmen gruppiert. </w:t>
      </w:r>
    </w:p>
    <w:p w14:paraId="0E04DCE0" w14:textId="77777777" w:rsidR="00812C70" w:rsidRPr="006D12E1" w:rsidRDefault="00812C70" w:rsidP="00812C70">
      <w:pPr>
        <w:rPr>
          <w:lang w:val="de-CH"/>
        </w:rPr>
      </w:pPr>
      <w:r w:rsidRPr="006D12E1">
        <w:rPr>
          <w:lang w:val="de-CH"/>
        </w:rPr>
        <w:t xml:space="preserve">Vier Massnahmen werden in diesem Kapitel nicht mehr thematisiert: </w:t>
      </w:r>
    </w:p>
    <w:p w14:paraId="6B9A411C" w14:textId="77777777" w:rsidR="00812C70" w:rsidRPr="006D12E1" w:rsidRDefault="00812C70" w:rsidP="00812C70">
      <w:pPr>
        <w:pStyle w:val="08puces"/>
        <w:rPr>
          <w:sz w:val="21"/>
          <w:szCs w:val="21"/>
        </w:rPr>
      </w:pPr>
      <w:bookmarkStart w:id="52" w:name="_Hlk194571998"/>
      <w:r w:rsidRPr="006D12E1">
        <w:rPr>
          <w:sz w:val="21"/>
          <w:szCs w:val="21"/>
          <w:lang w:val="de-CH"/>
        </w:rPr>
        <w:t xml:space="preserve">Die Massnahme zur </w:t>
      </w:r>
      <w:r w:rsidRPr="006D12E1">
        <w:rPr>
          <w:i/>
          <w:iCs/>
          <w:sz w:val="21"/>
          <w:szCs w:val="21"/>
          <w:lang w:val="de-CH"/>
        </w:rPr>
        <w:t xml:space="preserve">Einführung einer kantonalen Abgabe auf den in den Materialabbauzonen abgebauten Mengen </w:t>
      </w:r>
      <w:bookmarkEnd w:id="52"/>
      <w:r w:rsidRPr="006D12E1">
        <w:rPr>
          <w:sz w:val="21"/>
          <w:szCs w:val="21"/>
          <w:lang w:val="de-CH"/>
        </w:rPr>
        <w:t>muss rechtlich noch eingehend überdacht werden, was innerhalb der für die Ausarbeitung des PSKF-Entwurfs vorgesehenen Frist nicht möglich war. Sie wird erst 2027 zur Umsetzung kommen</w:t>
      </w:r>
      <w:r w:rsidRPr="006D12E1">
        <w:rPr>
          <w:sz w:val="21"/>
          <w:szCs w:val="21"/>
        </w:rPr>
        <w:t xml:space="preserve">. </w:t>
      </w:r>
    </w:p>
    <w:p w14:paraId="17C0B0CE" w14:textId="77777777" w:rsidR="00812C70" w:rsidRPr="006D12E1" w:rsidRDefault="00812C70" w:rsidP="00812C70">
      <w:pPr>
        <w:pStyle w:val="08puces"/>
        <w:rPr>
          <w:sz w:val="21"/>
          <w:szCs w:val="21"/>
          <w:lang w:val="de-CH"/>
        </w:rPr>
      </w:pPr>
      <w:r w:rsidRPr="006D12E1">
        <w:rPr>
          <w:sz w:val="21"/>
          <w:szCs w:val="21"/>
          <w:lang w:val="de-CH"/>
        </w:rPr>
        <w:t xml:space="preserve">Die Massnahme bezüglich </w:t>
      </w:r>
      <w:bookmarkStart w:id="53" w:name="_Hlk194572009"/>
      <w:r w:rsidRPr="006D12E1">
        <w:rPr>
          <w:i/>
          <w:iCs/>
          <w:sz w:val="21"/>
          <w:szCs w:val="21"/>
          <w:lang w:val="de-CH"/>
        </w:rPr>
        <w:t>Verzicht auf die künftige Übernahme der Portokosten der Briefwahl durch den Staat</w:t>
      </w:r>
      <w:bookmarkEnd w:id="53"/>
      <w:r w:rsidRPr="006D12E1">
        <w:rPr>
          <w:sz w:val="21"/>
          <w:szCs w:val="21"/>
          <w:lang w:val="de-CH"/>
        </w:rPr>
        <w:t xml:space="preserve"> ist vom Grossen Rat am 27. März im Rahmen einer Änderung des PRG bereits validiert worden, und es braucht keine weiteren Anpassungen.</w:t>
      </w:r>
    </w:p>
    <w:p w14:paraId="564B9C63" w14:textId="77777777" w:rsidR="00812C70" w:rsidRPr="006D12E1" w:rsidRDefault="00812C70" w:rsidP="00812C70">
      <w:pPr>
        <w:pStyle w:val="08puces"/>
        <w:rPr>
          <w:sz w:val="21"/>
          <w:szCs w:val="21"/>
          <w:lang w:val="de-CH"/>
        </w:rPr>
      </w:pPr>
      <w:r w:rsidRPr="006D12E1">
        <w:rPr>
          <w:sz w:val="21"/>
          <w:szCs w:val="21"/>
          <w:lang w:val="de-CH"/>
        </w:rPr>
        <w:t xml:space="preserve">Die Massnahme </w:t>
      </w:r>
      <w:bookmarkStart w:id="54" w:name="_Hlk194572024"/>
      <w:r w:rsidRPr="006D12E1">
        <w:rPr>
          <w:sz w:val="21"/>
          <w:szCs w:val="21"/>
          <w:lang w:val="de-CH"/>
        </w:rPr>
        <w:t>im Hinblick auf eine</w:t>
      </w:r>
      <w:r w:rsidRPr="006D12E1">
        <w:rPr>
          <w:i/>
          <w:iCs/>
          <w:sz w:val="21"/>
          <w:szCs w:val="21"/>
          <w:lang w:val="de-CH"/>
        </w:rPr>
        <w:t xml:space="preserve"> höhere Einkommensanrechnung bei der Berechnung von Stipendien und Anrechnung des Einkommens des anderen Elternteils bei Konkubinat</w:t>
      </w:r>
      <w:bookmarkEnd w:id="54"/>
      <w:r w:rsidRPr="006D12E1">
        <w:rPr>
          <w:sz w:val="21"/>
          <w:szCs w:val="21"/>
          <w:lang w:val="de-CH"/>
        </w:rPr>
        <w:t xml:space="preserve"> ist schon Teil der laufenden Revision des StiG.</w:t>
      </w:r>
    </w:p>
    <w:p w14:paraId="381935D8" w14:textId="2DBB5BBB" w:rsidR="00DF52DA" w:rsidRPr="00812C70" w:rsidRDefault="00812C70" w:rsidP="00812C70">
      <w:pPr>
        <w:pStyle w:val="08puces"/>
        <w:rPr>
          <w:sz w:val="21"/>
          <w:szCs w:val="21"/>
          <w:lang w:val="de-CH"/>
        </w:rPr>
      </w:pPr>
      <w:r w:rsidRPr="006D12E1">
        <w:rPr>
          <w:sz w:val="21"/>
          <w:szCs w:val="21"/>
          <w:lang w:val="de-CH"/>
        </w:rPr>
        <w:t>Die Massnahme zum Aufschub der Umsetzung des Projekts DAOS muss noch weiter geprüft werden und kann erst umgesetzt werden, wenn die Arbeiten der parlamentarischen Kommission, die sich derzeit mit diesem Projekt befasst, abgeschlossen sind.</w:t>
      </w:r>
    </w:p>
    <w:p w14:paraId="48ACFBFD" w14:textId="77777777" w:rsidR="00E0042C" w:rsidRPr="00DB44AF" w:rsidRDefault="00E0042C" w:rsidP="00E0042C">
      <w:pPr>
        <w:pStyle w:val="Titre2"/>
        <w:rPr>
          <w:lang w:val="de-CH"/>
        </w:rPr>
      </w:pPr>
      <w:bookmarkStart w:id="55" w:name="_Toc196226229"/>
      <w:r w:rsidRPr="00DB44AF">
        <w:rPr>
          <w:lang w:val="de-CH"/>
        </w:rPr>
        <w:t>Änderung des Gesetzes über das freiburgische Bürgerrecht (BRG)</w:t>
      </w:r>
      <w:bookmarkEnd w:id="55"/>
    </w:p>
    <w:p w14:paraId="2F4BE783" w14:textId="716C7106" w:rsidR="00E0042C" w:rsidRPr="003C70C9" w:rsidRDefault="00E0042C" w:rsidP="00E0042C">
      <w:pPr>
        <w:pStyle w:val="Titre3"/>
        <w:rPr>
          <w:lang w:val="de-CH"/>
        </w:rPr>
      </w:pPr>
      <w:bookmarkStart w:id="56" w:name="_Toc195000889"/>
      <w:bookmarkStart w:id="57" w:name="_Toc196226230"/>
      <w:r w:rsidRPr="006D12E1">
        <w:rPr>
          <w:lang w:val="de-CH"/>
        </w:rPr>
        <w:t>Allgemeines</w:t>
      </w:r>
      <w:bookmarkEnd w:id="56"/>
      <w:bookmarkEnd w:id="57"/>
    </w:p>
    <w:p w14:paraId="0DFD54D3" w14:textId="77777777" w:rsidR="00E0042C" w:rsidRPr="006D12E1" w:rsidRDefault="00E0042C" w:rsidP="00E0042C">
      <w:pPr>
        <w:pStyle w:val="Corpsdetexte"/>
        <w:rPr>
          <w:lang w:val="de-CH"/>
        </w:rPr>
      </w:pPr>
      <w:r w:rsidRPr="006D12E1">
        <w:rPr>
          <w:b/>
          <w:bCs/>
          <w:lang w:val="de-CH"/>
        </w:rPr>
        <w:t>&gt;</w:t>
      </w:r>
      <w:r w:rsidRPr="006D12E1">
        <w:rPr>
          <w:b/>
          <w:bCs/>
          <w:lang w:val="de-CH"/>
        </w:rPr>
        <w:tab/>
        <w:t>Änderung des Verfahrens einer ordentlichen Einbürgerung</w:t>
      </w:r>
    </w:p>
    <w:p w14:paraId="4AABDA06" w14:textId="77777777" w:rsidR="00E0042C" w:rsidRPr="006D12E1" w:rsidRDefault="00E0042C" w:rsidP="00E0042C">
      <w:pPr>
        <w:rPr>
          <w:lang w:val="de-CH"/>
        </w:rPr>
      </w:pPr>
      <w:r w:rsidRPr="006D12E1">
        <w:rPr>
          <w:lang w:val="de-CH"/>
        </w:rPr>
        <w:t>Die vorliegende Revision des Gesetzes über das freiburgische Bürgerrecht (BRG; SGF 114.1.1) leistet dem Programm zur Sanierung der Kantonsfinanzen Folge sowie dem Willen, den Entscheidungsprozess zu vereinfachen, indem die Anhörung der einbürgerungswilligen Personen durch die Einbürgerungskommission des Grossen Rates abgeschafft wird. Diese Kommission tagt von allen Kommissionen des Grossen Rates am häufigsten. Die Abschaffung dieser Anhörung soll in erster Linie zu bedeutenden finanziellen Einsparungen führen. Zudem wird dadurch die Rolle der kommunalen Anhörungen gestärkt werden, die als einzige im Einbürgerungsverfahren bestehen bleiben werden, zusammen mit der Anhörung, die zu Beginn des Verfahrens vom Amt für Zivilstand und Einbürgerung (ZEiA) bei der Erstellung des Erhebungsberichts durchgeführt wird.</w:t>
      </w:r>
    </w:p>
    <w:p w14:paraId="3DD7FAF0" w14:textId="77777777" w:rsidR="00E0042C" w:rsidRPr="006D12E1" w:rsidRDefault="00E0042C" w:rsidP="00E0042C">
      <w:pPr>
        <w:rPr>
          <w:lang w:val="de-CH"/>
        </w:rPr>
      </w:pPr>
      <w:r w:rsidRPr="006D12E1">
        <w:rPr>
          <w:lang w:val="de-CH"/>
        </w:rPr>
        <w:t>2024 tagte die Einbürgerungskommission 57-mal, wobei sich die Gesamtkosten auf über 88 000 Franken beliefen, zuzüglich der verschiedenen Entschädigungen für die Kommissionsmitglieder. Allein diese Zahl verdeutlicht die Einsparungen, die im Laufe der Jahre erzielt werden können, in einer Zeit, in der der Kanton sich um eine Einschränkung seiner Ausgaben bemühen muss.</w:t>
      </w:r>
    </w:p>
    <w:p w14:paraId="21C28C1A" w14:textId="77777777" w:rsidR="00E0042C" w:rsidRPr="006D12E1" w:rsidRDefault="00E0042C" w:rsidP="00E0042C">
      <w:pPr>
        <w:rPr>
          <w:lang w:val="de-CH"/>
        </w:rPr>
      </w:pPr>
      <w:r w:rsidRPr="006D12E1">
        <w:rPr>
          <w:lang w:val="de-CH"/>
        </w:rPr>
        <w:t>Die Übertragung der Zuständigkeit für die Erteilung oder Nicht-Erteilung des Kantonsbürgerrechts und damit des Schweizer Bürgerrechts an den Staatsrat, eine Exekutivbehörde, ist an sich weder neu noch originell. In fast allen Westschweizer Kantonen liegt diese Kompetenz nämlich bereits bei den Regierungen, und zwar in den Kantonen Waadt, Neuenburg, Jura und Genf. Im Kanton Wallis ist noch der Grosse Rat für die Erteilung des Kantonsbürgerrechts zuständig. Der Kanton revidiert sein Gesetz jedoch gerade und sieht vor, die Zuständigkeit dem Staatsrat zu übertragen. Der Kanton Bern geht sogar noch weiter, da der Regierungsrat diese Kompetenz an das für Einbürgerungen zuständige Regierungsratsmitglied delegiert hat.</w:t>
      </w:r>
    </w:p>
    <w:p w14:paraId="3F857CCA" w14:textId="77777777" w:rsidR="00E0042C" w:rsidRPr="006D12E1" w:rsidRDefault="00E0042C" w:rsidP="00E0042C">
      <w:pPr>
        <w:rPr>
          <w:lang w:val="de-CH"/>
        </w:rPr>
      </w:pPr>
      <w:r w:rsidRPr="006D12E1">
        <w:rPr>
          <w:lang w:val="de-CH"/>
        </w:rPr>
        <w:t>Neben den bereits erwähnten Einsparungen bei den Entschädigungen und Betriebskosten der Einbürgerungskommission können durch den vorliegenden Gesetzesentwurf Ressourcen des ZEiA freigesetzt werden, die derzeit mit der Vorbereitung der Einbürgerungsdekrete und der Organisation der Anhörungen der Einbürgerungswilligen beschäftigt sind. Angesichts der kontinuierlichen Zunahme der Einbürgerungsverfahren sollte es somit möglich sein, den Bedarf an zusätzlichen Ressourcen in den kommenden Jahren zu begrenzen. Die Verfahrensänderung wird auch das Sekretariat des Grossen Rates entlasten, dessen Aufgabe es ist, den parlamentarischen Prozess zu begleiten.</w:t>
      </w:r>
    </w:p>
    <w:p w14:paraId="7F1125D3" w14:textId="0F80613E" w:rsidR="00E0042C" w:rsidRPr="006D12E1" w:rsidRDefault="00E0042C" w:rsidP="00E0042C">
      <w:pPr>
        <w:pStyle w:val="Titre3"/>
        <w:rPr>
          <w:lang w:val="de-CH"/>
        </w:rPr>
      </w:pPr>
      <w:bookmarkStart w:id="58" w:name="_Toc195000890"/>
      <w:bookmarkStart w:id="59" w:name="_Toc196226231"/>
      <w:r w:rsidRPr="006D12E1">
        <w:rPr>
          <w:lang w:val="de-CH"/>
        </w:rPr>
        <w:lastRenderedPageBreak/>
        <w:t>Kommentar der einzelnen Artikel</w:t>
      </w:r>
      <w:bookmarkEnd w:id="58"/>
      <w:bookmarkEnd w:id="59"/>
    </w:p>
    <w:p w14:paraId="4FE504B1" w14:textId="4C6982D0" w:rsidR="00E0042C" w:rsidRPr="006D12E1" w:rsidRDefault="00E0042C" w:rsidP="00E0042C">
      <w:pPr>
        <w:pStyle w:val="TitreArticleloi"/>
        <w:rPr>
          <w:lang w:val="de-CH"/>
        </w:rPr>
      </w:pPr>
      <w:r w:rsidRPr="006D12E1">
        <w:rPr>
          <w:lang w:val="de-CH"/>
        </w:rPr>
        <w:t xml:space="preserve">Art. 19 </w:t>
      </w:r>
    </w:p>
    <w:p w14:paraId="1FF1C9A7" w14:textId="77777777" w:rsidR="00E0042C" w:rsidRPr="006D12E1" w:rsidRDefault="00E0042C" w:rsidP="00E0042C">
      <w:pPr>
        <w:rPr>
          <w:i/>
          <w:iCs/>
          <w:lang w:val="de-CH"/>
        </w:rPr>
      </w:pPr>
      <w:r w:rsidRPr="006D12E1">
        <w:rPr>
          <w:lang w:val="de-CH"/>
        </w:rPr>
        <w:t>Der erste Absatz besagt, dass das Dossier an die Direktion weitergeleitet wird, sobald der Bewerberin oder dem Bewerber das Gemeindebürgerrecht und die eidgenössische Einbürgerungsbewilligung verliehen wurde. So kann das ZEiA das Dossier der Bewerberin oder des Bewerbers und einen Entwurf des Einbürgerungsbeschlusses direkt an seine Direktion weiterleiten. Das Verfahren wird nicht mehr jenem der Überweisung der Geschäfte an die Legislative folgen. Neben der Vereinfachung des Verfahrens hat diese Vorgehensweise den grossen Vorteil, dass die Einbürgerungsfristen erheblich verkürzt werden, da die Dossiers nicht mehr dem langsamen und, wie bereits erwähnt, teureren parlamentarischen Verfahren unterzogen werden. Es sei darauf hingewiesen, dass der Wegfall dieses parlamentarischen Verfahrens die Dauer der ordentlichen Einbürgerungsverfahren um etwa acht Monate verkürzen wird.</w:t>
      </w:r>
    </w:p>
    <w:p w14:paraId="19D1CCDC" w14:textId="77777777" w:rsidR="00E0042C" w:rsidRPr="006D12E1" w:rsidRDefault="00E0042C" w:rsidP="00E0042C">
      <w:pPr>
        <w:rPr>
          <w:i/>
          <w:iCs/>
          <w:lang w:val="de-CH"/>
        </w:rPr>
      </w:pPr>
      <w:r w:rsidRPr="006D12E1">
        <w:rPr>
          <w:lang w:val="de-CH"/>
        </w:rPr>
        <w:t>Absatz 2 überträgt die abschliessende Zuständigkeit für die Erteilung des Kantonsbürgerrechts und damit des Schweizer Bürgerrechts dem Staatsrat. Es wird jedoch klargestellt, dass die ILFD eine Stellungnahme zuhanden des Staatsrats abgeben muss. Dies bedeutet konkret, dass die ILFD über ihre Dienststellen die Dossiers prüfen muss, um ihre Überzeugung zu bilden und zu beurteilen, ob die Verleihung des Schweizer Bürgerrechts gerechtfertigt ist. So werden allfällige negative Entscheide direkt von der ILFD begründet. Die ILFD gibt auch die Empfehlung ab, ein Dossier zurückzuziehen, um einen formellen ablehnenden Entscheid zu vermeiden, wie das bereits zuhanden der Einbürgerungskommission des Grossen Rats der Fall ist, wenn die Auffassung vertreten wird, dass gewisse Voraussetzungen für die Einbürgerung lückenhaft sind.</w:t>
      </w:r>
    </w:p>
    <w:p w14:paraId="20ACC873" w14:textId="06CC415A" w:rsidR="00E0042C" w:rsidRPr="006D12E1" w:rsidRDefault="00E0042C" w:rsidP="00E0042C">
      <w:pPr>
        <w:pStyle w:val="TitreArticleloi"/>
        <w:rPr>
          <w:lang w:val="de-CH"/>
        </w:rPr>
      </w:pPr>
      <w:r w:rsidRPr="006D12E1">
        <w:rPr>
          <w:lang w:val="de-CH"/>
        </w:rPr>
        <w:t xml:space="preserve">Art. 20 </w:t>
      </w:r>
    </w:p>
    <w:p w14:paraId="1F92A3EB" w14:textId="77777777" w:rsidR="00E0042C" w:rsidRPr="006D12E1" w:rsidRDefault="00E0042C" w:rsidP="00E0042C">
      <w:pPr>
        <w:rPr>
          <w:lang w:val="de-CH"/>
        </w:rPr>
      </w:pPr>
      <w:r w:rsidRPr="006D12E1">
        <w:rPr>
          <w:lang w:val="de-CH"/>
        </w:rPr>
        <w:t>Diese Bestimmung behandelte den Ablauf des Einbürgerungsverfahrens durch den Grossen Rat. Da die vorliegende Revision die Zuständigkeit der Legislative in diesem Bereich abschafft, ist diese Bestimmung nicht mehr notwendig, und sie wird daher aufgehoben.</w:t>
      </w:r>
    </w:p>
    <w:p w14:paraId="57A7346E" w14:textId="64F3E0BA" w:rsidR="00E0042C" w:rsidRPr="006D12E1" w:rsidRDefault="00E0042C" w:rsidP="00E0042C">
      <w:pPr>
        <w:pStyle w:val="TitreArticleloi"/>
        <w:rPr>
          <w:lang w:val="de-CH"/>
        </w:rPr>
      </w:pPr>
      <w:r w:rsidRPr="006D12E1">
        <w:rPr>
          <w:lang w:val="de-CH"/>
        </w:rPr>
        <w:t xml:space="preserve">Art. 21 </w:t>
      </w:r>
    </w:p>
    <w:p w14:paraId="4493336E" w14:textId="77777777" w:rsidR="00E0042C" w:rsidRPr="006D12E1" w:rsidRDefault="00E0042C" w:rsidP="00E0042C">
      <w:pPr>
        <w:rPr>
          <w:lang w:val="de-CH"/>
        </w:rPr>
      </w:pPr>
      <w:r w:rsidRPr="006D12E1">
        <w:rPr>
          <w:lang w:val="de-CH"/>
        </w:rPr>
        <w:t>Artikel 21 betrifft die Veröffentlichung des Einbürgerungsdekrets des Grossen Rats. Da die Legislative in diesem Bereich nicht mehr zuständig ist, ist diese Bestimmung nicht mehr gerechtfertigt und sollte aufgehoben werden.</w:t>
      </w:r>
    </w:p>
    <w:p w14:paraId="5E28EA23" w14:textId="77777777" w:rsidR="00E0042C" w:rsidRPr="006D12E1" w:rsidRDefault="00E0042C" w:rsidP="00E0042C">
      <w:pPr>
        <w:rPr>
          <w:lang w:val="de-CH"/>
        </w:rPr>
      </w:pPr>
      <w:r w:rsidRPr="006D12E1">
        <w:rPr>
          <w:lang w:val="de-CH"/>
        </w:rPr>
        <w:t>Die Anzahl der Einbürgerungsverfahren und die Anzahl der betroffenen Personen werden jedoch weiterhin im Rahmen der Tätigkeitsberichte des Staatsrats veröffentlicht, wie es derzeit üblich ist.</w:t>
      </w:r>
    </w:p>
    <w:p w14:paraId="62AB1F1F" w14:textId="7B0120E6" w:rsidR="00E0042C" w:rsidRPr="006D12E1" w:rsidRDefault="00E0042C" w:rsidP="00E0042C">
      <w:pPr>
        <w:pStyle w:val="TitreArticleloi"/>
        <w:rPr>
          <w:lang w:val="de-CH"/>
        </w:rPr>
      </w:pPr>
      <w:r w:rsidRPr="006D12E1">
        <w:rPr>
          <w:lang w:val="de-CH"/>
        </w:rPr>
        <w:t xml:space="preserve">Art. 22 </w:t>
      </w:r>
    </w:p>
    <w:p w14:paraId="59D5E35E" w14:textId="77777777" w:rsidR="00E0042C" w:rsidRPr="006D12E1" w:rsidRDefault="00E0042C" w:rsidP="00E0042C">
      <w:pPr>
        <w:rPr>
          <w:lang w:val="de-CH"/>
        </w:rPr>
      </w:pPr>
      <w:r w:rsidRPr="006D12E1">
        <w:rPr>
          <w:lang w:val="de-CH"/>
        </w:rPr>
        <w:t>Diese Bestimmung ermöglichte es der Einbürgerungskommission des Grossen Rats, unter bestimmten Umständen darauf zu verzichten, Personen der zweiten Generation anzuhören. Mit der Abschaffung der Zuständigkeit des Grossen Rats in diesem Bereich hat dieser Artikel keine Berechtigung mehr und sollte aufgehoben werden. Die Aufhebung dieser Bestimmung, ebenso wie der gestrichene Artikel 20, ist das Resultat des Grundsatzentscheids, das Verfahren der Erteilung des Kantonsbürgerrechts und damit des Schweizer Bürgerrechts zu ändern.</w:t>
      </w:r>
    </w:p>
    <w:p w14:paraId="7D8077B1" w14:textId="755815E2" w:rsidR="00E0042C" w:rsidRPr="006D12E1" w:rsidRDefault="00E0042C" w:rsidP="00E0042C">
      <w:pPr>
        <w:pStyle w:val="TitreArticleloi"/>
        <w:rPr>
          <w:lang w:val="de-CH"/>
        </w:rPr>
      </w:pPr>
      <w:r w:rsidRPr="006D12E1">
        <w:rPr>
          <w:lang w:val="de-CH"/>
        </w:rPr>
        <w:t>Art. 23 r</w:t>
      </w:r>
    </w:p>
    <w:p w14:paraId="447CCCBE" w14:textId="77777777" w:rsidR="00E0042C" w:rsidRPr="006D12E1" w:rsidRDefault="00E0042C" w:rsidP="00E0042C">
      <w:pPr>
        <w:rPr>
          <w:lang w:val="de-CH"/>
        </w:rPr>
      </w:pPr>
      <w:r w:rsidRPr="006D12E1">
        <w:rPr>
          <w:lang w:val="de-CH"/>
        </w:rPr>
        <w:t>Artikel 23 Abs. 1 Bst. b des Gesetzes sah vor, dass Schweizerinnen und Schweizer, die das freiburgische Bürgerrecht beantragen, nicht von der Kommission des Grossen Rats angehört werden. Auch hier ist aufgrund der veränderten Verfahrensmodalitäten die Beibehaltung dieses Bst. nicht mehr notwendig, und seine Aufhebung logisch. Es ist anzumerken, dass Absatz 1 Bst. d dieses Artikels bereits vorsieht, dass der Staatsrat für die Erteilung des freiburgischen Bürgerrechts zuständig ist. Mit dieser Teilrevision werden von nun an alle Einbürgerungsentscheide allein in die Zuständigkeit der Exekutive fallen.</w:t>
      </w:r>
    </w:p>
    <w:p w14:paraId="02C77037" w14:textId="4F4C6288" w:rsidR="00E0042C" w:rsidRPr="006D12E1" w:rsidRDefault="00E0042C" w:rsidP="00E0042C">
      <w:pPr>
        <w:pStyle w:val="TitreArticleloi"/>
        <w:rPr>
          <w:lang w:val="de-CH"/>
        </w:rPr>
      </w:pPr>
      <w:r w:rsidRPr="006D12E1">
        <w:rPr>
          <w:lang w:val="de-CH"/>
        </w:rPr>
        <w:t xml:space="preserve">Art. 24 </w:t>
      </w:r>
    </w:p>
    <w:p w14:paraId="3828A3A1" w14:textId="77777777" w:rsidR="00E0042C" w:rsidRPr="006D12E1" w:rsidRDefault="00E0042C" w:rsidP="00E0042C">
      <w:pPr>
        <w:rPr>
          <w:lang w:val="de-CH"/>
        </w:rPr>
      </w:pPr>
      <w:r w:rsidRPr="006D12E1">
        <w:rPr>
          <w:lang w:val="de-CH"/>
        </w:rPr>
        <w:t xml:space="preserve">Jeder Einbürgerungsentscheid muss in das schweizerische Zivilstandsregister Infostar eingetragen werden. Zuvor sah Artikel 24 vor, dass der Erwerb des freiburgischen Bürgerrechts und des Schweizer Bürgerrechts mit der Verabschiedung des Einbürgerungsdekrets durch den Grossen Rat rechtskräftig werde. Von nun an tritt die Rechtskraft mit der Verabschiedung des Staatsratsbeschlusses ein. Inhaltlich handelt es sich bei dieser Änderung um </w:t>
      </w:r>
      <w:r w:rsidRPr="006D12E1">
        <w:rPr>
          <w:lang w:val="de-CH"/>
        </w:rPr>
        <w:lastRenderedPageBreak/>
        <w:t>eine einfache Anpassung des Gesetzes an den gewählten Grundsatz, die Zuständigkeit für die Einbürgerungsverfahren dem Staatsrat zu übertragen.</w:t>
      </w:r>
    </w:p>
    <w:p w14:paraId="0A1A336E" w14:textId="406CD6BE" w:rsidR="00E0042C" w:rsidRPr="006D12E1" w:rsidRDefault="00E0042C" w:rsidP="00E0042C">
      <w:pPr>
        <w:pStyle w:val="TitreArticleloi"/>
        <w:rPr>
          <w:lang w:val="de-CH"/>
        </w:rPr>
      </w:pPr>
      <w:r w:rsidRPr="006D12E1">
        <w:rPr>
          <w:lang w:val="de-CH"/>
        </w:rPr>
        <w:t xml:space="preserve">Art. 28 </w:t>
      </w:r>
    </w:p>
    <w:p w14:paraId="2A33C892" w14:textId="77777777" w:rsidR="00E0042C" w:rsidRPr="006D12E1" w:rsidRDefault="00E0042C" w:rsidP="00E0042C">
      <w:pPr>
        <w:rPr>
          <w:lang w:val="de-CH"/>
        </w:rPr>
      </w:pPr>
      <w:r w:rsidRPr="006D12E1">
        <w:rPr>
          <w:lang w:val="de-CH"/>
        </w:rPr>
        <w:t>Bei der Änderung dieses Artikels handelt es sich um eine einfache redaktionelle Anpassung in Zusammenhang mit der zuständigen Behörde. Inhaltlich werden die Zahlungsmodalitäten für die Einbürgerungsgebühren nicht geändert. Diese müssen nach wie vor bezahlt werden, bevor der Entwurf des Beschlusses an die Behörde überwiesen wird, welche für die Erteilung des freiburgischen Bürgerrechts und damit des Schweizer Bürgerrechts zuständig ist.</w:t>
      </w:r>
    </w:p>
    <w:p w14:paraId="1FA25911" w14:textId="77777777" w:rsidR="00E0042C" w:rsidRPr="006D12E1" w:rsidRDefault="00E0042C" w:rsidP="00E0042C">
      <w:pPr>
        <w:pStyle w:val="TitreArticleloi"/>
        <w:rPr>
          <w:lang w:val="de-CH"/>
        </w:rPr>
      </w:pPr>
      <w:r w:rsidRPr="006D12E1">
        <w:rPr>
          <w:lang w:val="de-CH"/>
        </w:rPr>
        <w:t>Art. 40</w:t>
      </w:r>
    </w:p>
    <w:p w14:paraId="323F945A" w14:textId="77777777" w:rsidR="00E0042C" w:rsidRPr="006D12E1" w:rsidRDefault="00E0042C" w:rsidP="00E0042C">
      <w:pPr>
        <w:rPr>
          <w:lang w:val="de-CH"/>
        </w:rPr>
      </w:pPr>
      <w:r w:rsidRPr="006D12E1">
        <w:rPr>
          <w:lang w:val="de-CH"/>
        </w:rPr>
        <w:t>Absatz 2 sieht vor, dass der Staatsrat nach dem Bundesrecht die zuständige Behörde ist für eine Nichtigerklärung der ordentlichen Einbürgerung. Diese Bestimmung folgt der Logik der allgemeinen Theorie des Widerrufs eines Verwaltungsakts. Nur die zuständige Behörde, die einen Entscheid getroffen hat, kann diesen aufheben, wenn nachträglich Tatsachen bekannt werden, die einen solchen Entscheid verhindert hätten. Gemäss Artikel 36 des Bundesgesetzes über das Schweizer Bürgerrecht (BüG) bezieht sich dieser Umstand auf die Entdeckung von falschen Angaben oder Verheimlichung erheblicher Tatsachen nach der Einbürgerung. Bei einem solchen Umstand verfügt die Entscheidungsbehörde nach Bundesrecht über eine Frist von acht Jahren, um eine Nichtigerklärung zu beschliessen.</w:t>
      </w:r>
    </w:p>
    <w:p w14:paraId="4C2B1CDB" w14:textId="77777777" w:rsidR="00E0042C" w:rsidRPr="006D12E1" w:rsidRDefault="00E0042C" w:rsidP="00E0042C">
      <w:pPr>
        <w:rPr>
          <w:lang w:val="de-CH"/>
        </w:rPr>
      </w:pPr>
      <w:r w:rsidRPr="006D12E1">
        <w:rPr>
          <w:lang w:val="de-CH"/>
        </w:rPr>
        <w:t>Es sei im Übrigen darauf hingewiesen, dass das ZEiA sich in den letzten Jahrzehnten noch nie mit einer solchen Situation befassen musste; und es scheint, dass der Grosse Rat bis heute noch nie über die Aufhebung eines Einbürgerungsentscheids entscheiden musste, den er getroffen hatte.</w:t>
      </w:r>
    </w:p>
    <w:p w14:paraId="2CFEE76F" w14:textId="2A7720F9" w:rsidR="00E0042C" w:rsidRPr="006D12E1" w:rsidRDefault="00E0042C" w:rsidP="00E0042C">
      <w:pPr>
        <w:pStyle w:val="TitreArticleloi"/>
        <w:rPr>
          <w:lang w:val="de-CH"/>
        </w:rPr>
      </w:pPr>
      <w:r w:rsidRPr="006D12E1">
        <w:rPr>
          <w:lang w:val="de-CH"/>
        </w:rPr>
        <w:t xml:space="preserve">Art. 43 </w:t>
      </w:r>
    </w:p>
    <w:p w14:paraId="4A015A0D" w14:textId="77777777" w:rsidR="00E0042C" w:rsidRPr="006D12E1" w:rsidRDefault="00E0042C" w:rsidP="00E0042C">
      <w:pPr>
        <w:rPr>
          <w:lang w:val="de-CH"/>
        </w:rPr>
      </w:pPr>
      <w:r w:rsidRPr="006D12E1">
        <w:rPr>
          <w:lang w:val="de-CH"/>
        </w:rPr>
        <w:t>Artikel 43 befindet sich im Abschnitt des Gesetzes, der sich mit dem Einbürgerungsverfahren auf Gemeindeebene befasst. Da die Einbürgerungskommission des Grossen Rats nicht mehr für die Anhörung der einbürgerungswilligen Personen zuständig sein wird, wurde es als sinnvoll erachtet, die Rolle der kommunalen Einbürgerungskommissionen zu stärken.</w:t>
      </w:r>
    </w:p>
    <w:p w14:paraId="30E87E90" w14:textId="77777777" w:rsidR="00E0042C" w:rsidRPr="006D12E1" w:rsidRDefault="00E0042C" w:rsidP="00E0042C">
      <w:pPr>
        <w:rPr>
          <w:lang w:val="de-CH"/>
        </w:rPr>
      </w:pPr>
      <w:r w:rsidRPr="006D12E1">
        <w:rPr>
          <w:lang w:val="de-CH"/>
        </w:rPr>
        <w:t>Zunächst einmal erinnert der neue Absatz 2 an die allgemeine Regel, dass die Gemeinde dafür sorgt, dass die Bewerberinnen und Bewerber von einer kommunalen Einbürgerungskommission angehört werden, damit diese sich von ihrer Integration überzeugen kann. In Kombination mit Absatz 3 sieht Absatz 2 also vor, dass ausnahmslos alle Personen der ersten Generation auf Gemeindeebene zwingend angehört werden müssen. Hingegen können Gesuche von Bewerberinnen und Bewerbern der zweiten Generation aufgrund des Dossiers behandelt werden, vorausgesetzt dass daraus eine erfolgreiche Integration ersichtlich ist und die betroffenen Personen bei den Gemeindebehörden bereits einen guten Ruf geniessen.</w:t>
      </w:r>
    </w:p>
    <w:p w14:paraId="624C2BFC" w14:textId="77777777" w:rsidR="00E0042C" w:rsidRPr="006D12E1" w:rsidRDefault="00E0042C" w:rsidP="00E0042C">
      <w:pPr>
        <w:rPr>
          <w:lang w:val="de-CH"/>
        </w:rPr>
      </w:pPr>
      <w:r w:rsidRPr="006D12E1">
        <w:rPr>
          <w:lang w:val="de-CH"/>
        </w:rPr>
        <w:t xml:space="preserve">Diese letzte Bedingung ist neu und wird sich vor allem auf die kleinen Gemeinden auswirken, in denen sich die Einwohnerinnen und Einwohner in der Regel besser kennen. Es versteht sich von selbst, dass es für grössere Gemeinden schwieriger sein wird, diese Bedingung zu überprüfen; aber selbst in Hauptorten kann nicht ausgeschlossen werden, dass Personen der zweiten Generation, die auf die eine oder andere Weise in das Vereins-, Kultur- und Berufsleben oder sogar in die Lokalpolitik eingebunden sind, trotzdem davon profitieren könnten. Demnach wird der Verzicht auf eine Anhörung von Bewerberinnen und Bewerbern der zweiten Generation nur eine Ausnahme von der allgemeinen Regel sein, dass Personen, die das Schweizer Bürgerrecht beantragen, angehört werden müssen, wie in Artikel 43, Abs. 2 vorgesehen. </w:t>
      </w:r>
    </w:p>
    <w:p w14:paraId="1F403BF0" w14:textId="77777777" w:rsidR="00E0042C" w:rsidRPr="006D12E1" w:rsidRDefault="00E0042C" w:rsidP="00E0042C">
      <w:pPr>
        <w:rPr>
          <w:lang w:val="de-CH"/>
        </w:rPr>
      </w:pPr>
      <w:r w:rsidRPr="006D12E1">
        <w:rPr>
          <w:lang w:val="de-CH"/>
        </w:rPr>
        <w:t>Die Frage der Anhörung von Schweizer Bürgerinnen und Bürger wird auf den neuen Artikel 3</w:t>
      </w:r>
      <w:r w:rsidRPr="006D12E1">
        <w:rPr>
          <w:vertAlign w:val="superscript"/>
          <w:lang w:val="de-CH"/>
        </w:rPr>
        <w:t>bis</w:t>
      </w:r>
      <w:r w:rsidRPr="006D12E1">
        <w:rPr>
          <w:lang w:val="de-CH"/>
        </w:rPr>
        <w:t xml:space="preserve"> verschoben. Es handelt sich hierbei um eine einfache redaktionelle Anpassung, die die bereits bestehende Praxis nicht verändert. Schweizer Bürgerinnen und Bürger müssen nicht angehört werden, um ihre Integration beurteilen zu können, da sie bereits das Schweizer Bürgerrecht besitzen.</w:t>
      </w:r>
    </w:p>
    <w:p w14:paraId="7E483469" w14:textId="3738C427" w:rsidR="00E0042C" w:rsidRPr="006D12E1" w:rsidRDefault="00E0042C" w:rsidP="00E0042C">
      <w:pPr>
        <w:pStyle w:val="TitreArticleloi"/>
        <w:rPr>
          <w:lang w:val="de-CH"/>
        </w:rPr>
      </w:pPr>
      <w:r w:rsidRPr="006D12E1">
        <w:rPr>
          <w:lang w:val="de-CH"/>
        </w:rPr>
        <w:t xml:space="preserve">Art. 54 </w:t>
      </w:r>
    </w:p>
    <w:p w14:paraId="330F9243" w14:textId="77777777" w:rsidR="00E0042C" w:rsidRDefault="00E0042C" w:rsidP="00E0042C">
      <w:pPr>
        <w:rPr>
          <w:lang w:val="de-CH"/>
        </w:rPr>
      </w:pPr>
      <w:r w:rsidRPr="006D12E1">
        <w:rPr>
          <w:lang w:val="de-CH"/>
        </w:rPr>
        <w:t xml:space="preserve">Grundsätzlich ist diese Bestimmung nicht neu. Wenn die Erteilung des Bürgerrechts und damit das Schweizer Bürgerrecht abgelehnt wurde, muss eine Wartefrist von zwei Jahren eingehalten werden, bevor ein neues Gesuch eingereicht werden kann. Absatz 2 wird lediglich für die Fälle angepasst, in denen der Staatsrat die Einbürgerung </w:t>
      </w:r>
      <w:r w:rsidRPr="006D12E1">
        <w:rPr>
          <w:lang w:val="de-CH"/>
        </w:rPr>
        <w:lastRenderedPageBreak/>
        <w:t>ablehnt. Bei dieser Änderung handelt es sich also um eine einfache redaktionelle Anpassung an den Grundsatz der Übertragung der Zuständigkeit von der Legislative auf die Exekutive.</w:t>
      </w:r>
    </w:p>
    <w:p w14:paraId="776AE064" w14:textId="17C9E1E4" w:rsidR="00E0042C" w:rsidRPr="00EB6310" w:rsidRDefault="00E0042C" w:rsidP="00E0042C">
      <w:pPr>
        <w:pStyle w:val="TitreArticleloi"/>
        <w:rPr>
          <w:lang w:val="de-CH"/>
        </w:rPr>
      </w:pPr>
      <w:r w:rsidRPr="00EB6310">
        <w:rPr>
          <w:lang w:val="de-CH"/>
        </w:rPr>
        <w:t xml:space="preserve">Art. 55 </w:t>
      </w:r>
      <w:bookmarkStart w:id="60" w:name="_Toc195195376"/>
      <w:bookmarkEnd w:id="60"/>
    </w:p>
    <w:p w14:paraId="5A2F442D" w14:textId="2F00D5F2" w:rsidR="00E0042C" w:rsidRPr="00EB6310" w:rsidRDefault="00E0042C" w:rsidP="00E0042C">
      <w:pPr>
        <w:rPr>
          <w:lang w:val="de-CH"/>
        </w:rPr>
      </w:pPr>
      <w:r w:rsidRPr="00EB6310">
        <w:rPr>
          <w:lang w:val="de-CH"/>
        </w:rPr>
        <w:t>Die Überschrift der Bestimmung wurde angepasst, um zwischen der Änderung vom 14. Dezember 2017 und der Änderung</w:t>
      </w:r>
      <w:r w:rsidR="006F75B9">
        <w:rPr>
          <w:lang w:val="de-CH"/>
        </w:rPr>
        <w:t>, um die es die es im</w:t>
      </w:r>
      <w:r w:rsidRPr="00EB6310">
        <w:rPr>
          <w:lang w:val="de-CH"/>
        </w:rPr>
        <w:t xml:space="preserve"> neuen Art</w:t>
      </w:r>
      <w:r w:rsidR="00CD2CEC">
        <w:rPr>
          <w:lang w:val="de-CH"/>
        </w:rPr>
        <w:t>ikel</w:t>
      </w:r>
      <w:r w:rsidRPr="00EB6310">
        <w:rPr>
          <w:lang w:val="de-CH"/>
        </w:rPr>
        <w:t xml:space="preserve"> 55a </w:t>
      </w:r>
      <w:r w:rsidR="006F75B9">
        <w:rPr>
          <w:lang w:val="de-CH"/>
        </w:rPr>
        <w:t>geht</w:t>
      </w:r>
      <w:r w:rsidRPr="00EB6310">
        <w:rPr>
          <w:lang w:val="de-CH"/>
        </w:rPr>
        <w:t>, zu unterscheiden.</w:t>
      </w:r>
      <w:bookmarkStart w:id="61" w:name="_Toc195195377"/>
      <w:bookmarkEnd w:id="61"/>
    </w:p>
    <w:p w14:paraId="62576942" w14:textId="5D8708B9" w:rsidR="00E0042C" w:rsidRPr="00EB6310" w:rsidRDefault="00E0042C" w:rsidP="00E0042C">
      <w:pPr>
        <w:pStyle w:val="TitreArticleloi"/>
        <w:rPr>
          <w:lang w:val="de-CH"/>
        </w:rPr>
      </w:pPr>
      <w:r w:rsidRPr="00EB6310">
        <w:rPr>
          <w:lang w:val="de-CH"/>
        </w:rPr>
        <w:t>Art. 55a</w:t>
      </w:r>
      <w:bookmarkStart w:id="62" w:name="_Toc195195378"/>
      <w:bookmarkEnd w:id="62"/>
    </w:p>
    <w:p w14:paraId="0D91454C" w14:textId="39AED3AF" w:rsidR="00E26DBC" w:rsidRPr="00E0042C" w:rsidRDefault="00E0042C" w:rsidP="00E0042C">
      <w:pPr>
        <w:rPr>
          <w:lang w:val="de-CH"/>
        </w:rPr>
      </w:pPr>
      <w:r w:rsidRPr="00EB6310">
        <w:rPr>
          <w:lang w:val="de-CH"/>
        </w:rPr>
        <w:t>Diese Bestimmung stellt klar, dass die Änderungen in Zusammenhang mit dem SPKF ab der neuen Legislaturperiode, d. h. ab dem 1. Januar 2027, in Kraft treten. Es wurde beschlossen, eine einfache Lösung für die in der Gesetzesänderung vorgesehene Praxisänderung einzuführen. So ist die Tätigkeit der Einbürgerungskommission des Grossen Rats während der laufenden Legislaturperiode nicht davon betroffen.</w:t>
      </w:r>
      <w:bookmarkStart w:id="63" w:name="_Toc195195379"/>
      <w:bookmarkEnd w:id="63"/>
    </w:p>
    <w:p w14:paraId="1935BC45" w14:textId="77777777" w:rsidR="0053523C" w:rsidRPr="00C84F97" w:rsidRDefault="0053523C" w:rsidP="0053523C">
      <w:pPr>
        <w:pStyle w:val="Titre2"/>
        <w:rPr>
          <w:lang w:val="de-CH"/>
        </w:rPr>
      </w:pPr>
      <w:bookmarkStart w:id="64" w:name="_Toc196226232"/>
      <w:r w:rsidRPr="00C84F97">
        <w:rPr>
          <w:lang w:val="de-CH"/>
        </w:rPr>
        <w:t>Änderung des Gesetzes über die finanzielle Beteiligung des Staates an den</w:t>
      </w:r>
      <w:r w:rsidRPr="006D12E1">
        <w:rPr>
          <w:lang w:val="de-CH"/>
        </w:rPr>
        <w:t xml:space="preserve"> </w:t>
      </w:r>
      <w:r w:rsidRPr="00C84F97">
        <w:rPr>
          <w:lang w:val="de-CH"/>
        </w:rPr>
        <w:t>Wahlkampfkosten (BWKG)</w:t>
      </w:r>
      <w:bookmarkEnd w:id="64"/>
    </w:p>
    <w:p w14:paraId="3D8464DB" w14:textId="50AF3661" w:rsidR="0053523C" w:rsidRPr="006D12E1" w:rsidRDefault="0053523C" w:rsidP="0053523C">
      <w:pPr>
        <w:pStyle w:val="Titre3"/>
        <w:rPr>
          <w:lang w:val="de-CH"/>
        </w:rPr>
      </w:pPr>
      <w:bookmarkStart w:id="65" w:name="_Toc195000892"/>
      <w:bookmarkStart w:id="66" w:name="_Toc196226233"/>
      <w:r w:rsidRPr="006D12E1">
        <w:rPr>
          <w:lang w:val="de-CH"/>
        </w:rPr>
        <w:t>Allgemeines</w:t>
      </w:r>
      <w:bookmarkEnd w:id="65"/>
      <w:bookmarkEnd w:id="66"/>
    </w:p>
    <w:p w14:paraId="1B1DEB78" w14:textId="77777777" w:rsidR="0053523C" w:rsidRPr="006D12E1" w:rsidRDefault="0053523C" w:rsidP="0053523C">
      <w:pPr>
        <w:pStyle w:val="Corpsdetexte"/>
        <w:rPr>
          <w:strike/>
          <w:lang w:val="de-CH"/>
        </w:rPr>
      </w:pPr>
      <w:r w:rsidRPr="006D12E1">
        <w:rPr>
          <w:b/>
          <w:bCs/>
          <w:lang w:val="de-CH"/>
        </w:rPr>
        <w:t>&gt;</w:t>
      </w:r>
      <w:r w:rsidRPr="006D12E1">
        <w:rPr>
          <w:b/>
          <w:bCs/>
          <w:lang w:val="de-CH"/>
        </w:rPr>
        <w:tab/>
        <w:t>Abschaffung des Versands von Wahlpropagandamaterial an Auslandschweizerinnen und Auslandschweizer</w:t>
      </w:r>
    </w:p>
    <w:p w14:paraId="65DF2020" w14:textId="77777777" w:rsidR="0053523C" w:rsidRPr="006D12E1" w:rsidRDefault="0053523C" w:rsidP="0053523C">
      <w:pPr>
        <w:pStyle w:val="Corpsdetexte"/>
        <w:rPr>
          <w:lang w:val="de-CH"/>
        </w:rPr>
      </w:pPr>
      <w:r w:rsidRPr="006D12E1">
        <w:rPr>
          <w:bCs/>
          <w:lang w:val="de-CH"/>
        </w:rPr>
        <w:t>Der erste Teil besteht</w:t>
      </w:r>
      <w:r w:rsidRPr="006D12E1">
        <w:rPr>
          <w:lang w:val="de-CH"/>
        </w:rPr>
        <w:t xml:space="preserve"> darin, den Versand von Propagandamaterial an Auslandschweizerinnen und Auslandschweizer abzuschaffen. Dieser Versand ins Ausland ist teuer, und das Material kann oft nicht zugestellt werden und kommt zurück zum Absender. Es wird beantragt, den Versand des einheitlichen Umschlags mit dem Propagandamaterial der politischen Parteien und Wählergruppen, die für kantonale oder eidgenössische Wahlen eine Liste eingereicht haben, dadurch zu ersetzen, dass dem Wahlmaterial eine Information (ein Flyer oder ein Hinweis auf der erläuternden Broschüre des Staatsrats) beigefügt wird, in der alle Informationen zur Werbung der politischen Parteien aufgeführt sind (die auf der Website des Staates Freiburg abgerufen werden kann). Der Zugang zu dieser Seite kann durch einen QR-Code, der gescannt werden kann und auf der Website des Staates direkt die betreffende Seite öffnet, vereinfacht werden.</w:t>
      </w:r>
    </w:p>
    <w:p w14:paraId="3BE05B0B" w14:textId="77777777" w:rsidR="0053523C" w:rsidRPr="006D12E1" w:rsidRDefault="0053523C" w:rsidP="0053523C">
      <w:pPr>
        <w:pStyle w:val="Corpsdetexte"/>
        <w:rPr>
          <w:lang w:val="de-CH"/>
        </w:rPr>
      </w:pPr>
      <w:r w:rsidRPr="006D12E1">
        <w:rPr>
          <w:b/>
          <w:bCs/>
          <w:lang w:val="de-CH"/>
        </w:rPr>
        <w:t>&gt;</w:t>
      </w:r>
      <w:r w:rsidRPr="006D12E1">
        <w:rPr>
          <w:b/>
          <w:bCs/>
          <w:lang w:val="de-CH"/>
        </w:rPr>
        <w:tab/>
        <w:t>Kürzung der staatlichen Beteiligung an den Wahlkampfkosten</w:t>
      </w:r>
    </w:p>
    <w:p w14:paraId="291192A8" w14:textId="77777777" w:rsidR="0053523C" w:rsidRPr="006D12E1" w:rsidRDefault="0053523C" w:rsidP="0053523C">
      <w:pPr>
        <w:pStyle w:val="Corpsdetexte"/>
        <w:rPr>
          <w:lang w:val="de-CH"/>
        </w:rPr>
      </w:pPr>
      <w:r w:rsidRPr="006D12E1">
        <w:rPr>
          <w:bCs/>
          <w:lang w:val="de-CH"/>
        </w:rPr>
        <w:t>Der zweite Teil besteht darin, die Mittel, die politischen Parteien im Wahlkampf zur Verfügung gestellt werden, zu kürzen. Diese Mittel</w:t>
      </w:r>
      <w:r w:rsidRPr="006D12E1">
        <w:rPr>
          <w:lang w:val="de-CH"/>
        </w:rPr>
        <w:t xml:space="preserve"> waren erhöht worden, um den wiederholten Forderungen der politischen Parteien nachzukommen. Die Berechnung des Kostenrahmens wurde bei der letzten Revision (2023) des Gesetzes über die finanzielle Beteiligung des Staates an den Wahlkampfkosten (BWKG) formal festgelegt (Art. 1b).</w:t>
      </w:r>
    </w:p>
    <w:p w14:paraId="223412D2" w14:textId="612EAD53" w:rsidR="0053523C" w:rsidRPr="006D12E1" w:rsidRDefault="0053523C" w:rsidP="0053523C">
      <w:pPr>
        <w:pStyle w:val="Titre3"/>
        <w:rPr>
          <w:lang w:val="de-CH"/>
        </w:rPr>
      </w:pPr>
      <w:bookmarkStart w:id="67" w:name="_Toc195000893"/>
      <w:bookmarkStart w:id="68" w:name="_Toc196226234"/>
      <w:r w:rsidRPr="006D12E1">
        <w:rPr>
          <w:rFonts w:ascii="Arial" w:eastAsia="Times New Roman" w:hAnsi="Arial" w:cs="Times New Roman"/>
          <w:lang w:val="de-CH"/>
        </w:rPr>
        <w:t>Kommentar der einzelnen Artikel</w:t>
      </w:r>
      <w:bookmarkEnd w:id="67"/>
      <w:bookmarkEnd w:id="68"/>
    </w:p>
    <w:p w14:paraId="42C2C952" w14:textId="77777777" w:rsidR="0053523C" w:rsidRPr="0053523C" w:rsidRDefault="0053523C" w:rsidP="0053523C">
      <w:pPr>
        <w:pStyle w:val="TitreArticleloi"/>
        <w:rPr>
          <w:lang w:val="en-US"/>
        </w:rPr>
      </w:pPr>
      <w:r w:rsidRPr="0053523C">
        <w:rPr>
          <w:lang w:val="en-US"/>
        </w:rPr>
        <w:t>Art. 1a Abs. 2a (neu)</w:t>
      </w:r>
    </w:p>
    <w:p w14:paraId="45B2301F" w14:textId="77777777" w:rsidR="0053523C" w:rsidRPr="006D12E1" w:rsidRDefault="0053523C" w:rsidP="0053523C">
      <w:pPr>
        <w:rPr>
          <w:lang w:val="de-CH"/>
        </w:rPr>
      </w:pPr>
      <w:r w:rsidRPr="006D12E1">
        <w:rPr>
          <w:lang w:val="de-CH"/>
        </w:rPr>
        <w:t>Der Versand eines grossformatigen Umschlags mit der Propaganda aller politischen Parteien und Wählergruppen, die eine Wahlliste eingereicht haben, ins Ausland ist besonders kostspielig (bis zu 55 000 Franken). Nach jeder Wahl stellen wir fest, dass ein bedeutender Anteil dieser Umschläge zurückkommt, da es nicht möglich ist, den Wählerinnen und Wählern das Material zuzustellen. Dieses Material wird in den folgenden Monaten oder sogar Jahren (bis zu 18 Monate nach der Wahl) zurückgesandt, was Kosten für den Staat verursacht. Aufgrund von Postabkommen ist es nicht möglich, diese Rücksendungen zu vermeiden. Es ist also auch nicht möglich, diese Kosten zu vermeiden, die zu den für den Versand gezahlten Beträgen hinzukommen.</w:t>
      </w:r>
    </w:p>
    <w:p w14:paraId="5FECED3A" w14:textId="77777777" w:rsidR="0053523C" w:rsidRPr="006D12E1" w:rsidRDefault="0053523C" w:rsidP="0053523C">
      <w:pPr>
        <w:rPr>
          <w:lang w:val="de-CH"/>
        </w:rPr>
      </w:pPr>
      <w:r w:rsidRPr="006D12E1">
        <w:rPr>
          <w:lang w:val="de-CH"/>
        </w:rPr>
        <w:t>Die Änderung darf jedoch nicht zu einer Verschlechterung der Informationen führen, die den dauerhaft im Ausland lebenden Wählerinnen und Wählern zur Verfügung stehen. Die beantragte Lösung ermöglicht den Wählerinnen und Wählern den Zugang zu den Informationen der politischen Parteien und Wählergruppen, die eine Liste für die betreffende Wahl eingereicht haben. Der Zugang zu Informationen über eine Internetseite der Website fr.ch, die auf die Websites aller betreffenden politischen Gruppierungen verweist, ist einfach und schnell.</w:t>
      </w:r>
    </w:p>
    <w:p w14:paraId="1F55AD5A" w14:textId="77777777" w:rsidR="0053523C" w:rsidRPr="006D12E1" w:rsidRDefault="0053523C" w:rsidP="0053523C">
      <w:pPr>
        <w:pStyle w:val="TitreArticleloi"/>
        <w:rPr>
          <w:lang w:val="de-CH"/>
        </w:rPr>
      </w:pPr>
      <w:r w:rsidRPr="006D12E1">
        <w:rPr>
          <w:lang w:val="de-CH"/>
        </w:rPr>
        <w:lastRenderedPageBreak/>
        <w:t>Art. 1b Abs.2 Bst. a und b</w:t>
      </w:r>
    </w:p>
    <w:p w14:paraId="34E82306" w14:textId="77777777" w:rsidR="0053523C" w:rsidRPr="006D12E1" w:rsidRDefault="0053523C" w:rsidP="0053523C">
      <w:pPr>
        <w:rPr>
          <w:lang w:val="de-CH"/>
        </w:rPr>
      </w:pPr>
      <w:r w:rsidRPr="006D12E1">
        <w:rPr>
          <w:lang w:val="de-CH"/>
        </w:rPr>
        <w:t>Diese Änderung führt zu einer notwendigen Anpassung der Verordnung des Staatsrats vom 23. April 2024 über die Beteiligung des Staates an den Wahlkampfkosten für die kantonalen Wahlen 2026 und die nationalen Wahlen 2027 (SGF 115.61).</w:t>
      </w:r>
    </w:p>
    <w:p w14:paraId="4894620A" w14:textId="77777777" w:rsidR="0053523C" w:rsidRPr="006D12E1" w:rsidRDefault="0053523C" w:rsidP="0053523C">
      <w:pPr>
        <w:rPr>
          <w:lang w:val="de-CH"/>
        </w:rPr>
      </w:pPr>
      <w:r w:rsidRPr="006D12E1">
        <w:rPr>
          <w:lang w:val="de-CH"/>
        </w:rPr>
        <w:t>Diese Änderung des BWKG ist ausserdem eine direkte Folge, die dem Auftrag 2025-GC-94 «Sparmassnahmen: die politische Klasse muss mit dem guten Beispiel vorangehen» vom 27. März 2025 geleistet wird, obwohl dieser die Form einer Motion haben müsste, da mit ihm die Änderung eines Gesetzes verlangt wird.</w:t>
      </w:r>
    </w:p>
    <w:p w14:paraId="7F81F0B2" w14:textId="1EE3203E" w:rsidR="0053523C" w:rsidRPr="006D12E1" w:rsidRDefault="0053523C" w:rsidP="0053523C">
      <w:pPr>
        <w:pStyle w:val="Titre2"/>
        <w:rPr>
          <w:lang w:val="de-CH"/>
        </w:rPr>
      </w:pPr>
      <w:bookmarkStart w:id="69" w:name="_Toc195000894"/>
      <w:bookmarkStart w:id="70" w:name="_Toc196226235"/>
      <w:r w:rsidRPr="00C84F97">
        <w:rPr>
          <w:lang w:val="de-CH"/>
        </w:rPr>
        <w:t>Änderung des Gesetzes über die Gehälter und die berufliche Vorsorge der Staatsräte, der Oberamtmänner und der Kantonsrichter (GSRG)</w:t>
      </w:r>
      <w:bookmarkEnd w:id="69"/>
      <w:bookmarkEnd w:id="70"/>
    </w:p>
    <w:p w14:paraId="36FBDF6A" w14:textId="76369802" w:rsidR="0053523C" w:rsidRPr="006D12E1" w:rsidRDefault="0053523C" w:rsidP="0053523C">
      <w:pPr>
        <w:pStyle w:val="Titre3"/>
        <w:rPr>
          <w:lang w:val="de-CH"/>
        </w:rPr>
      </w:pPr>
      <w:bookmarkStart w:id="71" w:name="_Toc195000895"/>
      <w:bookmarkStart w:id="72" w:name="_Toc196226236"/>
      <w:r w:rsidRPr="006D12E1">
        <w:rPr>
          <w:lang w:val="de-CH"/>
        </w:rPr>
        <w:t>Allgemeines</w:t>
      </w:r>
      <w:bookmarkEnd w:id="71"/>
      <w:bookmarkEnd w:id="72"/>
    </w:p>
    <w:p w14:paraId="77B6BDFF"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Die in der Änderung des Gesetzes über das Staatspersonal in Kapitel 6.4 beschriebenen Massnahmen (Kein Teuerungsausgleich, mit einer LIK-Obergrenze bei 117 Punkten, Aufschub der Lohnstufengewährung und Einführung eines Solidaritätsbeitrags) gelten auch für die Mitglieder des Staatsrats und des Kantonsgerichts. Da diese nicht dem StPG unterstehen, muss auch das GSRG geändert werden, um eine Rechtsgrundlage für die vorgeschlagenen Massnahmen zu schaffen.</w:t>
      </w:r>
    </w:p>
    <w:p w14:paraId="38A3CD55" w14:textId="0676AAE0" w:rsidR="0053523C" w:rsidRPr="006D12E1" w:rsidRDefault="0053523C" w:rsidP="0053523C">
      <w:pPr>
        <w:pStyle w:val="Titre3"/>
        <w:rPr>
          <w:lang w:val="de-CH"/>
        </w:rPr>
      </w:pPr>
      <w:bookmarkStart w:id="73" w:name="_Toc195000896"/>
      <w:bookmarkStart w:id="74" w:name="_Toc196226237"/>
      <w:r w:rsidRPr="006D12E1">
        <w:rPr>
          <w:rFonts w:ascii="Arial" w:eastAsia="Times New Roman" w:hAnsi="Arial" w:cs="Times New Roman"/>
          <w:lang w:val="de-CH"/>
        </w:rPr>
        <w:t>Kommentar der einzelnen Artikel</w:t>
      </w:r>
      <w:bookmarkEnd w:id="73"/>
      <w:bookmarkEnd w:id="74"/>
    </w:p>
    <w:p w14:paraId="7F090CB8" w14:textId="77777777" w:rsidR="0053523C" w:rsidRPr="006D12E1" w:rsidRDefault="0053523C" w:rsidP="0053523C">
      <w:pPr>
        <w:pStyle w:val="TitreArticleloi"/>
        <w:rPr>
          <w:lang w:val="de-CH"/>
        </w:rPr>
      </w:pPr>
      <w:r w:rsidRPr="006D12E1">
        <w:rPr>
          <w:lang w:val="de-CH"/>
        </w:rPr>
        <w:t>Art. 28d</w:t>
      </w:r>
    </w:p>
    <w:p w14:paraId="1939DCB1"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Die Oberamtmänner, Mitglieder des Staatsrats und des Kantonsgerichts leisten damit ihren Beitrag zum Sanierungsprogramm für die Kantonsfinanzen. Die Kommentare zum StPG gelten hier gleichermassen.</w:t>
      </w:r>
    </w:p>
    <w:p w14:paraId="5BD430DD"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Abgesehen von den Bestimmungen von Artikel 138b StPG, auf die im neuen Artikel 28a GSRG ausdrücklich Bezug genommen wird, wird auch die Bestimmung des neuen Artikels 138a Abs. 2 StPG für die Mitglieder des Staatsrats und des Kantonsgerichts gelten. Da der geltende Wortlaut von Artikel 5 Abs. 1 GSRG (Teuerungsanpassung der Gehälter wie für das Staatspersonal) schon genügend explizit ist, braucht keine entsprechende gesetzliche Anpassung beantragt zu werden.</w:t>
      </w:r>
    </w:p>
    <w:p w14:paraId="627858F0" w14:textId="6F619C5C" w:rsidR="0053523C" w:rsidRPr="006D12E1" w:rsidRDefault="0053523C" w:rsidP="0053523C">
      <w:pPr>
        <w:pStyle w:val="Titre2"/>
        <w:rPr>
          <w:lang w:val="de-CH"/>
        </w:rPr>
      </w:pPr>
      <w:bookmarkStart w:id="75" w:name="_Toc195000897"/>
      <w:bookmarkStart w:id="76" w:name="_Toc196226238"/>
      <w:r w:rsidRPr="00CB2873">
        <w:rPr>
          <w:lang w:val="de-CH"/>
        </w:rPr>
        <w:t>Änderung des Gesetzes über das Staatspersonal (StPG)</w:t>
      </w:r>
      <w:bookmarkEnd w:id="75"/>
      <w:bookmarkEnd w:id="76"/>
    </w:p>
    <w:p w14:paraId="3DF8CE92" w14:textId="4EB9D528" w:rsidR="0053523C" w:rsidRPr="006D12E1" w:rsidRDefault="0053523C" w:rsidP="0053523C">
      <w:pPr>
        <w:pStyle w:val="Titre3"/>
        <w:rPr>
          <w:lang w:val="de-CH"/>
        </w:rPr>
      </w:pPr>
      <w:bookmarkStart w:id="77" w:name="_Toc195000898"/>
      <w:bookmarkStart w:id="78" w:name="_Toc196226239"/>
      <w:r w:rsidRPr="006D12E1">
        <w:rPr>
          <w:lang w:val="de-CH"/>
        </w:rPr>
        <w:t>Allgemeines</w:t>
      </w:r>
      <w:bookmarkEnd w:id="77"/>
      <w:bookmarkEnd w:id="78"/>
    </w:p>
    <w:p w14:paraId="0D1999A6"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Drei Massnahmen des PSKF haben Änderungen des Staatpersonalgesetzes zur Folge. Die Erläuterungen und Begründungen sind der Übersichtlichkeit halber nach Massnahmen geordnet. Im Bewusstsein darum, dass vom Personal ein hoher Tribut gefordert wird und dass die Attraktivität des Staates als Arbeitgeber im Vergleich zum Bund und den Nachbarkantonen leiden könnte, hat der Staatsrat dafür gesorgt, dass durch die anderen (nicht auf das Personal bezogenen) Massnahmen eine Opfersymmetrie hergestellt wird.</w:t>
      </w:r>
    </w:p>
    <w:p w14:paraId="2A282A48" w14:textId="77777777" w:rsidR="0053523C" w:rsidRPr="006D12E1" w:rsidRDefault="0053523C" w:rsidP="0053523C">
      <w:pPr>
        <w:pStyle w:val="Listealphabtique"/>
        <w:numPr>
          <w:ilvl w:val="0"/>
          <w:numId w:val="0"/>
        </w:numPr>
        <w:rPr>
          <w:b/>
          <w:bCs/>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Kein Teuerungsausgleich (mit einer LIK-Obergrenze bei 117 Punkten)</w:t>
      </w:r>
    </w:p>
    <w:p w14:paraId="61EACFBD"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Der Staatsrat schlägt vor, die Löhne des Personals nicht an die Teuerung anzupassen, solange der Landesindex der Konsumentenpreise (Basis Mai 2000) nicht 117 Punkte erreicht hat. Eine vergleichbare Massnahme war schon mit den Struktur- und Sparmassnahmen 2014-2016 des Staates Freiburg getroffen worden.</w:t>
      </w:r>
    </w:p>
    <w:p w14:paraId="08307FB9" w14:textId="20668DEE" w:rsidR="0053523C" w:rsidRPr="006D12E1" w:rsidRDefault="0053523C" w:rsidP="0053523C">
      <w:pPr>
        <w:pStyle w:val="Corpsdetexte"/>
        <w:rPr>
          <w:lang w:val="de-CH"/>
        </w:rPr>
      </w:pPr>
      <w:r w:rsidRPr="006D12E1">
        <w:rPr>
          <w:rFonts w:ascii="Times New Roman" w:eastAsia="Times New Roman" w:hAnsi="Times New Roman" w:cs="Times New Roman"/>
          <w:lang w:val="de-CH"/>
        </w:rPr>
        <w:t>Für die Berechnung der gegenwärtigen Löhne wird der Konsumentenpreisindex von 114,2 Punkten (Index vom November 2023, Basis Mai 2000 = 100 Punkte) herangezogen. Es wird vorgeschlagen, bis zum Indexstand von 117</w:t>
      </w:r>
      <w:r w:rsidR="00FF713F">
        <w:rPr>
          <w:rFonts w:ascii="Times New Roman" w:eastAsia="Times New Roman" w:hAnsi="Times New Roman" w:cs="Times New Roman"/>
          <w:lang w:val="de-CH"/>
        </w:rPr>
        <w:t> </w:t>
      </w:r>
      <w:r w:rsidRPr="006D12E1">
        <w:rPr>
          <w:rFonts w:ascii="Times New Roman" w:eastAsia="Times New Roman" w:hAnsi="Times New Roman" w:cs="Times New Roman"/>
          <w:lang w:val="de-CH"/>
        </w:rPr>
        <w:t>Punkten keine Teuerungsanpassung vorzunehmen. Diese Massnahme hat keine Lohnkürzungen zur Folge. Hingegen würde das Personal auf einen allfälligen künftigen Teuerungsausgleich verzichten, sollte der Konsumentenpreisindex den gegenwärtig berücksichtigten Indexstand überschreiten. Die nächste Indexanpassung erfolgt erst, wenn der Index vom November des Vorjahres den Index von 117 Punkten übersteigt.</w:t>
      </w:r>
    </w:p>
    <w:p w14:paraId="47A08B90"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 xml:space="preserve">Der Landesindex der Konsumentenpreise bleibt eine externe Messgrösse, deren Entwicklung schwer vorhersehbar ist. Den Wirtschaftsprognosen zufolge dürfte die Inflation innerhalb der geldpolitischen Ziele der SNB bleiben. Angesichts der finanziellen Schwierigkeiten des Staates sollten Ausnahmeregelungen vom StPG bezüglich </w:t>
      </w:r>
      <w:r w:rsidRPr="006D12E1">
        <w:rPr>
          <w:rFonts w:ascii="Times New Roman" w:eastAsia="Times New Roman" w:hAnsi="Times New Roman" w:cs="Times New Roman"/>
          <w:lang w:val="de-CH"/>
        </w:rPr>
        <w:lastRenderedPageBreak/>
        <w:t>Anpassung der Löhne an den Landesindex der Konsumentenpreise getroffen werden, um die Lohnsummenentwicklung in den nächsten Jahren zu bremsen.</w:t>
      </w:r>
    </w:p>
    <w:p w14:paraId="7516E55B"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Der Staatsrat will eine Grenze für den Referenzindex bei 117,0 Punkten festsetzen und die Löhne erst dann wieder vollständig oder teilweise an die Teuerung anpassen, wenn die Inflation diesen Wert erreicht.</w:t>
      </w:r>
    </w:p>
    <w:p w14:paraId="0A69D04B"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Bekanntlich hatte der Staatsrat im Jahr 2025 beschlossen, die Gehälter des Personals nicht an die Teuerung anzupassen, trotz des Anstiegs der Inflation zwischen 2023 und 2024 (Anstieg des LIK um 0,9 Punkte zwischen November 2023 und November 2024). Dieser Entscheid war die Konsequenz aus der Verschlechterung der Kantonsfinanzen und der verfassungsmässigen Verpflichtung, einen ausgeglichenen Voranschlag 2025 vorzulegen.</w:t>
      </w:r>
    </w:p>
    <w:p w14:paraId="18688705" w14:textId="77777777" w:rsidR="0053523C" w:rsidRPr="006D12E1" w:rsidRDefault="0053523C" w:rsidP="0053523C">
      <w:pPr>
        <w:pStyle w:val="Corpsdetexte"/>
        <w:rPr>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Aufschub der Lohnstufengewährung</w:t>
      </w:r>
    </w:p>
    <w:p w14:paraId="7D108003"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Des Weiteren schlägt der Staatsrat vor, die jährliche Lohnerhöhung um eine Lohnstufe in den Jahren 2026, 2027 und 2028 vom 1. Januar auf den 1. Juli zu verschieben, bei jeweils gleichem Mindest- und Höchstlohn der einzelnen Lohnklassen. Eine vergleichbare Massnahme war schon mit den Struktur- und Sparmassnahmen 2014-2016 des Staates Freiburg getroffen worden. Diese kombinierte Massnahme hat zwar keine Lohnkürzung, aber eine Lohneinbusse für das betroffene Personal zur Folge.</w:t>
      </w:r>
    </w:p>
    <w:p w14:paraId="7D0BF1F1"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Artikel 79 StPG legt das Mindest- und das Höchstgehalt in der allgemeinen Gehaltsskala und in der Sondergehaltsskala des Staatspersonals fest. Nach Artikel 80 StPG ist jede Gehaltsskala in Gehaltsklassen unterteilt, deren Zahl vom Staatsrat festgesetzt wird (in der allgemeinen Gehaltsskala sind es gegenwärtig 36 Gehaltsklassen). Jede Lohnklasse hat einen Mindest- und einen Höchstbetrag. Die Differenz zwischen diesen Beträgen ist in Stufen unterteilt, deren Zahl ebenfalls vom Staatsrat festgesetzt wird (gegenwärtig sind es 20 Stufen). Nach der geltenden Gesetzgebung (Art. 88 StPG) muss jeweils zu Beginn eines Kalenderjahres zwingend eine Gehaltserhöhung in Form einer Gehaltsstufe erfolgen.</w:t>
      </w:r>
    </w:p>
    <w:p w14:paraId="4E4D9852"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Angesichts der finanziellen Aussichten erachtet der Staatsrat eine vorübergehende Anpassung des Mechanismus der Lohnstufengewährung für notwendig. Er schlägt deshalb vor, die Löhne in den Jahren 2026, 2027 und 2028 jeweils erst im Juli um eine Lohnstufe zu erhöhen.</w:t>
      </w:r>
    </w:p>
    <w:p w14:paraId="11D95FAD" w14:textId="77777777" w:rsidR="0053523C" w:rsidRPr="006D12E1" w:rsidRDefault="0053523C" w:rsidP="0053523C">
      <w:pPr>
        <w:pStyle w:val="Corpsdetexte"/>
        <w:rPr>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Einführung eines Solidaritätsbeitrags</w:t>
      </w:r>
    </w:p>
    <w:p w14:paraId="5B383A2D"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Der Staatsrat hat beschlossen, erneut einen befristeten Solidaritätsbeitrag vorzuschlagen, wie bereits im Rahmen der Struktur- und Sparmassnahmen 2014-2016 des Staates Freiburg.</w:t>
      </w:r>
    </w:p>
    <w:p w14:paraId="171CB162"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Diese Massnahme kann aus technischen Gründen, die mit dem Lohnzahlungssystem HR-Access zusammenhängen, im Jahr 2026 nicht umgesetzt werden. Für diesen Lohnrückbehalt müssen zunächst zusammen mit dem externen Dienstleister, der sich um den Systemunterhalt kümmert,</w:t>
      </w:r>
      <w:r w:rsidRPr="006D12E1">
        <w:rPr>
          <w:lang w:val="de-CH"/>
        </w:rPr>
        <w:t xml:space="preserve"> </w:t>
      </w:r>
      <w:r w:rsidRPr="006D12E1">
        <w:rPr>
          <w:rFonts w:ascii="Times New Roman" w:eastAsia="Times New Roman" w:hAnsi="Times New Roman" w:cs="Times New Roman"/>
          <w:lang w:val="de-CH"/>
        </w:rPr>
        <w:t>die Systemeinstellungen angepasst und Tests durchgeführt werden.</w:t>
      </w:r>
    </w:p>
    <w:p w14:paraId="42CDB8B2"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Der vorgeschlagene Solidaritätsbeitrag würde 2027 auf 1 % und 2028 auf 1 % festgelegt, nach Abzug eines Pauschalbetrags von 39 000 Franken zur Entlastung von Mitarbeitende mit tieferen Löhnen. Beim Solidaritätsbeitrag handelt es sich also um eine progressiv ausgestaltete Mitarbeiterbeteiligung an den Sanierungsbemühungen für die Kantonsfinanzen.</w:t>
      </w:r>
    </w:p>
    <w:p w14:paraId="69335210" w14:textId="3A364AE0" w:rsidR="0053523C" w:rsidRPr="006D12E1" w:rsidRDefault="0053523C" w:rsidP="0053523C">
      <w:pPr>
        <w:pStyle w:val="Titre3"/>
        <w:rPr>
          <w:lang w:val="de-CH"/>
        </w:rPr>
      </w:pPr>
      <w:bookmarkStart w:id="79" w:name="_Toc195000899"/>
      <w:bookmarkStart w:id="80" w:name="_Toc196226240"/>
      <w:r w:rsidRPr="006D12E1">
        <w:rPr>
          <w:rFonts w:ascii="Arial" w:eastAsia="Times New Roman" w:hAnsi="Arial" w:cs="Times New Roman"/>
          <w:lang w:val="de-CH"/>
        </w:rPr>
        <w:t>Kommentar der einzelnen Artikel</w:t>
      </w:r>
      <w:bookmarkEnd w:id="79"/>
      <w:bookmarkEnd w:id="80"/>
    </w:p>
    <w:p w14:paraId="70E02200" w14:textId="77777777" w:rsidR="0053523C" w:rsidRPr="006D12E1" w:rsidRDefault="0053523C" w:rsidP="0053523C">
      <w:pPr>
        <w:pStyle w:val="TitreArticleloi"/>
        <w:rPr>
          <w:lang w:val="de-CH"/>
        </w:rPr>
      </w:pPr>
      <w:r w:rsidRPr="006D12E1">
        <w:rPr>
          <w:lang w:val="de-CH"/>
        </w:rPr>
        <w:t>Art. 138c Abs. 1 (neu)</w:t>
      </w:r>
    </w:p>
    <w:p w14:paraId="6185534F" w14:textId="77777777" w:rsidR="0053523C" w:rsidRPr="006D12E1" w:rsidRDefault="0053523C" w:rsidP="0053523C">
      <w:pPr>
        <w:pStyle w:val="Corpsdetexte"/>
        <w:rPr>
          <w:lang w:val="de-CH"/>
        </w:rPr>
      </w:pPr>
      <w:r w:rsidRPr="006D12E1">
        <w:rPr>
          <w:rFonts w:ascii="Times New Roman" w:eastAsia="Times New Roman" w:hAnsi="Times New Roman" w:cs="Times New Roman"/>
          <w:lang w:val="de-CH"/>
        </w:rPr>
        <w:t>Die Änderung des Gesetzes über das Staatspersonal ist nur vorübergehend und an die zeitlich begrenzten Sanierungsmassnahmen von 2026 bis 2028 gebunden. Deshalb wird aus gesetzestechnischen Gründen vorgeschlagen, in Kapitel XV unter den Schluss- und Übergangsbestimmungen eine neue Übergangsbestimmung einzufügen.</w:t>
      </w:r>
    </w:p>
    <w:p w14:paraId="52D9DA89" w14:textId="77777777" w:rsidR="0053523C" w:rsidRPr="006D12E1" w:rsidRDefault="0053523C" w:rsidP="0053523C">
      <w:pPr>
        <w:rPr>
          <w:lang w:val="de-CH"/>
        </w:rPr>
      </w:pPr>
      <w:r w:rsidRPr="006D12E1">
        <w:rPr>
          <w:rFonts w:ascii="Times New Roman" w:eastAsia="Times New Roman" w:hAnsi="Times New Roman" w:cs="Times New Roman"/>
          <w:lang w:val="de-CH"/>
        </w:rPr>
        <w:t xml:space="preserve">Absatz 1 begründet die Befugnis des Staatsrats, in den Jahren 2026, 2027 und 2028 von Artikel 81 und 88 StPG abzuweichen. Buchstabe </w:t>
      </w:r>
      <w:r w:rsidRPr="006D12E1">
        <w:rPr>
          <w:rFonts w:ascii="Times New Roman" w:eastAsia="Times New Roman" w:hAnsi="Times New Roman" w:cs="Times New Roman"/>
          <w:i/>
          <w:lang w:val="de-CH"/>
        </w:rPr>
        <w:t>a</w:t>
      </w:r>
      <w:r w:rsidRPr="006D12E1">
        <w:rPr>
          <w:rFonts w:ascii="Times New Roman" w:eastAsia="Times New Roman" w:hAnsi="Times New Roman" w:cs="Times New Roman"/>
          <w:lang w:val="de-CH"/>
        </w:rPr>
        <w:t xml:space="preserve"> regelt die Massnahme bezüglich Indexierung der Lohnstufen, und Buchstabe </w:t>
      </w:r>
      <w:r w:rsidRPr="006D12E1">
        <w:rPr>
          <w:rFonts w:ascii="Times New Roman" w:eastAsia="Times New Roman" w:hAnsi="Times New Roman" w:cs="Times New Roman"/>
          <w:i/>
          <w:lang w:val="de-CH"/>
        </w:rPr>
        <w:t>b</w:t>
      </w:r>
      <w:r w:rsidRPr="006D12E1">
        <w:rPr>
          <w:rFonts w:ascii="Times New Roman" w:eastAsia="Times New Roman" w:hAnsi="Times New Roman" w:cs="Times New Roman"/>
          <w:lang w:val="de-CH"/>
        </w:rPr>
        <w:t xml:space="preserve"> die Massnahme bezüglich jährliche Lohnerhöhung (Lohnstufen). Buchstabe c bestimmt, dass diese Einschränkungen für das Staatspersonal auch für das Personal der vom Staat subventionierten Sektoren gelten sollen. Die gleiche Bestimmung ist schon jetzt im StPG vorgesehen (Artikel 81 Abs. 5) und entspricht auch Artikel 22 Abs. 2 des </w:t>
      </w:r>
      <w:r w:rsidRPr="006D12E1">
        <w:rPr>
          <w:rFonts w:ascii="Times New Roman" w:eastAsia="Times New Roman" w:hAnsi="Times New Roman" w:cs="Times New Roman"/>
          <w:lang w:val="de-CH"/>
        </w:rPr>
        <w:lastRenderedPageBreak/>
        <w:t>Subventionsgesetzes (SubG; SGF 616.1) mit folgendem Wortlaut: «Ausgaben, die die vom Staat angewandten Normen übersteigen, sind nicht anrechenbar». Dem wird bei der Subventionsgewährung Rechnung getragen.</w:t>
      </w:r>
      <w:r w:rsidRPr="006D12E1">
        <w:rPr>
          <w:lang w:val="de-CH"/>
        </w:rPr>
        <w:t xml:space="preserve">  </w:t>
      </w:r>
    </w:p>
    <w:p w14:paraId="0AA195A3" w14:textId="77777777" w:rsidR="0053523C" w:rsidRPr="006D12E1" w:rsidRDefault="0053523C" w:rsidP="0053523C">
      <w:pPr>
        <w:pStyle w:val="TitreArticleloi"/>
        <w:rPr>
          <w:lang w:val="de-CH"/>
        </w:rPr>
      </w:pPr>
      <w:r w:rsidRPr="006D12E1">
        <w:rPr>
          <w:lang w:val="de-CH"/>
        </w:rPr>
        <w:t>Art. 138d Abs. 1 (neu)</w:t>
      </w:r>
    </w:p>
    <w:p w14:paraId="73F635D9" w14:textId="77777777" w:rsidR="0053523C" w:rsidRPr="006D12E1" w:rsidRDefault="0053523C" w:rsidP="0053523C">
      <w:pPr>
        <w:rPr>
          <w:lang w:val="de-CH"/>
        </w:rPr>
      </w:pPr>
      <w:r w:rsidRPr="006D12E1">
        <w:rPr>
          <w:rFonts w:ascii="Times New Roman" w:eastAsia="Times New Roman" w:hAnsi="Times New Roman" w:cs="Times New Roman"/>
          <w:lang w:val="de-CH"/>
        </w:rPr>
        <w:t>In Absatz 1 wird bestimmt, dass das gesamte Staatspersonal in den Jahren 2027 und 2028 mit einem Solidaritätsbeitrag zur Sanierung der kantonalen Finanzen beitragen soll. Für das Jahr 2026 wird kein Solidaritätsbeitrag erhoben.</w:t>
      </w:r>
    </w:p>
    <w:p w14:paraId="477CC968" w14:textId="77777777" w:rsidR="0053523C" w:rsidRPr="006D12E1" w:rsidRDefault="0053523C" w:rsidP="0053523C">
      <w:pPr>
        <w:pStyle w:val="TitreArticleloi"/>
        <w:rPr>
          <w:lang w:val="de-CH"/>
        </w:rPr>
      </w:pPr>
      <w:r w:rsidRPr="006D12E1">
        <w:rPr>
          <w:lang w:val="de-CH"/>
        </w:rPr>
        <w:t>Art. 138d Abs. 2 (neu)</w:t>
      </w:r>
    </w:p>
    <w:p w14:paraId="19477320" w14:textId="77777777" w:rsidR="0053523C" w:rsidRPr="006D12E1" w:rsidRDefault="0053523C" w:rsidP="0053523C">
      <w:pPr>
        <w:rPr>
          <w:lang w:val="de-CH"/>
        </w:rPr>
      </w:pPr>
      <w:r w:rsidRPr="006D12E1">
        <w:rPr>
          <w:rFonts w:ascii="Times New Roman" w:eastAsia="Times New Roman" w:hAnsi="Times New Roman" w:cs="Times New Roman"/>
          <w:lang w:val="de-CH"/>
        </w:rPr>
        <w:t>Dieser Absatz legt für die Jahre 2027 und 2028 (für das Jahr 2026 wird kein Beitrag erhoben) den Beitragssatz und den Betrag des Abzugs von dem Teil des Grundgehalts fest, der den Betrag von jährlich 39 000 Franken übersteigt. Diese Berechnung erfolgt nach Massgabe des Beschäftigungsgrads, und die Sozialversicherungsbeiträge werden auf dem gekürzten Gehalt erhoben.</w:t>
      </w:r>
    </w:p>
    <w:p w14:paraId="65184C05" w14:textId="77777777" w:rsidR="0053523C" w:rsidRPr="006D12E1" w:rsidRDefault="0053523C" w:rsidP="0053523C">
      <w:pPr>
        <w:pStyle w:val="TitreArticleloi"/>
        <w:rPr>
          <w:lang w:val="de-CH"/>
        </w:rPr>
      </w:pPr>
      <w:r w:rsidRPr="006D12E1">
        <w:rPr>
          <w:lang w:val="de-CH"/>
        </w:rPr>
        <w:t>Art. 138d Abs. 3 (neu)</w:t>
      </w:r>
    </w:p>
    <w:p w14:paraId="70293AE6" w14:textId="77777777" w:rsidR="0053523C" w:rsidRPr="006D12E1" w:rsidRDefault="0053523C" w:rsidP="0053523C">
      <w:pPr>
        <w:rPr>
          <w:lang w:val="de-CH"/>
        </w:rPr>
      </w:pPr>
      <w:r w:rsidRPr="006D12E1">
        <w:rPr>
          <w:rFonts w:ascii="Times New Roman" w:eastAsia="Times New Roman" w:hAnsi="Times New Roman" w:cs="Times New Roman"/>
          <w:lang w:val="de-CH"/>
        </w:rPr>
        <w:t>Nach diesem Absatz gilt die Massnahme auch für das Personal der Sektoren, die vom Staat subventioniert werden.</w:t>
      </w:r>
    </w:p>
    <w:p w14:paraId="78C576A6" w14:textId="77777777" w:rsidR="0053523C" w:rsidRPr="006D12E1" w:rsidRDefault="0053523C" w:rsidP="0053523C">
      <w:pPr>
        <w:pStyle w:val="TitreArticleloi"/>
        <w:rPr>
          <w:lang w:val="de-CH"/>
        </w:rPr>
      </w:pPr>
      <w:r w:rsidRPr="006D12E1">
        <w:rPr>
          <w:lang w:val="de-CH"/>
        </w:rPr>
        <w:t>Art. 138e Abs. 1 (neu)</w:t>
      </w:r>
    </w:p>
    <w:p w14:paraId="1299E6F0" w14:textId="4A65AA20" w:rsidR="00CC17E8" w:rsidRPr="0053523C" w:rsidRDefault="0053523C" w:rsidP="0053523C">
      <w:pPr>
        <w:rPr>
          <w:lang w:val="de-CH"/>
        </w:rPr>
      </w:pPr>
      <w:r w:rsidRPr="006D12E1">
        <w:rPr>
          <w:rFonts w:ascii="Times New Roman" w:eastAsia="Times New Roman" w:hAnsi="Times New Roman" w:cs="Times New Roman"/>
          <w:lang w:val="de-CH"/>
        </w:rPr>
        <w:t>Dieser Absatz verweist auf die Möglichkeit des Staatsrates, die Massnahmen während ihrer dreijährigen Geltungsdauer an die Entwicklung der finanziellen Situation des Staates anzupassen</w:t>
      </w:r>
    </w:p>
    <w:p w14:paraId="02EF8320" w14:textId="77777777" w:rsidR="00BE3954" w:rsidRPr="006D12E1" w:rsidRDefault="00BE3954" w:rsidP="00BE3954">
      <w:pPr>
        <w:pStyle w:val="Titre2"/>
        <w:rPr>
          <w:lang w:val="de-CH"/>
        </w:rPr>
      </w:pPr>
      <w:bookmarkStart w:id="81" w:name="_Toc196226241"/>
      <w:r w:rsidRPr="006D12E1">
        <w:rPr>
          <w:lang w:val="de-CH"/>
        </w:rPr>
        <w:t>Änderung des Ausführungsgesetzes zur Bundesgesetzgebung über die Hilfe an Opfer von Straftaten (AGOHG)</w:t>
      </w:r>
      <w:bookmarkEnd w:id="81"/>
    </w:p>
    <w:p w14:paraId="398616DA" w14:textId="50496974" w:rsidR="00BE3954" w:rsidRPr="006D12E1" w:rsidRDefault="00BE3954" w:rsidP="00BE3954">
      <w:pPr>
        <w:pStyle w:val="Titre3"/>
        <w:rPr>
          <w:lang w:val="de-CH"/>
        </w:rPr>
      </w:pPr>
      <w:bookmarkStart w:id="82" w:name="_Toc195000901"/>
      <w:bookmarkStart w:id="83" w:name="_Toc196226242"/>
      <w:r w:rsidRPr="006D12E1">
        <w:rPr>
          <w:lang w:val="de-CH"/>
        </w:rPr>
        <w:t>Allgemeines</w:t>
      </w:r>
      <w:bookmarkEnd w:id="82"/>
      <w:bookmarkEnd w:id="83"/>
    </w:p>
    <w:p w14:paraId="682773D3" w14:textId="77777777" w:rsidR="00BE3954" w:rsidRPr="006D12E1" w:rsidRDefault="00BE3954" w:rsidP="00BE3954">
      <w:pPr>
        <w:pStyle w:val="Listealphabtique"/>
        <w:numPr>
          <w:ilvl w:val="0"/>
          <w:numId w:val="0"/>
        </w:numPr>
        <w:rPr>
          <w:b/>
          <w:bCs/>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Änderung und Vereinfachung der Subventionsaufteilung in Bereich der Sozialhilfe</w:t>
      </w:r>
    </w:p>
    <w:p w14:paraId="4C935332" w14:textId="77777777" w:rsidR="00BE3954" w:rsidRPr="006D12E1" w:rsidRDefault="00BE3954" w:rsidP="00BE3954">
      <w:pPr>
        <w:rPr>
          <w:lang w:val="de-CH"/>
        </w:rPr>
      </w:pPr>
      <w:r w:rsidRPr="006D12E1">
        <w:rPr>
          <w:lang w:val="de-CH"/>
        </w:rPr>
        <w:t>Mit der Sanierungsmassnahme soll die Verteilung von drei Subventionen geändert und vereinfacht werden: das Sozialhilfegesetz (SHG), das Ausführungsgesetz zur Bundesgesetzgebung über die Hilfe an Opfer von Straftaten (AGOHG) und das Gesetz über Inkassohilfe und Bevorschussung von Unterhaltsbeiträgen (IHBUG).</w:t>
      </w:r>
    </w:p>
    <w:p w14:paraId="4AEB946F" w14:textId="77777777" w:rsidR="00BE3954" w:rsidRPr="006D12E1" w:rsidRDefault="00BE3954" w:rsidP="00BE3954">
      <w:pPr>
        <w:pStyle w:val="Corpsdetexte"/>
        <w:rPr>
          <w:lang w:val="de-CH"/>
        </w:rPr>
      </w:pPr>
      <w:r w:rsidRPr="006D12E1">
        <w:rPr>
          <w:lang w:val="de-CH"/>
        </w:rPr>
        <w:t>Diese drei Gesetze kommen auf zwei unterschiedliche Arten zur Anwendung. Nach dem SHG überwacht und koordiniert der Staat, während die Gemeinden für die Leistungserbringung zuständig sind. Im Gegensatz dazu liegt die Leistungserbringung nach dem AGOHG und dem IHBUG vollständig in der Zuständigkeit des Staates, während die Gemeinden keine Rolle spielen, abgesehen von ihrem Beitrag zur Übernahme dieser Leistungen. Zur Optimierung des Subventionssystems kann das Lastenaufteilungssystem auch unter Berücksichtigung der jeweiligen Rollen vereinfacht werden. So soll die derzeitige Aufteilung nach SHG von 40 % Staat / 60 % Gemeinden auf 20 % Staat und 80 % Gemeinden geändert werden. Umgekehrt wird auch der Verteilschlüssel der beiden anderen Gesetze entsprechend der Rollenverteilung geändert. Der Staat übernimmt die OHG- und IHBUG-Kosten zu 100 %, was der Logik der Zuständigkeiten entspricht.</w:t>
      </w:r>
    </w:p>
    <w:p w14:paraId="4AAA360C" w14:textId="5D3EABBF" w:rsidR="00BE3954" w:rsidRPr="006D12E1" w:rsidRDefault="00BE3954" w:rsidP="00BE3954">
      <w:pPr>
        <w:pStyle w:val="Titre3"/>
        <w:rPr>
          <w:lang w:val="de-CH"/>
        </w:rPr>
      </w:pPr>
      <w:bookmarkStart w:id="84" w:name="_Toc195000902"/>
      <w:bookmarkStart w:id="85" w:name="_Toc196226243"/>
      <w:r w:rsidRPr="006D12E1">
        <w:rPr>
          <w:lang w:val="de-CH"/>
        </w:rPr>
        <w:t>Detaillierte finanzielle Schätzungen</w:t>
      </w:r>
      <w:bookmarkEnd w:id="84"/>
      <w:bookmarkEnd w:id="85"/>
    </w:p>
    <w:p w14:paraId="7EE84E63" w14:textId="77777777" w:rsidR="00BE3954" w:rsidRDefault="00BE3954" w:rsidP="00BE3954">
      <w:pPr>
        <w:pStyle w:val="Corpsdetexte"/>
        <w:rPr>
          <w:lang w:val="de-CH"/>
        </w:rPr>
      </w:pPr>
      <w:r w:rsidRPr="006D12E1">
        <w:rPr>
          <w:lang w:val="de-CH"/>
        </w:rPr>
        <w:t>Diese Vereinfachung durch die neue Lastenaufteilung entlastet den Staat insgesamt um rund 4 Millionen Franken jährlich, wie die folgende Tabelle mit den jeweiligen Projektionen für die Jahre 2026</w:t>
      </w:r>
      <w:r w:rsidRPr="006D12E1">
        <w:rPr>
          <w:rFonts w:cstheme="minorHAnsi"/>
          <w:lang w:val="de-CH"/>
        </w:rPr>
        <w:t>–</w:t>
      </w:r>
      <w:r w:rsidRPr="006D12E1">
        <w:rPr>
          <w:lang w:val="de-CH"/>
        </w:rPr>
        <w:t xml:space="preserve">2028 zeigt. Diese neue Aufteilung impliziert natürlich höhere Sozialhilfekosten für die Gemeinden, die teilweise durch eine Kostensenkung in den Bereichen des AGOHG und des IHBUG kompensiert werden. </w:t>
      </w:r>
    </w:p>
    <w:p w14:paraId="3C5287F2" w14:textId="037277E1" w:rsidR="00C64A74" w:rsidRDefault="00C64A74">
      <w:pPr>
        <w:rPr>
          <w:lang w:val="de-CH"/>
        </w:rPr>
      </w:pPr>
      <w:r>
        <w:rPr>
          <w:lang w:val="de-CH"/>
        </w:rPr>
        <w:br w:type="page"/>
      </w:r>
    </w:p>
    <w:p w14:paraId="596DB799" w14:textId="77777777" w:rsidR="009E2921" w:rsidRPr="006D12E1" w:rsidRDefault="009E2921" w:rsidP="00BE3954">
      <w:pPr>
        <w:pStyle w:val="Corpsdetexte"/>
        <w:rPr>
          <w:lang w:val="de-CH"/>
        </w:rPr>
      </w:pPr>
    </w:p>
    <w:tbl>
      <w:tblPr>
        <w:tblStyle w:val="TableauEtatFR"/>
        <w:tblW w:w="5000" w:type="pct"/>
        <w:tblLook w:val="04E0" w:firstRow="1" w:lastRow="1" w:firstColumn="1" w:lastColumn="0" w:noHBand="0" w:noVBand="1"/>
      </w:tblPr>
      <w:tblGrid>
        <w:gridCol w:w="1301"/>
        <w:gridCol w:w="1080"/>
        <w:gridCol w:w="1079"/>
        <w:gridCol w:w="1081"/>
        <w:gridCol w:w="1079"/>
        <w:gridCol w:w="1079"/>
        <w:gridCol w:w="1081"/>
        <w:gridCol w:w="1079"/>
        <w:gridCol w:w="1061"/>
      </w:tblGrid>
      <w:tr w:rsidR="00BE3954" w:rsidRPr="006D12E1" w14:paraId="7943BF72" w14:textId="77777777" w:rsidTr="007B12C8">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655" w:type="pct"/>
            <w:vMerge w:val="restart"/>
          </w:tcPr>
          <w:p w14:paraId="3114189D" w14:textId="77777777" w:rsidR="00BE3954" w:rsidRPr="006D12E1" w:rsidRDefault="00BE3954" w:rsidP="007B12C8">
            <w:pPr>
              <w:pStyle w:val="NIVtableau"/>
              <w:rPr>
                <w:lang w:val="de-CH"/>
              </w:rPr>
            </w:pPr>
          </w:p>
        </w:tc>
        <w:tc>
          <w:tcPr>
            <w:tcW w:w="2721" w:type="pct"/>
            <w:gridSpan w:val="5"/>
          </w:tcPr>
          <w:p w14:paraId="6B010132" w14:textId="77777777" w:rsidR="00BE3954" w:rsidRPr="006D12E1" w:rsidRDefault="00BE3954" w:rsidP="007B12C8">
            <w:pPr>
              <w:pStyle w:val="NIVtableau"/>
              <w:cnfStyle w:val="100000000000" w:firstRow="1" w:lastRow="0" w:firstColumn="0" w:lastColumn="0" w:oddVBand="0" w:evenVBand="0" w:oddHBand="0" w:evenHBand="0" w:firstRowFirstColumn="0" w:firstRowLastColumn="0" w:lastRowFirstColumn="0" w:lastRowLastColumn="0"/>
              <w:rPr>
                <w:lang w:val="de-CH"/>
              </w:rPr>
            </w:pPr>
            <w:r w:rsidRPr="006D12E1">
              <w:rPr>
                <w:lang w:val="de-CH"/>
              </w:rPr>
              <w:t>Anteil Staat</w:t>
            </w:r>
          </w:p>
        </w:tc>
        <w:tc>
          <w:tcPr>
            <w:tcW w:w="1624" w:type="pct"/>
            <w:gridSpan w:val="3"/>
          </w:tcPr>
          <w:p w14:paraId="2097C3EB" w14:textId="77777777" w:rsidR="00BE3954" w:rsidRPr="006D12E1" w:rsidRDefault="00BE3954" w:rsidP="007B12C8">
            <w:pPr>
              <w:pStyle w:val="NIVtableau"/>
              <w:cnfStyle w:val="100000000000" w:firstRow="1" w:lastRow="0" w:firstColumn="0" w:lastColumn="0" w:oddVBand="0" w:evenVBand="0" w:oddHBand="0" w:evenHBand="0" w:firstRowFirstColumn="0" w:firstRowLastColumn="0" w:lastRowFirstColumn="0" w:lastRowLastColumn="0"/>
              <w:rPr>
                <w:lang w:val="de-CH"/>
              </w:rPr>
            </w:pPr>
            <w:r w:rsidRPr="006D12E1">
              <w:rPr>
                <w:lang w:val="de-CH"/>
              </w:rPr>
              <w:t>Anteil Gemeinden</w:t>
            </w:r>
          </w:p>
        </w:tc>
      </w:tr>
      <w:tr w:rsidR="00BE3954" w:rsidRPr="006D12E1" w14:paraId="6C95733D"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vMerge/>
          </w:tcPr>
          <w:p w14:paraId="371477A5" w14:textId="77777777" w:rsidR="00BE3954" w:rsidRPr="006D12E1" w:rsidRDefault="00BE3954" w:rsidP="007B12C8">
            <w:pPr>
              <w:pStyle w:val="NIVtableau"/>
              <w:rPr>
                <w:lang w:val="de-CH"/>
              </w:rPr>
            </w:pPr>
          </w:p>
        </w:tc>
        <w:tc>
          <w:tcPr>
            <w:tcW w:w="544" w:type="pct"/>
          </w:tcPr>
          <w:p w14:paraId="273EB8E7"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R23</w:t>
            </w:r>
          </w:p>
        </w:tc>
        <w:tc>
          <w:tcPr>
            <w:tcW w:w="544" w:type="pct"/>
          </w:tcPr>
          <w:p w14:paraId="2C484618"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V25</w:t>
            </w:r>
          </w:p>
        </w:tc>
        <w:tc>
          <w:tcPr>
            <w:tcW w:w="545" w:type="pct"/>
          </w:tcPr>
          <w:p w14:paraId="6BB5C7D4"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FP26</w:t>
            </w:r>
          </w:p>
        </w:tc>
        <w:tc>
          <w:tcPr>
            <w:tcW w:w="544" w:type="pct"/>
          </w:tcPr>
          <w:p w14:paraId="37C00A4D"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FP27</w:t>
            </w:r>
          </w:p>
        </w:tc>
        <w:tc>
          <w:tcPr>
            <w:tcW w:w="544" w:type="pct"/>
          </w:tcPr>
          <w:p w14:paraId="5D57F03B"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FP28</w:t>
            </w:r>
          </w:p>
        </w:tc>
        <w:tc>
          <w:tcPr>
            <w:tcW w:w="545" w:type="pct"/>
          </w:tcPr>
          <w:p w14:paraId="11A7F37C"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FP26</w:t>
            </w:r>
          </w:p>
        </w:tc>
        <w:tc>
          <w:tcPr>
            <w:tcW w:w="544" w:type="pct"/>
          </w:tcPr>
          <w:p w14:paraId="73348CAC"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FP27</w:t>
            </w:r>
          </w:p>
        </w:tc>
        <w:tc>
          <w:tcPr>
            <w:tcW w:w="536" w:type="pct"/>
          </w:tcPr>
          <w:p w14:paraId="42059E44" w14:textId="77777777" w:rsidR="00BE3954" w:rsidRPr="006D12E1" w:rsidRDefault="00BE3954" w:rsidP="007B12C8">
            <w:pPr>
              <w:pStyle w:val="NIVtableau"/>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FP28</w:t>
            </w:r>
          </w:p>
        </w:tc>
      </w:tr>
      <w:tr w:rsidR="00BE3954" w:rsidRPr="006D12E1" w14:paraId="72570D5A"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3C72D183" w14:textId="77777777" w:rsidR="00BE3954" w:rsidRPr="006D12E1" w:rsidRDefault="00BE3954" w:rsidP="007B12C8">
            <w:pPr>
              <w:pStyle w:val="NIVtableau"/>
              <w:rPr>
                <w:b/>
                <w:bCs w:val="0"/>
                <w:lang w:val="de-CH"/>
              </w:rPr>
            </w:pPr>
            <w:r w:rsidRPr="006D12E1">
              <w:rPr>
                <w:b/>
                <w:bCs w:val="0"/>
                <w:lang w:val="de-CH"/>
              </w:rPr>
              <w:t>Gesetz</w:t>
            </w:r>
          </w:p>
        </w:tc>
        <w:tc>
          <w:tcPr>
            <w:tcW w:w="4345" w:type="pct"/>
            <w:gridSpan w:val="8"/>
          </w:tcPr>
          <w:p w14:paraId="1BDC6D3A" w14:textId="77777777" w:rsidR="00BE3954" w:rsidRPr="006D12E1" w:rsidRDefault="00BE3954" w:rsidP="007B12C8">
            <w:pPr>
              <w:pStyle w:val="NIVtableau"/>
              <w:spacing w:before="100" w:after="100"/>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Derzeitige Lastenaufteilung</w:t>
            </w:r>
          </w:p>
        </w:tc>
      </w:tr>
      <w:tr w:rsidR="00BE3954" w:rsidRPr="006D12E1" w14:paraId="6910FDF5"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10A83A3F" w14:textId="77777777" w:rsidR="00BE3954" w:rsidRPr="006D12E1" w:rsidRDefault="00BE3954" w:rsidP="007B12C8">
            <w:pPr>
              <w:pStyle w:val="NIVtableau"/>
              <w:rPr>
                <w:lang w:val="de-CH"/>
              </w:rPr>
            </w:pPr>
            <w:r w:rsidRPr="006D12E1">
              <w:rPr>
                <w:lang w:val="de-CH"/>
              </w:rPr>
              <w:t>SHG</w:t>
            </w:r>
          </w:p>
        </w:tc>
        <w:tc>
          <w:tcPr>
            <w:tcW w:w="544" w:type="pct"/>
          </w:tcPr>
          <w:p w14:paraId="20CF42C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14 673 157</w:t>
            </w:r>
          </w:p>
        </w:tc>
        <w:tc>
          <w:tcPr>
            <w:tcW w:w="544" w:type="pct"/>
          </w:tcPr>
          <w:p w14:paraId="4A4289FD"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14 875 000</w:t>
            </w:r>
          </w:p>
        </w:tc>
        <w:tc>
          <w:tcPr>
            <w:tcW w:w="545" w:type="pct"/>
          </w:tcPr>
          <w:p w14:paraId="75B48EB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13 750 000</w:t>
            </w:r>
          </w:p>
        </w:tc>
        <w:tc>
          <w:tcPr>
            <w:tcW w:w="544" w:type="pct"/>
          </w:tcPr>
          <w:p w14:paraId="2AD4F514"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14 155 000</w:t>
            </w:r>
          </w:p>
        </w:tc>
        <w:tc>
          <w:tcPr>
            <w:tcW w:w="544" w:type="pct"/>
          </w:tcPr>
          <w:p w14:paraId="46CAC30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14 315 000</w:t>
            </w:r>
          </w:p>
        </w:tc>
        <w:tc>
          <w:tcPr>
            <w:tcW w:w="545" w:type="pct"/>
          </w:tcPr>
          <w:p w14:paraId="6BA8B74F"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20 625 000</w:t>
            </w:r>
          </w:p>
        </w:tc>
        <w:tc>
          <w:tcPr>
            <w:tcW w:w="544" w:type="pct"/>
          </w:tcPr>
          <w:p w14:paraId="428D54C0"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21 232 500</w:t>
            </w:r>
          </w:p>
        </w:tc>
        <w:tc>
          <w:tcPr>
            <w:tcW w:w="536" w:type="pct"/>
          </w:tcPr>
          <w:p w14:paraId="42F917C0"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21 472 500</w:t>
            </w:r>
          </w:p>
        </w:tc>
      </w:tr>
      <w:tr w:rsidR="00BE3954" w:rsidRPr="006D12E1" w14:paraId="37BEAD74"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4BEB9EB5" w14:textId="77777777" w:rsidR="00BE3954" w:rsidRPr="006D12E1" w:rsidRDefault="00BE3954" w:rsidP="007B12C8">
            <w:pPr>
              <w:pStyle w:val="NIVtableau"/>
              <w:rPr>
                <w:lang w:val="de-CH"/>
              </w:rPr>
            </w:pPr>
            <w:r w:rsidRPr="006D12E1">
              <w:rPr>
                <w:lang w:val="de-CH"/>
              </w:rPr>
              <w:t>OHG</w:t>
            </w:r>
          </w:p>
        </w:tc>
        <w:tc>
          <w:tcPr>
            <w:tcW w:w="544" w:type="pct"/>
          </w:tcPr>
          <w:p w14:paraId="29346584"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1 021 387</w:t>
            </w:r>
          </w:p>
        </w:tc>
        <w:tc>
          <w:tcPr>
            <w:tcW w:w="544" w:type="pct"/>
          </w:tcPr>
          <w:p w14:paraId="5A2731A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1 322 850</w:t>
            </w:r>
          </w:p>
        </w:tc>
        <w:tc>
          <w:tcPr>
            <w:tcW w:w="545" w:type="pct"/>
          </w:tcPr>
          <w:p w14:paraId="2CA98095"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1 407 000</w:t>
            </w:r>
          </w:p>
        </w:tc>
        <w:tc>
          <w:tcPr>
            <w:tcW w:w="544" w:type="pct"/>
          </w:tcPr>
          <w:p w14:paraId="7DB69996"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1 407 000</w:t>
            </w:r>
          </w:p>
        </w:tc>
        <w:tc>
          <w:tcPr>
            <w:tcW w:w="544" w:type="pct"/>
          </w:tcPr>
          <w:p w14:paraId="612EF7F1"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1 407 000</w:t>
            </w:r>
          </w:p>
        </w:tc>
        <w:tc>
          <w:tcPr>
            <w:tcW w:w="545" w:type="pct"/>
          </w:tcPr>
          <w:p w14:paraId="61EABA7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885 000</w:t>
            </w:r>
          </w:p>
        </w:tc>
        <w:tc>
          <w:tcPr>
            <w:tcW w:w="544" w:type="pct"/>
          </w:tcPr>
          <w:p w14:paraId="0500EA09"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885 000</w:t>
            </w:r>
          </w:p>
        </w:tc>
        <w:tc>
          <w:tcPr>
            <w:tcW w:w="536" w:type="pct"/>
          </w:tcPr>
          <w:p w14:paraId="0F1F1D96"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885 000</w:t>
            </w:r>
          </w:p>
        </w:tc>
      </w:tr>
      <w:tr w:rsidR="00BE3954" w:rsidRPr="006D12E1" w14:paraId="40E93742"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29110A31" w14:textId="77777777" w:rsidR="00BE3954" w:rsidRPr="006D12E1" w:rsidRDefault="00BE3954" w:rsidP="007B12C8">
            <w:pPr>
              <w:pStyle w:val="NIVtableau"/>
              <w:rPr>
                <w:lang w:val="de-CH"/>
              </w:rPr>
            </w:pPr>
            <w:r w:rsidRPr="006D12E1">
              <w:rPr>
                <w:lang w:val="de-CH"/>
              </w:rPr>
              <w:t>IHBUG</w:t>
            </w:r>
          </w:p>
        </w:tc>
        <w:tc>
          <w:tcPr>
            <w:tcW w:w="544" w:type="pct"/>
          </w:tcPr>
          <w:p w14:paraId="0DC0C57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2 235 023</w:t>
            </w:r>
          </w:p>
        </w:tc>
        <w:tc>
          <w:tcPr>
            <w:tcW w:w="544" w:type="pct"/>
          </w:tcPr>
          <w:p w14:paraId="3764C4B2"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2 175 000</w:t>
            </w:r>
          </w:p>
        </w:tc>
        <w:tc>
          <w:tcPr>
            <w:tcW w:w="545" w:type="pct"/>
          </w:tcPr>
          <w:p w14:paraId="2FDA9F4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2 031 000</w:t>
            </w:r>
          </w:p>
        </w:tc>
        <w:tc>
          <w:tcPr>
            <w:tcW w:w="544" w:type="pct"/>
          </w:tcPr>
          <w:p w14:paraId="711E477A"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2 058 000</w:t>
            </w:r>
          </w:p>
        </w:tc>
        <w:tc>
          <w:tcPr>
            <w:tcW w:w="544" w:type="pct"/>
          </w:tcPr>
          <w:p w14:paraId="31A912D9"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2 086 000</w:t>
            </w:r>
          </w:p>
        </w:tc>
        <w:tc>
          <w:tcPr>
            <w:tcW w:w="545" w:type="pct"/>
          </w:tcPr>
          <w:p w14:paraId="3E44EEAA"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2 058 000</w:t>
            </w:r>
          </w:p>
        </w:tc>
        <w:tc>
          <w:tcPr>
            <w:tcW w:w="544" w:type="pct"/>
          </w:tcPr>
          <w:p w14:paraId="7584D5CF"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2 101 000</w:t>
            </w:r>
          </w:p>
        </w:tc>
        <w:tc>
          <w:tcPr>
            <w:tcW w:w="536" w:type="pct"/>
          </w:tcPr>
          <w:p w14:paraId="040B4F2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2 145 000</w:t>
            </w:r>
          </w:p>
        </w:tc>
      </w:tr>
      <w:tr w:rsidR="00BE3954" w:rsidRPr="006D12E1" w14:paraId="1E039613"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4DF9A482" w14:textId="77777777" w:rsidR="00BE3954" w:rsidRPr="006D12E1" w:rsidRDefault="00BE3954" w:rsidP="007B12C8">
            <w:pPr>
              <w:pStyle w:val="NIVtableau"/>
              <w:rPr>
                <w:lang w:val="de-CH"/>
              </w:rPr>
            </w:pPr>
            <w:r w:rsidRPr="006D12E1">
              <w:rPr>
                <w:lang w:val="de-CH"/>
              </w:rPr>
              <w:t>Total derzeit</w:t>
            </w:r>
          </w:p>
        </w:tc>
        <w:tc>
          <w:tcPr>
            <w:tcW w:w="544" w:type="pct"/>
          </w:tcPr>
          <w:p w14:paraId="7D28FEA4"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17 929 567</w:t>
            </w:r>
          </w:p>
        </w:tc>
        <w:tc>
          <w:tcPr>
            <w:tcW w:w="544" w:type="pct"/>
          </w:tcPr>
          <w:p w14:paraId="28BDDD9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18 372 850</w:t>
            </w:r>
          </w:p>
        </w:tc>
        <w:tc>
          <w:tcPr>
            <w:tcW w:w="545" w:type="pct"/>
          </w:tcPr>
          <w:p w14:paraId="16EB38E3"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17 188 000</w:t>
            </w:r>
          </w:p>
        </w:tc>
        <w:tc>
          <w:tcPr>
            <w:tcW w:w="544" w:type="pct"/>
          </w:tcPr>
          <w:p w14:paraId="58F20B12"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17 620 000</w:t>
            </w:r>
          </w:p>
        </w:tc>
        <w:tc>
          <w:tcPr>
            <w:tcW w:w="544" w:type="pct"/>
          </w:tcPr>
          <w:p w14:paraId="589F8AA1"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17 808 000</w:t>
            </w:r>
          </w:p>
        </w:tc>
        <w:tc>
          <w:tcPr>
            <w:tcW w:w="545" w:type="pct"/>
          </w:tcPr>
          <w:p w14:paraId="7B961B33"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23 568 000</w:t>
            </w:r>
          </w:p>
        </w:tc>
        <w:tc>
          <w:tcPr>
            <w:tcW w:w="544" w:type="pct"/>
          </w:tcPr>
          <w:p w14:paraId="489E7621"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24 218 500</w:t>
            </w:r>
          </w:p>
        </w:tc>
        <w:tc>
          <w:tcPr>
            <w:tcW w:w="536" w:type="pct"/>
          </w:tcPr>
          <w:p w14:paraId="02269A8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24 502 500</w:t>
            </w:r>
          </w:p>
        </w:tc>
      </w:tr>
      <w:tr w:rsidR="00BE3954" w:rsidRPr="006D12E1" w14:paraId="300019CD"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0AA106A3" w14:textId="77777777" w:rsidR="00BE3954" w:rsidRPr="006D12E1" w:rsidRDefault="00BE3954" w:rsidP="007B12C8">
            <w:pPr>
              <w:pStyle w:val="NIVtableau"/>
              <w:rPr>
                <w:lang w:val="de-CH"/>
              </w:rPr>
            </w:pPr>
          </w:p>
        </w:tc>
        <w:tc>
          <w:tcPr>
            <w:tcW w:w="4345" w:type="pct"/>
            <w:gridSpan w:val="8"/>
          </w:tcPr>
          <w:p w14:paraId="5E885A61" w14:textId="77777777" w:rsidR="00BE3954" w:rsidRPr="006D12E1" w:rsidRDefault="00BE3954" w:rsidP="007B12C8">
            <w:pPr>
              <w:pStyle w:val="NIVtableau"/>
              <w:spacing w:before="100" w:after="100"/>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Neue Lastenaufteilung</w:t>
            </w:r>
          </w:p>
        </w:tc>
      </w:tr>
      <w:tr w:rsidR="00BE3954" w:rsidRPr="006D12E1" w14:paraId="35E18022"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0EEA89CB" w14:textId="77777777" w:rsidR="00BE3954" w:rsidRPr="006D12E1" w:rsidRDefault="00BE3954" w:rsidP="007B12C8">
            <w:pPr>
              <w:pStyle w:val="NIVtableau"/>
              <w:rPr>
                <w:lang w:val="de-CH"/>
              </w:rPr>
            </w:pPr>
            <w:r w:rsidRPr="006D12E1">
              <w:rPr>
                <w:lang w:val="de-CH"/>
              </w:rPr>
              <w:t>SHG</w:t>
            </w:r>
          </w:p>
        </w:tc>
        <w:tc>
          <w:tcPr>
            <w:tcW w:w="1088" w:type="pct"/>
            <w:gridSpan w:val="2"/>
            <w:vMerge w:val="restart"/>
          </w:tcPr>
          <w:p w14:paraId="56B4ECB0"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75E901C3"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6 875 000</w:t>
            </w:r>
          </w:p>
        </w:tc>
        <w:tc>
          <w:tcPr>
            <w:tcW w:w="544" w:type="pct"/>
          </w:tcPr>
          <w:p w14:paraId="06F5904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7 077 500</w:t>
            </w:r>
          </w:p>
        </w:tc>
        <w:tc>
          <w:tcPr>
            <w:tcW w:w="544" w:type="pct"/>
          </w:tcPr>
          <w:p w14:paraId="15AC9FC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7 157 500</w:t>
            </w:r>
          </w:p>
        </w:tc>
        <w:tc>
          <w:tcPr>
            <w:tcW w:w="545" w:type="pct"/>
          </w:tcPr>
          <w:p w14:paraId="1A7A60A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27 500 000</w:t>
            </w:r>
          </w:p>
        </w:tc>
        <w:tc>
          <w:tcPr>
            <w:tcW w:w="544" w:type="pct"/>
          </w:tcPr>
          <w:p w14:paraId="63DB75F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28 310 000</w:t>
            </w:r>
          </w:p>
        </w:tc>
        <w:tc>
          <w:tcPr>
            <w:tcW w:w="536" w:type="pct"/>
          </w:tcPr>
          <w:p w14:paraId="754A13A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28 630 000</w:t>
            </w:r>
          </w:p>
        </w:tc>
      </w:tr>
      <w:tr w:rsidR="00BE3954" w:rsidRPr="006D12E1" w14:paraId="5557E85C"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26FD5951" w14:textId="77777777" w:rsidR="00BE3954" w:rsidRPr="006D12E1" w:rsidRDefault="00BE3954" w:rsidP="007B12C8">
            <w:pPr>
              <w:pStyle w:val="NIVtableau"/>
              <w:rPr>
                <w:lang w:val="de-CH"/>
              </w:rPr>
            </w:pPr>
            <w:r w:rsidRPr="006D12E1">
              <w:rPr>
                <w:lang w:val="de-CH"/>
              </w:rPr>
              <w:t>OHG</w:t>
            </w:r>
          </w:p>
        </w:tc>
        <w:tc>
          <w:tcPr>
            <w:tcW w:w="1088" w:type="pct"/>
            <w:gridSpan w:val="2"/>
            <w:vMerge/>
          </w:tcPr>
          <w:p w14:paraId="60583E68"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345F0EA6"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2 292 000</w:t>
            </w:r>
          </w:p>
        </w:tc>
        <w:tc>
          <w:tcPr>
            <w:tcW w:w="544" w:type="pct"/>
          </w:tcPr>
          <w:p w14:paraId="3DC1BB3D"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2 292 000</w:t>
            </w:r>
          </w:p>
        </w:tc>
        <w:tc>
          <w:tcPr>
            <w:tcW w:w="544" w:type="pct"/>
          </w:tcPr>
          <w:p w14:paraId="4C38F132"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2 292 000</w:t>
            </w:r>
          </w:p>
        </w:tc>
        <w:tc>
          <w:tcPr>
            <w:tcW w:w="545" w:type="pct"/>
          </w:tcPr>
          <w:p w14:paraId="3F89E36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0</w:t>
            </w:r>
          </w:p>
        </w:tc>
        <w:tc>
          <w:tcPr>
            <w:tcW w:w="544" w:type="pct"/>
          </w:tcPr>
          <w:p w14:paraId="27E6CBC1"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0</w:t>
            </w:r>
          </w:p>
        </w:tc>
        <w:tc>
          <w:tcPr>
            <w:tcW w:w="536" w:type="pct"/>
          </w:tcPr>
          <w:p w14:paraId="5C2367F4"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0</w:t>
            </w:r>
          </w:p>
        </w:tc>
      </w:tr>
      <w:tr w:rsidR="00BE3954" w:rsidRPr="006D12E1" w14:paraId="66F22B4C"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287A00C4" w14:textId="77777777" w:rsidR="00BE3954" w:rsidRPr="006D12E1" w:rsidRDefault="00BE3954" w:rsidP="007B12C8">
            <w:pPr>
              <w:pStyle w:val="NIVtableau"/>
              <w:rPr>
                <w:lang w:val="de-CH"/>
              </w:rPr>
            </w:pPr>
            <w:r w:rsidRPr="006D12E1">
              <w:rPr>
                <w:lang w:val="de-CH"/>
              </w:rPr>
              <w:t>IHBUG</w:t>
            </w:r>
          </w:p>
        </w:tc>
        <w:tc>
          <w:tcPr>
            <w:tcW w:w="1088" w:type="pct"/>
            <w:gridSpan w:val="2"/>
            <w:vMerge/>
          </w:tcPr>
          <w:p w14:paraId="6B7C35E5"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172C721A"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4 089 000</w:t>
            </w:r>
          </w:p>
        </w:tc>
        <w:tc>
          <w:tcPr>
            <w:tcW w:w="544" w:type="pct"/>
          </w:tcPr>
          <w:p w14:paraId="1F22161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4 159 000</w:t>
            </w:r>
          </w:p>
        </w:tc>
        <w:tc>
          <w:tcPr>
            <w:tcW w:w="544" w:type="pct"/>
          </w:tcPr>
          <w:p w14:paraId="79B6C84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4 231 000</w:t>
            </w:r>
          </w:p>
        </w:tc>
        <w:tc>
          <w:tcPr>
            <w:tcW w:w="545" w:type="pct"/>
          </w:tcPr>
          <w:p w14:paraId="742EF82D"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0</w:t>
            </w:r>
          </w:p>
        </w:tc>
        <w:tc>
          <w:tcPr>
            <w:tcW w:w="544" w:type="pct"/>
          </w:tcPr>
          <w:p w14:paraId="48F3DE31"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0</w:t>
            </w:r>
          </w:p>
        </w:tc>
        <w:tc>
          <w:tcPr>
            <w:tcW w:w="536" w:type="pct"/>
          </w:tcPr>
          <w:p w14:paraId="4E9FE3C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0</w:t>
            </w:r>
          </w:p>
        </w:tc>
      </w:tr>
      <w:tr w:rsidR="00BE3954" w:rsidRPr="006D12E1" w14:paraId="6D2CEB24"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7373F2ED" w14:textId="77777777" w:rsidR="00BE3954" w:rsidRPr="006D12E1" w:rsidRDefault="00BE3954" w:rsidP="007B12C8">
            <w:pPr>
              <w:pStyle w:val="NIVtableau"/>
              <w:rPr>
                <w:lang w:val="de-CH"/>
              </w:rPr>
            </w:pPr>
            <w:r w:rsidRPr="006D12E1">
              <w:rPr>
                <w:lang w:val="de-CH"/>
              </w:rPr>
              <w:t>Total neu</w:t>
            </w:r>
          </w:p>
        </w:tc>
        <w:tc>
          <w:tcPr>
            <w:tcW w:w="1088" w:type="pct"/>
            <w:gridSpan w:val="2"/>
            <w:vMerge/>
          </w:tcPr>
          <w:p w14:paraId="423B52A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78DEA183"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13 256 000</w:t>
            </w:r>
          </w:p>
        </w:tc>
        <w:tc>
          <w:tcPr>
            <w:tcW w:w="544" w:type="pct"/>
          </w:tcPr>
          <w:p w14:paraId="0FE71E6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13 528 500</w:t>
            </w:r>
          </w:p>
        </w:tc>
        <w:tc>
          <w:tcPr>
            <w:tcW w:w="544" w:type="pct"/>
          </w:tcPr>
          <w:p w14:paraId="3086C43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13 680 500</w:t>
            </w:r>
          </w:p>
        </w:tc>
        <w:tc>
          <w:tcPr>
            <w:tcW w:w="545" w:type="pct"/>
          </w:tcPr>
          <w:p w14:paraId="3D22478D"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27 500 000</w:t>
            </w:r>
          </w:p>
        </w:tc>
        <w:tc>
          <w:tcPr>
            <w:tcW w:w="544" w:type="pct"/>
          </w:tcPr>
          <w:p w14:paraId="671FB055"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28 310 000</w:t>
            </w:r>
          </w:p>
        </w:tc>
        <w:tc>
          <w:tcPr>
            <w:tcW w:w="536" w:type="pct"/>
          </w:tcPr>
          <w:p w14:paraId="45BC8AFD"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28 630 000</w:t>
            </w:r>
          </w:p>
        </w:tc>
      </w:tr>
      <w:tr w:rsidR="00BE3954" w:rsidRPr="006D12E1" w14:paraId="564806C4"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6F45BF1C" w14:textId="77777777" w:rsidR="00BE3954" w:rsidRPr="006D12E1" w:rsidRDefault="00BE3954" w:rsidP="007B12C8">
            <w:pPr>
              <w:pStyle w:val="NIVtableau"/>
              <w:rPr>
                <w:lang w:val="de-CH"/>
              </w:rPr>
            </w:pPr>
          </w:p>
        </w:tc>
        <w:tc>
          <w:tcPr>
            <w:tcW w:w="4345" w:type="pct"/>
            <w:gridSpan w:val="8"/>
          </w:tcPr>
          <w:p w14:paraId="61C178E6" w14:textId="77777777" w:rsidR="00BE3954" w:rsidRPr="006D12E1" w:rsidRDefault="00BE3954" w:rsidP="007B12C8">
            <w:pPr>
              <w:pStyle w:val="NIVtableau"/>
              <w:spacing w:before="100" w:after="100"/>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Entlastung (+) / Belastung (–) netto</w:t>
            </w:r>
          </w:p>
        </w:tc>
      </w:tr>
      <w:tr w:rsidR="00BE3954" w:rsidRPr="006D12E1" w14:paraId="010FFDD6"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243866AB" w14:textId="77777777" w:rsidR="00BE3954" w:rsidRPr="006D12E1" w:rsidRDefault="00BE3954" w:rsidP="007B12C8">
            <w:pPr>
              <w:pStyle w:val="NIVtableau"/>
              <w:rPr>
                <w:lang w:val="de-CH"/>
              </w:rPr>
            </w:pPr>
            <w:r w:rsidRPr="006D12E1">
              <w:rPr>
                <w:lang w:val="de-CH"/>
              </w:rPr>
              <w:t>SHG</w:t>
            </w:r>
          </w:p>
        </w:tc>
        <w:tc>
          <w:tcPr>
            <w:tcW w:w="1088" w:type="pct"/>
            <w:gridSpan w:val="2"/>
            <w:vMerge w:val="restart"/>
          </w:tcPr>
          <w:p w14:paraId="22C78351"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5B05820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6 875 000</w:t>
            </w:r>
          </w:p>
        </w:tc>
        <w:tc>
          <w:tcPr>
            <w:tcW w:w="544" w:type="pct"/>
          </w:tcPr>
          <w:p w14:paraId="7D5B45C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7 077 500</w:t>
            </w:r>
          </w:p>
        </w:tc>
        <w:tc>
          <w:tcPr>
            <w:tcW w:w="544" w:type="pct"/>
          </w:tcPr>
          <w:p w14:paraId="3191A6D6"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7 157 500</w:t>
            </w:r>
          </w:p>
        </w:tc>
        <w:tc>
          <w:tcPr>
            <w:tcW w:w="545" w:type="pct"/>
          </w:tcPr>
          <w:p w14:paraId="3BBA1FC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6 875 000</w:t>
            </w:r>
          </w:p>
        </w:tc>
        <w:tc>
          <w:tcPr>
            <w:tcW w:w="544" w:type="pct"/>
          </w:tcPr>
          <w:p w14:paraId="6E630749"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7 077 500</w:t>
            </w:r>
          </w:p>
        </w:tc>
        <w:tc>
          <w:tcPr>
            <w:tcW w:w="536" w:type="pct"/>
          </w:tcPr>
          <w:p w14:paraId="681B7979"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7 157 500</w:t>
            </w:r>
          </w:p>
        </w:tc>
      </w:tr>
      <w:tr w:rsidR="00BE3954" w:rsidRPr="006D12E1" w14:paraId="766FDAA3"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5D89BD47" w14:textId="77777777" w:rsidR="00BE3954" w:rsidRPr="006D12E1" w:rsidRDefault="00BE3954" w:rsidP="007B12C8">
            <w:pPr>
              <w:pStyle w:val="NIVtableau"/>
              <w:rPr>
                <w:lang w:val="de-CH"/>
              </w:rPr>
            </w:pPr>
            <w:r w:rsidRPr="006D12E1">
              <w:rPr>
                <w:lang w:val="de-CH"/>
              </w:rPr>
              <w:t>OHG</w:t>
            </w:r>
          </w:p>
        </w:tc>
        <w:tc>
          <w:tcPr>
            <w:tcW w:w="1088" w:type="pct"/>
            <w:gridSpan w:val="2"/>
            <w:vMerge/>
          </w:tcPr>
          <w:p w14:paraId="082F320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159EDE55"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885 000</w:t>
            </w:r>
          </w:p>
        </w:tc>
        <w:tc>
          <w:tcPr>
            <w:tcW w:w="544" w:type="pct"/>
          </w:tcPr>
          <w:p w14:paraId="0AC427AB"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885 000</w:t>
            </w:r>
          </w:p>
        </w:tc>
        <w:tc>
          <w:tcPr>
            <w:tcW w:w="544" w:type="pct"/>
          </w:tcPr>
          <w:p w14:paraId="223274D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885 000</w:t>
            </w:r>
          </w:p>
        </w:tc>
        <w:tc>
          <w:tcPr>
            <w:tcW w:w="545" w:type="pct"/>
          </w:tcPr>
          <w:p w14:paraId="04B9D612"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885 000</w:t>
            </w:r>
          </w:p>
        </w:tc>
        <w:tc>
          <w:tcPr>
            <w:tcW w:w="544" w:type="pct"/>
          </w:tcPr>
          <w:p w14:paraId="68562237"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885 000</w:t>
            </w:r>
          </w:p>
        </w:tc>
        <w:tc>
          <w:tcPr>
            <w:tcW w:w="536" w:type="pct"/>
          </w:tcPr>
          <w:p w14:paraId="4B6B823A"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885 000</w:t>
            </w:r>
          </w:p>
        </w:tc>
      </w:tr>
      <w:tr w:rsidR="00BE3954" w:rsidRPr="006D12E1" w14:paraId="0B002B8F"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5" w:type="pct"/>
          </w:tcPr>
          <w:p w14:paraId="3C238AD0" w14:textId="77777777" w:rsidR="00BE3954" w:rsidRPr="006D12E1" w:rsidRDefault="00BE3954" w:rsidP="007B12C8">
            <w:pPr>
              <w:pStyle w:val="NIVtableau"/>
              <w:rPr>
                <w:lang w:val="de-CH"/>
              </w:rPr>
            </w:pPr>
            <w:r w:rsidRPr="006D12E1">
              <w:rPr>
                <w:lang w:val="de-CH"/>
              </w:rPr>
              <w:t>LARACE</w:t>
            </w:r>
          </w:p>
        </w:tc>
        <w:tc>
          <w:tcPr>
            <w:tcW w:w="1088" w:type="pct"/>
            <w:gridSpan w:val="2"/>
            <w:vMerge/>
          </w:tcPr>
          <w:p w14:paraId="3A91211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p>
        </w:tc>
        <w:tc>
          <w:tcPr>
            <w:tcW w:w="545" w:type="pct"/>
          </w:tcPr>
          <w:p w14:paraId="6CAFF6F3"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2 058 000</w:t>
            </w:r>
          </w:p>
        </w:tc>
        <w:tc>
          <w:tcPr>
            <w:tcW w:w="544" w:type="pct"/>
          </w:tcPr>
          <w:p w14:paraId="35A1C8EE"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2 101 000</w:t>
            </w:r>
          </w:p>
        </w:tc>
        <w:tc>
          <w:tcPr>
            <w:tcW w:w="544" w:type="pct"/>
          </w:tcPr>
          <w:p w14:paraId="1AA627A8"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Pr>
                <w:lang w:val="de-CH"/>
              </w:rPr>
              <w:t>– </w:t>
            </w:r>
            <w:r w:rsidRPr="006D12E1">
              <w:rPr>
                <w:lang w:val="de-CH"/>
              </w:rPr>
              <w:t>2 145 000</w:t>
            </w:r>
          </w:p>
        </w:tc>
        <w:tc>
          <w:tcPr>
            <w:tcW w:w="545" w:type="pct"/>
          </w:tcPr>
          <w:p w14:paraId="734C1FA9"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2 058 000</w:t>
            </w:r>
          </w:p>
        </w:tc>
        <w:tc>
          <w:tcPr>
            <w:tcW w:w="544" w:type="pct"/>
          </w:tcPr>
          <w:p w14:paraId="4A67891C"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2 101 000</w:t>
            </w:r>
          </w:p>
        </w:tc>
        <w:tc>
          <w:tcPr>
            <w:tcW w:w="536" w:type="pct"/>
          </w:tcPr>
          <w:p w14:paraId="0103D49D" w14:textId="77777777" w:rsidR="00BE3954" w:rsidRPr="006D12E1" w:rsidRDefault="00BE3954"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2 145 000</w:t>
            </w:r>
          </w:p>
        </w:tc>
      </w:tr>
      <w:tr w:rsidR="00BE3954" w:rsidRPr="006D12E1" w14:paraId="651BDF82"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655" w:type="pct"/>
          </w:tcPr>
          <w:p w14:paraId="2093B9FC" w14:textId="77777777" w:rsidR="00BE3954" w:rsidRPr="006D12E1" w:rsidRDefault="00BE3954" w:rsidP="007B12C8">
            <w:pPr>
              <w:pStyle w:val="NIVtableau"/>
              <w:rPr>
                <w:lang w:val="de-CH"/>
              </w:rPr>
            </w:pPr>
            <w:r w:rsidRPr="006D12E1">
              <w:rPr>
                <w:lang w:val="de-CH"/>
              </w:rPr>
              <w:t>Total</w:t>
            </w:r>
          </w:p>
        </w:tc>
        <w:tc>
          <w:tcPr>
            <w:tcW w:w="1088" w:type="pct"/>
            <w:gridSpan w:val="2"/>
            <w:vMerge/>
          </w:tcPr>
          <w:p w14:paraId="5E52BDE4" w14:textId="7777777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b w:val="0"/>
                <w:bCs w:val="0"/>
                <w:lang w:val="de-CH"/>
              </w:rPr>
            </w:pPr>
          </w:p>
        </w:tc>
        <w:tc>
          <w:tcPr>
            <w:tcW w:w="545" w:type="pct"/>
          </w:tcPr>
          <w:p w14:paraId="274BC502" w14:textId="7777777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6D12E1">
              <w:rPr>
                <w:lang w:val="de-CH"/>
              </w:rPr>
              <w:t>3 932 000</w:t>
            </w:r>
          </w:p>
        </w:tc>
        <w:tc>
          <w:tcPr>
            <w:tcW w:w="544" w:type="pct"/>
          </w:tcPr>
          <w:p w14:paraId="20D1B28C" w14:textId="7777777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6D12E1">
              <w:rPr>
                <w:lang w:val="de-CH"/>
              </w:rPr>
              <w:t>4 091 500</w:t>
            </w:r>
          </w:p>
        </w:tc>
        <w:tc>
          <w:tcPr>
            <w:tcW w:w="544" w:type="pct"/>
          </w:tcPr>
          <w:p w14:paraId="27BB7004" w14:textId="7777777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6D12E1">
              <w:rPr>
                <w:lang w:val="de-CH"/>
              </w:rPr>
              <w:t>4 127 500</w:t>
            </w:r>
          </w:p>
        </w:tc>
        <w:tc>
          <w:tcPr>
            <w:tcW w:w="545" w:type="pct"/>
          </w:tcPr>
          <w:p w14:paraId="5CC5040C" w14:textId="06703C3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Pr>
                <w:lang w:val="de-CH"/>
              </w:rPr>
              <w:t>– </w:t>
            </w:r>
            <w:r w:rsidRPr="006D12E1">
              <w:rPr>
                <w:lang w:val="de-CH"/>
              </w:rPr>
              <w:t>3</w:t>
            </w:r>
            <w:r w:rsidR="00630175">
              <w:rPr>
                <w:lang w:val="de-CH"/>
              </w:rPr>
              <w:t> </w:t>
            </w:r>
            <w:r w:rsidRPr="006D12E1">
              <w:rPr>
                <w:lang w:val="de-CH"/>
              </w:rPr>
              <w:t>9</w:t>
            </w:r>
            <w:r w:rsidR="00DD1A16">
              <w:rPr>
                <w:lang w:val="de-CH"/>
              </w:rPr>
              <w:t>3</w:t>
            </w:r>
            <w:r w:rsidRPr="006D12E1">
              <w:rPr>
                <w:lang w:val="de-CH"/>
              </w:rPr>
              <w:t>2 000</w:t>
            </w:r>
          </w:p>
        </w:tc>
        <w:tc>
          <w:tcPr>
            <w:tcW w:w="544" w:type="pct"/>
          </w:tcPr>
          <w:p w14:paraId="0D391BDA" w14:textId="7777777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Pr>
                <w:lang w:val="de-CH"/>
              </w:rPr>
              <w:t>– </w:t>
            </w:r>
            <w:r w:rsidRPr="006D12E1">
              <w:rPr>
                <w:lang w:val="de-CH"/>
              </w:rPr>
              <w:t>4 091 500</w:t>
            </w:r>
          </w:p>
        </w:tc>
        <w:tc>
          <w:tcPr>
            <w:tcW w:w="536" w:type="pct"/>
          </w:tcPr>
          <w:p w14:paraId="62EE255A" w14:textId="77777777" w:rsidR="00BE3954" w:rsidRPr="006D12E1" w:rsidRDefault="00BE3954"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Pr>
                <w:lang w:val="de-CH"/>
              </w:rPr>
              <w:t>– </w:t>
            </w:r>
            <w:r w:rsidRPr="006D12E1">
              <w:rPr>
                <w:lang w:val="de-CH"/>
              </w:rPr>
              <w:t>4 127 500</w:t>
            </w:r>
          </w:p>
        </w:tc>
      </w:tr>
    </w:tbl>
    <w:p w14:paraId="795A7B0E" w14:textId="05ED41CA" w:rsidR="00BE3954" w:rsidRPr="006D12E1" w:rsidRDefault="00BE3954" w:rsidP="00BE3954">
      <w:pPr>
        <w:pStyle w:val="Titre3"/>
        <w:rPr>
          <w:lang w:val="de-CH"/>
        </w:rPr>
      </w:pPr>
      <w:bookmarkStart w:id="86" w:name="_Toc195000903"/>
      <w:bookmarkStart w:id="87" w:name="_Toc196226244"/>
      <w:r w:rsidRPr="006D12E1">
        <w:rPr>
          <w:rFonts w:ascii="Arial" w:eastAsia="Times New Roman" w:hAnsi="Arial" w:cs="Times New Roman"/>
          <w:lang w:val="de-CH"/>
        </w:rPr>
        <w:t>Kommentar der einzelnen Artikel</w:t>
      </w:r>
      <w:bookmarkEnd w:id="86"/>
      <w:bookmarkEnd w:id="87"/>
    </w:p>
    <w:p w14:paraId="1F2FB974" w14:textId="77777777" w:rsidR="00BE3954" w:rsidRPr="006D12E1" w:rsidRDefault="00BE3954" w:rsidP="00BE3954">
      <w:pPr>
        <w:pStyle w:val="TitreArticleloi"/>
      </w:pPr>
      <w:r w:rsidRPr="006D12E1">
        <w:t>Art. 9 Abs. 2</w:t>
      </w:r>
    </w:p>
    <w:p w14:paraId="04EA6A3D" w14:textId="77777777" w:rsidR="00BE3954" w:rsidRPr="006D12E1" w:rsidRDefault="00BE3954" w:rsidP="00BE3954">
      <w:pPr>
        <w:rPr>
          <w:lang w:val="de-CH"/>
        </w:rPr>
      </w:pPr>
      <w:r w:rsidRPr="006D12E1">
        <w:rPr>
          <w:lang w:val="de-CH"/>
        </w:rPr>
        <w:t>Die Kostenbeteiligung der Gemeinden wird aufgehoben. Der Staat übernimmt die vollständige Finanzierung in diesem Bereich.</w:t>
      </w:r>
    </w:p>
    <w:p w14:paraId="2FFA6A7F" w14:textId="024A8D4D" w:rsidR="00BE3954" w:rsidRPr="006D12E1" w:rsidRDefault="00BE3954" w:rsidP="00BE3954">
      <w:pPr>
        <w:pStyle w:val="Titre2"/>
        <w:rPr>
          <w:lang w:val="de-CH"/>
        </w:rPr>
      </w:pPr>
      <w:bookmarkStart w:id="88" w:name="_Toc195000904"/>
      <w:bookmarkStart w:id="89" w:name="_Toc196226245"/>
      <w:r w:rsidRPr="006D12E1">
        <w:rPr>
          <w:lang w:val="de-CH"/>
        </w:rPr>
        <w:t>Änderung des Gesetzes über den interkommunalen Finanzausgleich (IFAG)</w:t>
      </w:r>
      <w:bookmarkEnd w:id="88"/>
      <w:bookmarkEnd w:id="89"/>
    </w:p>
    <w:p w14:paraId="34D456CA" w14:textId="48A504CF" w:rsidR="00BE3954" w:rsidRPr="006D12E1" w:rsidRDefault="00BE3954" w:rsidP="00BE3954">
      <w:pPr>
        <w:pStyle w:val="Titre3"/>
        <w:rPr>
          <w:lang w:val="de-DE"/>
        </w:rPr>
      </w:pPr>
      <w:bookmarkStart w:id="90" w:name="_Toc195000905"/>
      <w:bookmarkStart w:id="91" w:name="_Toc196226246"/>
      <w:r w:rsidRPr="006D12E1">
        <w:rPr>
          <w:lang w:val="de-DE"/>
        </w:rPr>
        <w:t>Allgemeines</w:t>
      </w:r>
      <w:bookmarkEnd w:id="90"/>
      <w:bookmarkEnd w:id="91"/>
    </w:p>
    <w:p w14:paraId="51125641" w14:textId="77777777" w:rsidR="00BE3954" w:rsidRPr="006D12E1" w:rsidRDefault="00BE3954" w:rsidP="00BE3954">
      <w:pPr>
        <w:rPr>
          <w:b/>
          <w:bCs/>
          <w:lang w:val="de-CH"/>
        </w:rPr>
      </w:pPr>
      <w:r w:rsidRPr="006D12E1">
        <w:rPr>
          <w:lang w:val="de-CH"/>
        </w:rPr>
        <w:t>&gt;</w:t>
      </w:r>
      <w:r w:rsidRPr="006D12E1">
        <w:rPr>
          <w:lang w:val="de-CH"/>
        </w:rPr>
        <w:tab/>
      </w:r>
      <w:r w:rsidRPr="006D12E1">
        <w:rPr>
          <w:b/>
          <w:bCs/>
          <w:lang w:val="de-CH"/>
        </w:rPr>
        <w:t>Plafonierung des interkommunalen Bedarfsausgleichs auf dem Niveau von 2025</w:t>
      </w:r>
    </w:p>
    <w:p w14:paraId="4783D168" w14:textId="77777777" w:rsidR="00BE3954" w:rsidRPr="006D12E1" w:rsidRDefault="00BE3954" w:rsidP="00BE3954">
      <w:pPr>
        <w:pStyle w:val="Corpsdetexte"/>
        <w:rPr>
          <w:lang w:val="de-CH"/>
        </w:rPr>
      </w:pPr>
      <w:r w:rsidRPr="006D12E1">
        <w:rPr>
          <w:lang w:val="de-CH"/>
        </w:rPr>
        <w:t>Artikel 14 des Gesetzes über den interkommunalen Finanzausgleich (IFAG; SGF 142.1) sieht vor, dass die jährlich als Bedarfsausgleich unter den Gemeinden zu verteilende Summe 50 % der jährlich als Ressourcenausgleich aufgebrachten Summe entspricht (diese selbst entspricht 2,5 % des Steuerpotenzials der Gesamtheit der Gemeinden, Art. 6 Abs. 1 IFAG). Im Rahmen des Programms zur Sanierung der Kantonsfinanzen wird jedoch vorgeschlagen, diese Summe, die vollständig vom Staat finanziert wird, auf dem Niveau von 2025 zu plafonieren, d. h. auf 17,2 Millionen Franken.</w:t>
      </w:r>
    </w:p>
    <w:p w14:paraId="27055BCC" w14:textId="77777777" w:rsidR="00BE3954" w:rsidRPr="006D12E1" w:rsidRDefault="00BE3954" w:rsidP="00BE3954">
      <w:pPr>
        <w:pStyle w:val="Corpsdetexte"/>
        <w:rPr>
          <w:lang w:val="de-CH"/>
        </w:rPr>
      </w:pPr>
      <w:r w:rsidRPr="006D12E1">
        <w:rPr>
          <w:lang w:val="de-CH"/>
        </w:rPr>
        <w:t xml:space="preserve">Der Finanzplan des Staates rechnete mit einem Anstieg des interkommunalen Bedarfsausgleich für die Jahre 2026, 2027 und 2028. Mit der vorübergehenden Plafonierung könnten die Ausgaben in diesem Zeitraum stabilisiert werden. </w:t>
      </w:r>
    </w:p>
    <w:p w14:paraId="139F72DC" w14:textId="77777777" w:rsidR="00BE3954" w:rsidRPr="006D12E1" w:rsidRDefault="00BE3954" w:rsidP="00BE3954">
      <w:pPr>
        <w:pStyle w:val="Corpsdetexte"/>
        <w:rPr>
          <w:lang w:val="de-CH"/>
        </w:rPr>
      </w:pPr>
      <w:r w:rsidRPr="006D12E1">
        <w:rPr>
          <w:lang w:val="de-CH"/>
        </w:rPr>
        <w:t xml:space="preserve">Dies entspricht gleichzeitig einem allgemeinen Einnahmenausfall für alle Gemeinden in den Jahren 2027 und 2028. Ab 2029 gilt erneut das ordentliche System nach Artikel 14. Der Ressourcenausgleich ist von dieser Massnahme nicht betroffen. </w:t>
      </w:r>
    </w:p>
    <w:p w14:paraId="67061BEA" w14:textId="3C1A3807" w:rsidR="00BE3954" w:rsidRPr="006D12E1" w:rsidRDefault="00BE3954" w:rsidP="00BE3954">
      <w:pPr>
        <w:pStyle w:val="Titre3"/>
        <w:rPr>
          <w:lang w:val="de-CH"/>
        </w:rPr>
      </w:pPr>
      <w:bookmarkStart w:id="92" w:name="_Toc195000906"/>
      <w:bookmarkStart w:id="93" w:name="_Toc196226247"/>
      <w:r w:rsidRPr="006D12E1">
        <w:rPr>
          <w:rFonts w:ascii="Arial" w:eastAsia="Times New Roman" w:hAnsi="Arial" w:cs="Times New Roman"/>
          <w:lang w:val="de-CH"/>
        </w:rPr>
        <w:lastRenderedPageBreak/>
        <w:t>Kommentar der einzelnen Artikel</w:t>
      </w:r>
      <w:bookmarkEnd w:id="92"/>
      <w:bookmarkEnd w:id="93"/>
    </w:p>
    <w:p w14:paraId="7069D079" w14:textId="77777777" w:rsidR="00BE3954" w:rsidRPr="003C70C9" w:rsidRDefault="00BE3954" w:rsidP="00BE3954">
      <w:pPr>
        <w:pStyle w:val="TitreArticleloi"/>
        <w:rPr>
          <w:lang w:val="de-CH"/>
        </w:rPr>
      </w:pPr>
      <w:r w:rsidRPr="003C70C9">
        <w:rPr>
          <w:lang w:val="de-CH"/>
        </w:rPr>
        <w:t>Art 20a</w:t>
      </w:r>
    </w:p>
    <w:p w14:paraId="266FA473" w14:textId="77777777" w:rsidR="00BE3954" w:rsidRPr="006D12E1" w:rsidRDefault="00BE3954" w:rsidP="00BE3954">
      <w:pPr>
        <w:rPr>
          <w:lang w:val="de-CH"/>
        </w:rPr>
      </w:pPr>
      <w:r w:rsidRPr="006D12E1">
        <w:rPr>
          <w:lang w:val="de-CH"/>
        </w:rPr>
        <w:t>Der Artikel setzt die Obergrenze von 17,2 Millionen Franken für die Jahre 2026, 2027 und 2028 fest.</w:t>
      </w:r>
    </w:p>
    <w:p w14:paraId="2404983C" w14:textId="1E2415CE" w:rsidR="00BE3954" w:rsidRPr="006D12E1" w:rsidRDefault="007C5967" w:rsidP="00BE3954">
      <w:pPr>
        <w:pStyle w:val="Titre2"/>
        <w:rPr>
          <w:lang w:val="de-CH"/>
        </w:rPr>
      </w:pPr>
      <w:bookmarkStart w:id="94" w:name="_Toc195000907"/>
      <w:bookmarkStart w:id="95" w:name="_Toc196226248"/>
      <w:r>
        <w:rPr>
          <w:lang w:val="de-CH"/>
        </w:rPr>
        <w:t xml:space="preserve">Änderung des </w:t>
      </w:r>
      <w:r w:rsidR="00BE3954" w:rsidRPr="006D12E1">
        <w:rPr>
          <w:lang w:val="de-CH"/>
        </w:rPr>
        <w:t>Gesetz</w:t>
      </w:r>
      <w:r>
        <w:rPr>
          <w:lang w:val="de-CH"/>
        </w:rPr>
        <w:t>es</w:t>
      </w:r>
      <w:r w:rsidR="00BE3954" w:rsidRPr="006D12E1">
        <w:rPr>
          <w:lang w:val="de-CH"/>
        </w:rPr>
        <w:t xml:space="preserve"> über die Inkassohilfe und Bevorschussung von Unterhaltsbeiträgen (IHBUG)</w:t>
      </w:r>
      <w:bookmarkEnd w:id="94"/>
      <w:bookmarkEnd w:id="95"/>
    </w:p>
    <w:p w14:paraId="5F510213" w14:textId="01632B59" w:rsidR="00BE3954" w:rsidRPr="006D12E1" w:rsidRDefault="00BE3954" w:rsidP="00BE3954">
      <w:pPr>
        <w:pStyle w:val="Titre3"/>
        <w:rPr>
          <w:lang w:val="de-CH"/>
        </w:rPr>
      </w:pPr>
      <w:bookmarkStart w:id="96" w:name="_Toc195000908"/>
      <w:bookmarkStart w:id="97" w:name="_Toc196226249"/>
      <w:r w:rsidRPr="006D12E1">
        <w:rPr>
          <w:lang w:val="de-CH"/>
        </w:rPr>
        <w:t>Allgemeines</w:t>
      </w:r>
      <w:bookmarkEnd w:id="96"/>
      <w:bookmarkEnd w:id="97"/>
    </w:p>
    <w:p w14:paraId="41C9694B" w14:textId="77777777" w:rsidR="00BE3954" w:rsidRPr="006D12E1" w:rsidRDefault="00BE3954" w:rsidP="00BE3954">
      <w:pPr>
        <w:rPr>
          <w:lang w:val="de-CH"/>
        </w:rPr>
      </w:pPr>
      <w:bookmarkStart w:id="98" w:name="_Hlk194644616"/>
      <w:r w:rsidRPr="006D12E1">
        <w:rPr>
          <w:lang w:val="de-CH"/>
        </w:rPr>
        <w:t xml:space="preserve">Diese Änderung steht in Zusammenhang mit der Änderung des AGOHG und des SHG. Erläuterungen dazu sind in Kapitel </w:t>
      </w:r>
      <w:r w:rsidRPr="003C70C9">
        <w:rPr>
          <w:lang w:val="de-CH"/>
        </w:rPr>
        <w:t xml:space="preserve">6.5.1 </w:t>
      </w:r>
      <w:r w:rsidRPr="006D12E1">
        <w:rPr>
          <w:lang w:val="de-CH"/>
        </w:rPr>
        <w:t xml:space="preserve">zu finden. </w:t>
      </w:r>
    </w:p>
    <w:p w14:paraId="66D94CA4" w14:textId="1388DD32" w:rsidR="00BE3954" w:rsidRPr="006D12E1" w:rsidRDefault="00BE3954" w:rsidP="00BE3954">
      <w:pPr>
        <w:pStyle w:val="Titre3"/>
        <w:rPr>
          <w:lang w:val="de-CH"/>
        </w:rPr>
      </w:pPr>
      <w:bookmarkStart w:id="99" w:name="_Toc195000909"/>
      <w:bookmarkStart w:id="100" w:name="_Toc196226250"/>
      <w:bookmarkEnd w:id="98"/>
      <w:r w:rsidRPr="006D12E1">
        <w:rPr>
          <w:lang w:val="de-CH"/>
        </w:rPr>
        <w:t>Detaillierte finanzielle Schätzungen</w:t>
      </w:r>
      <w:bookmarkEnd w:id="99"/>
      <w:bookmarkEnd w:id="100"/>
    </w:p>
    <w:p w14:paraId="395E2D15" w14:textId="77777777" w:rsidR="00BE3954" w:rsidRPr="006D12E1" w:rsidRDefault="00BE3954" w:rsidP="00BE3954">
      <w:pPr>
        <w:pStyle w:val="Corpsdetexte"/>
        <w:rPr>
          <w:lang w:val="de-CH"/>
        </w:rPr>
      </w:pPr>
      <w:bookmarkStart w:id="101" w:name="_Hlk194645008"/>
      <w:r w:rsidRPr="006D12E1">
        <w:rPr>
          <w:lang w:val="de-CH"/>
        </w:rPr>
        <w:t>Diese Änderung steht in Zusammenhang mit der Änderung des AGOHG und des SHG. Detaillierte finanzielle Schätzungen sind in Kapitel 6.5.2 zu finden.</w:t>
      </w:r>
    </w:p>
    <w:p w14:paraId="6CF461FB" w14:textId="5CB54542" w:rsidR="00BE3954" w:rsidRPr="003C70C9" w:rsidRDefault="00BE3954" w:rsidP="00BE3954">
      <w:pPr>
        <w:pStyle w:val="Titre3"/>
        <w:rPr>
          <w:lang w:val="de-CH"/>
        </w:rPr>
      </w:pPr>
      <w:bookmarkStart w:id="102" w:name="_Toc195000910"/>
      <w:bookmarkStart w:id="103" w:name="_Toc196226251"/>
      <w:bookmarkEnd w:id="101"/>
      <w:r w:rsidRPr="006D12E1">
        <w:rPr>
          <w:rFonts w:ascii="Arial" w:eastAsia="Times New Roman" w:hAnsi="Arial" w:cs="Times New Roman"/>
          <w:lang w:val="de-CH"/>
        </w:rPr>
        <w:t>Kommentar der einzelnen Artikel</w:t>
      </w:r>
      <w:bookmarkEnd w:id="102"/>
      <w:bookmarkEnd w:id="103"/>
    </w:p>
    <w:p w14:paraId="765FD4D7" w14:textId="77777777" w:rsidR="00BE3954" w:rsidRPr="003C70C9" w:rsidRDefault="00BE3954" w:rsidP="00BE3954">
      <w:pPr>
        <w:pStyle w:val="TitreArticleloi"/>
        <w:rPr>
          <w:lang w:val="de-CH"/>
        </w:rPr>
      </w:pPr>
      <w:r w:rsidRPr="003C70C9">
        <w:rPr>
          <w:lang w:val="de-CH"/>
        </w:rPr>
        <w:t>Art. 21 Abs. 1</w:t>
      </w:r>
    </w:p>
    <w:p w14:paraId="55752348" w14:textId="77777777" w:rsidR="00BE3954" w:rsidRPr="006D12E1" w:rsidRDefault="00BE3954" w:rsidP="00BE3954">
      <w:pPr>
        <w:rPr>
          <w:lang w:val="de-CH"/>
        </w:rPr>
      </w:pPr>
      <w:r w:rsidRPr="006D12E1">
        <w:rPr>
          <w:lang w:val="de-CH"/>
        </w:rPr>
        <w:t>Die Kostenbeteiligung der Gemeinden wird aufgehoben. Der Staat übernimmt die vollständige Finanzierung in diesem Bereich.</w:t>
      </w:r>
    </w:p>
    <w:p w14:paraId="09D75FA5" w14:textId="55612053" w:rsidR="00BE3954" w:rsidRPr="006D12E1" w:rsidRDefault="00BE3954" w:rsidP="00BE3954">
      <w:pPr>
        <w:pStyle w:val="Titre2"/>
        <w:rPr>
          <w:lang w:val="de-CH"/>
        </w:rPr>
      </w:pPr>
      <w:bookmarkStart w:id="104" w:name="_Toc195000911"/>
      <w:bookmarkStart w:id="105" w:name="_Toc196226252"/>
      <w:r w:rsidRPr="006D12E1">
        <w:rPr>
          <w:lang w:val="de-CH"/>
        </w:rPr>
        <w:t>Änderung des Gesetzes über Beiträge an Schulbauten für den Kindergarten, die Primarschule und die Orientierungsschule</w:t>
      </w:r>
      <w:bookmarkEnd w:id="104"/>
      <w:bookmarkEnd w:id="105"/>
    </w:p>
    <w:p w14:paraId="267CF24B" w14:textId="3034DBA5" w:rsidR="00BE3954" w:rsidRPr="006D12E1" w:rsidRDefault="00BE3954" w:rsidP="00BE3954">
      <w:pPr>
        <w:pStyle w:val="Titre3"/>
        <w:rPr>
          <w:lang w:val="de-CH"/>
        </w:rPr>
      </w:pPr>
      <w:bookmarkStart w:id="106" w:name="_Toc195000912"/>
      <w:bookmarkStart w:id="107" w:name="_Toc196226253"/>
      <w:r w:rsidRPr="006D12E1">
        <w:rPr>
          <w:lang w:val="de-CH"/>
        </w:rPr>
        <w:t>Allgemeines</w:t>
      </w:r>
      <w:bookmarkEnd w:id="106"/>
      <w:bookmarkEnd w:id="107"/>
    </w:p>
    <w:p w14:paraId="2267E750" w14:textId="77777777" w:rsidR="00BE3954" w:rsidRPr="006D12E1" w:rsidRDefault="00BE3954" w:rsidP="00BE3954">
      <w:pPr>
        <w:pStyle w:val="Corpsdetexte"/>
        <w:rPr>
          <w:b/>
          <w:bCs/>
          <w:lang w:val="de-CH"/>
        </w:rPr>
      </w:pPr>
      <w:r w:rsidRPr="003C70C9">
        <w:rPr>
          <w:lang w:val="de-CH"/>
        </w:rPr>
        <w:t>&gt;</w:t>
      </w:r>
      <w:r w:rsidRPr="003C70C9">
        <w:rPr>
          <w:lang w:val="de-CH"/>
        </w:rPr>
        <w:tab/>
      </w:r>
      <w:r w:rsidRPr="006D12E1">
        <w:rPr>
          <w:b/>
          <w:bCs/>
          <w:lang w:val="de-CH"/>
        </w:rPr>
        <w:t>Neubeurteilung der Beiträge an Schulbauten</w:t>
      </w:r>
    </w:p>
    <w:p w14:paraId="0721A728" w14:textId="77777777" w:rsidR="00BE3954" w:rsidRPr="006D12E1" w:rsidRDefault="00BE3954" w:rsidP="00BE3954">
      <w:pPr>
        <w:rPr>
          <w:lang w:val="de-CH"/>
        </w:rPr>
      </w:pPr>
      <w:r w:rsidRPr="006D12E1">
        <w:rPr>
          <w:lang w:val="de-CH"/>
        </w:rPr>
        <w:t xml:space="preserve">Nach den Artikeln 12 und 13 des Gesetzes subventioniert der Staat den Schulbau mit 16,8 % des beitragsberechtigten Betrags pro m² für Kindergärten, Primarschulen und Sporthallen. Für Orientierungsschulen beträgt die Subvention 45 % des beitragsberechtigten Betrags. In der Praxis entsprechen diese Pauschalsätze einer effektiven Subventionierung von 2,89 % bis 6,30 % der endgültigen Baukosten für Primarschulen und etwa 12 % für Orientierungsschulen. </w:t>
      </w:r>
    </w:p>
    <w:p w14:paraId="31165AC3" w14:textId="77777777" w:rsidR="00BE3954" w:rsidRPr="006D12E1" w:rsidRDefault="00BE3954" w:rsidP="00BE3954">
      <w:pPr>
        <w:rPr>
          <w:lang w:val="de-CH"/>
        </w:rPr>
      </w:pPr>
      <w:r w:rsidRPr="006D12E1">
        <w:rPr>
          <w:lang w:val="de-CH"/>
        </w:rPr>
        <w:t>Angesichts des geringen effektiven Subventionssatzes sowie des hohen Personalaufwands für die Bearbeitung dieser Anträge wird vorgeschlagen, die Subventionierung für Primarschulbauten abzuschaffen. Dies bedeutete auch das Ende der Subventionierung von Kindergärten und ausserschulischen Betreuungseinrichtungen, da diese in der Regel in die Primarschulbauten integriert sind. Die ausserschulische Betreuung an Orientierungsschulen wäre ebenfalls betroffen.</w:t>
      </w:r>
    </w:p>
    <w:p w14:paraId="41A4AB47" w14:textId="77777777" w:rsidR="00BE3954" w:rsidRPr="006D12E1" w:rsidRDefault="00BE3954" w:rsidP="00BE3954">
      <w:pPr>
        <w:rPr>
          <w:lang w:val="de-CH"/>
        </w:rPr>
      </w:pPr>
      <w:r w:rsidRPr="006D12E1">
        <w:rPr>
          <w:lang w:val="de-CH"/>
        </w:rPr>
        <w:t>Die Einsparungen durch diese Massnahme werden auf rund 5 Millionen Franken pro Jahr geschätzt. Allerdings wird die Wirkung nicht sofort eintreten. So unterstehen Projekte für ausserschulische Betreuungseinrichtungen, Kindergärten und Primarschulen, deren Raumprogramm zum Zeitpunkt des Inkrafttretens der Gesetzesänderung Gegenstand einer Genehmigung nach Artikel 15 des Gesetzes sind, gemäss der vorgeschlagenen Übergangsbestimmung in Artikel 25 Abs. 1 weiterhin dem alten Recht und können somit noch subventioniert werden. Die finanziellen Auswirkungen dieser Massnahme werden daher schrittweise und langfristig spürbar werden. Im Hinblick auf die Sanierung der Staatsfinanzen ist eine Gesetzesanpassung jedoch bereits jetzt notwendig.</w:t>
      </w:r>
    </w:p>
    <w:p w14:paraId="654BA4B9" w14:textId="512475B6" w:rsidR="00BE3954" w:rsidRPr="006D12E1" w:rsidRDefault="00BE3954" w:rsidP="00BE3954">
      <w:pPr>
        <w:pStyle w:val="Titre3"/>
        <w:rPr>
          <w:lang w:val="de-CH"/>
        </w:rPr>
      </w:pPr>
      <w:bookmarkStart w:id="108" w:name="_Toc195000913"/>
      <w:bookmarkStart w:id="109" w:name="_Toc196226254"/>
      <w:r w:rsidRPr="006D12E1">
        <w:rPr>
          <w:rFonts w:ascii="Arial" w:eastAsia="Times New Roman" w:hAnsi="Arial" w:cs="Times New Roman"/>
          <w:lang w:val="de-CH"/>
        </w:rPr>
        <w:t>Kommentar der einzelnen Artikel</w:t>
      </w:r>
      <w:bookmarkEnd w:id="108"/>
      <w:bookmarkEnd w:id="109"/>
    </w:p>
    <w:p w14:paraId="21FB368F" w14:textId="77777777" w:rsidR="00BE3954" w:rsidRPr="006D12E1" w:rsidRDefault="00BE3954" w:rsidP="00BE3954">
      <w:pPr>
        <w:rPr>
          <w:lang w:val="de-CH"/>
        </w:rPr>
      </w:pPr>
      <w:r w:rsidRPr="006D12E1">
        <w:rPr>
          <w:lang w:val="de-CH"/>
        </w:rPr>
        <w:t>Die vorgeschlagenen Änderungen zielen alle darauf ab, den zuvor beschriebenen allgemeinen Grundsatz der Abschaffung der Subventionierung von Primarschulen umzusetzen. Mit Ausnahme von Artikel 25 erfordern sie keine besonderen Kommentare.</w:t>
      </w:r>
    </w:p>
    <w:p w14:paraId="3D68CE43" w14:textId="77777777" w:rsidR="00BE3954" w:rsidRPr="006D12E1" w:rsidRDefault="00BE3954" w:rsidP="00BE3954">
      <w:pPr>
        <w:pStyle w:val="TitreArticleloi"/>
        <w:rPr>
          <w:lang w:val="de-CH"/>
        </w:rPr>
      </w:pPr>
      <w:r w:rsidRPr="006D12E1">
        <w:rPr>
          <w:lang w:val="de-CH"/>
        </w:rPr>
        <w:t>Art. 25</w:t>
      </w:r>
    </w:p>
    <w:p w14:paraId="78BDB0A9" w14:textId="77777777" w:rsidR="00BE3954" w:rsidRPr="006D12E1" w:rsidRDefault="00BE3954" w:rsidP="00BE3954">
      <w:pPr>
        <w:rPr>
          <w:lang w:val="de-CH"/>
        </w:rPr>
      </w:pPr>
      <w:r w:rsidRPr="006D12E1">
        <w:rPr>
          <w:lang w:val="de-CH"/>
        </w:rPr>
        <w:t>Nach dieser Übergangsbestimmung können die vor dem 31. Dezember 2025 im Sinne von Artikel 15 bereits genehmigten Projekte weiter unterstützt werden.</w:t>
      </w:r>
    </w:p>
    <w:p w14:paraId="202F38CF" w14:textId="36C3B38D" w:rsidR="00BE3954" w:rsidRPr="006D12E1" w:rsidRDefault="00BE3954" w:rsidP="00BE3954">
      <w:pPr>
        <w:pStyle w:val="Titre2"/>
        <w:rPr>
          <w:lang w:val="de-CH"/>
        </w:rPr>
      </w:pPr>
      <w:bookmarkStart w:id="110" w:name="_Toc195000914"/>
      <w:bookmarkStart w:id="111" w:name="_Toc196226255"/>
      <w:r w:rsidRPr="006D12E1">
        <w:rPr>
          <w:lang w:val="de-CH"/>
        </w:rPr>
        <w:lastRenderedPageBreak/>
        <w:t>Änderung des Gesetzes über die direkten Kantonssteuern (DStG)</w:t>
      </w:r>
      <w:bookmarkEnd w:id="110"/>
      <w:bookmarkEnd w:id="111"/>
    </w:p>
    <w:p w14:paraId="4EA328F3" w14:textId="4E307674" w:rsidR="00BE3954" w:rsidRPr="006D12E1" w:rsidRDefault="00BE3954" w:rsidP="00BE3954">
      <w:pPr>
        <w:pStyle w:val="Titre3"/>
        <w:rPr>
          <w:lang w:val="de-CH"/>
        </w:rPr>
      </w:pPr>
      <w:bookmarkStart w:id="112" w:name="_Toc195000915"/>
      <w:bookmarkStart w:id="113" w:name="_Toc196226256"/>
      <w:r w:rsidRPr="006D12E1">
        <w:rPr>
          <w:lang w:val="de-CH"/>
        </w:rPr>
        <w:t>Allgemeines</w:t>
      </w:r>
      <w:bookmarkEnd w:id="112"/>
      <w:bookmarkEnd w:id="113"/>
    </w:p>
    <w:p w14:paraId="6466E49E" w14:textId="77777777" w:rsidR="00BE3954" w:rsidRPr="006D12E1" w:rsidRDefault="00BE3954" w:rsidP="00BE3954">
      <w:pPr>
        <w:pStyle w:val="Corpsdetexte"/>
        <w:rPr>
          <w:lang w:val="de-CH"/>
        </w:rPr>
      </w:pPr>
      <w:r w:rsidRPr="006D12E1">
        <w:rPr>
          <w:lang w:val="de-CH"/>
        </w:rPr>
        <w:t>Zwei Massnahmen des PSKF haben eine Änderung des DStG zur Folge: die</w:t>
      </w:r>
      <w:r w:rsidRPr="006D12E1">
        <w:rPr>
          <w:i/>
          <w:iCs/>
          <w:lang w:val="de-CH"/>
        </w:rPr>
        <w:t xml:space="preserve"> Verringerung des Steuerabzugs für Fahrkosten </w:t>
      </w:r>
      <w:r w:rsidRPr="006D12E1">
        <w:rPr>
          <w:lang w:val="de-CH"/>
        </w:rPr>
        <w:t xml:space="preserve">und </w:t>
      </w:r>
      <w:r w:rsidRPr="006D12E1">
        <w:rPr>
          <w:i/>
          <w:iCs/>
          <w:lang w:val="de-CH"/>
        </w:rPr>
        <w:t>Kein Ausgleich der kalten Progression</w:t>
      </w:r>
      <w:r w:rsidRPr="006D12E1">
        <w:rPr>
          <w:lang w:val="de-CH"/>
        </w:rPr>
        <w:t xml:space="preserve">. </w:t>
      </w:r>
      <w:bookmarkStart w:id="114" w:name="_Hlk194915076"/>
      <w:r w:rsidRPr="006D12E1">
        <w:rPr>
          <w:lang w:val="de-CH"/>
        </w:rPr>
        <w:t>Die folgenden Kommentare zu den Artikeln sollen zum besseren Verständnis dieser Massnahmen bei</w:t>
      </w:r>
      <w:bookmarkEnd w:id="114"/>
      <w:r w:rsidRPr="006D12E1">
        <w:rPr>
          <w:lang w:val="de-CH"/>
        </w:rPr>
        <w:t xml:space="preserve">tragen. </w:t>
      </w:r>
    </w:p>
    <w:p w14:paraId="5A5D6248" w14:textId="1CD1AE83" w:rsidR="00BE3954" w:rsidRPr="006D12E1" w:rsidRDefault="00BE3954" w:rsidP="00BE3954">
      <w:pPr>
        <w:pStyle w:val="Titre3"/>
        <w:rPr>
          <w:lang w:val="de-CH"/>
        </w:rPr>
      </w:pPr>
      <w:bookmarkStart w:id="115" w:name="_Toc195000916"/>
      <w:bookmarkStart w:id="116" w:name="_Toc196226257"/>
      <w:r w:rsidRPr="006D12E1">
        <w:rPr>
          <w:rFonts w:ascii="Arial" w:eastAsia="Times New Roman" w:hAnsi="Arial" w:cs="Times New Roman"/>
          <w:lang w:val="de-CH"/>
        </w:rPr>
        <w:t>Kommentar der einzelnen Artikel</w:t>
      </w:r>
      <w:bookmarkEnd w:id="115"/>
      <w:bookmarkEnd w:id="116"/>
    </w:p>
    <w:p w14:paraId="4B9038AD" w14:textId="77777777" w:rsidR="00BE3954" w:rsidRPr="003C70C9" w:rsidRDefault="00BE3954" w:rsidP="00BE3954">
      <w:pPr>
        <w:pStyle w:val="TitreArticleloi"/>
        <w:rPr>
          <w:lang w:val="de-CH"/>
        </w:rPr>
      </w:pPr>
      <w:r w:rsidRPr="003C70C9">
        <w:rPr>
          <w:lang w:val="de-CH"/>
        </w:rPr>
        <w:t>Art. 27 Abs. 1 Bst. a</w:t>
      </w:r>
    </w:p>
    <w:p w14:paraId="76DB1A7D" w14:textId="77777777" w:rsidR="00BE3954" w:rsidRPr="006D12E1" w:rsidRDefault="00BE3954" w:rsidP="00BE3954">
      <w:pPr>
        <w:rPr>
          <w:lang w:val="de-CH"/>
        </w:rPr>
      </w:pPr>
      <w:r w:rsidRPr="006D12E1">
        <w:rPr>
          <w:lang w:val="de-CH"/>
        </w:rPr>
        <w:t>Mit der per 1. Januar 2023 im Rahmen der Revision des Mobilitätsgesetzes eingeführten Obergrenze des Abzugs für notwendige Kosten für Fahrten zwischen Wohn- und Arbeitsstätte wurde eine ausgewogene und effiziente Kostenverteilung zwischen Staat und Gemeinden sichergestellt. Der maximale Abzug wurde damals auf 12 000</w:t>
      </w:r>
      <w:r>
        <w:rPr>
          <w:lang w:val="de-CH"/>
        </w:rPr>
        <w:t xml:space="preserve"> Franken</w:t>
      </w:r>
      <w:r w:rsidRPr="006D12E1">
        <w:rPr>
          <w:lang w:val="de-CH"/>
        </w:rPr>
        <w:t xml:space="preserve"> festgesetzt, was einer Hin- und Rückfahrt pro Tag von rund 45 Kilometern entsprach.</w:t>
      </w:r>
    </w:p>
    <w:p w14:paraId="4E941EDA" w14:textId="77777777" w:rsidR="00BE3954" w:rsidRPr="006D12E1" w:rsidRDefault="00BE3954" w:rsidP="00BE3954">
      <w:pPr>
        <w:rPr>
          <w:lang w:val="de-CH"/>
        </w:rPr>
      </w:pPr>
      <w:r w:rsidRPr="006D12E1">
        <w:rPr>
          <w:lang w:val="de-CH"/>
        </w:rPr>
        <w:t>Da der Fahrkostenabzug zwischen Wohn- und Arbeitsstätte die Bemessungsgrundlage senkt, führt eine Reduktion der Plafonierung zu zusätzlichen Steuereinnahmen für den Staat und die Gemeinden. Bei einem maximalen Abzug von 8000 Franken (entsprechend einer täglichen Hin- und Rückfahrt von ca. 30 Kilometern) werden die zusätzlichen Steuereinnahmen auf 5,2 Millionen Franken für den Staat und auf 4,3 Millionen Franken für die Gemeinden geschätzt.</w:t>
      </w:r>
    </w:p>
    <w:p w14:paraId="23706B56" w14:textId="77777777" w:rsidR="00BE3954" w:rsidRPr="006D12E1" w:rsidRDefault="00BE3954" w:rsidP="00BE3954">
      <w:pPr>
        <w:pStyle w:val="TitreArticleloi"/>
        <w:rPr>
          <w:lang w:val="de-CH"/>
        </w:rPr>
      </w:pPr>
      <w:r w:rsidRPr="006D12E1">
        <w:rPr>
          <w:lang w:val="de-CH"/>
        </w:rPr>
        <w:t>Art. 27 Abs. 2</w:t>
      </w:r>
    </w:p>
    <w:p w14:paraId="2AD2896D" w14:textId="77777777" w:rsidR="00BE3954" w:rsidRPr="006D12E1" w:rsidRDefault="00BE3954" w:rsidP="00BE3954">
      <w:pPr>
        <w:rPr>
          <w:lang w:val="de-CH"/>
        </w:rPr>
      </w:pPr>
      <w:r w:rsidRPr="006D12E1">
        <w:rPr>
          <w:lang w:val="de-CH"/>
        </w:rPr>
        <w:t>Die unselbstständig erwerbstätigen Steuerpflichtigen können als Berufskosten die notwendigen Kosten für Fahrten zwischen Wohn- und Arbeitsstätte (Art. 27 Abs. 1 Bst. a DStG), die notwendigen Mehrkosten für Verpflegung ausserhalb der Wohnstätte und bei Schichtarbeit (Art. 27 Abs. 1 Bst. b DStG) sowie die übrigen für die Ausübung des Berufes erforderlichen Kosten (Art. 27 Abs. 1 Bst. c DStG) abziehen. Diese Abzüge werden grundsätzlich pauschal festgesetzt.</w:t>
      </w:r>
    </w:p>
    <w:p w14:paraId="69EEE380" w14:textId="77777777" w:rsidR="00BE3954" w:rsidRPr="006D12E1" w:rsidRDefault="00BE3954" w:rsidP="00BE3954">
      <w:pPr>
        <w:rPr>
          <w:lang w:val="de-CH"/>
        </w:rPr>
      </w:pPr>
      <w:r w:rsidRPr="006D12E1">
        <w:rPr>
          <w:lang w:val="de-CH"/>
        </w:rPr>
        <w:t>Kann die steuerpflichtige Person jedoch höhere Kosten nachweisen als den Pauschalabzug, so kann sie den tatsächlich nachgewiesenen Betrag als übrige für die Ausübung des Berufes erforderliche Kosten geltend machen. Seit der Einführung der Plafonierung des Steuerabzugs für Fahrkosten können hingegen keine effektiven Fahrspesen mehr geltend gemacht werden, die höher als die Obergrenze liegen. Dies gilt auch auf Bundesebene.</w:t>
      </w:r>
    </w:p>
    <w:p w14:paraId="0C9A9B97" w14:textId="77777777" w:rsidR="00BE3954" w:rsidRPr="006D12E1" w:rsidRDefault="00BE3954" w:rsidP="00BE3954">
      <w:pPr>
        <w:rPr>
          <w:lang w:val="de-CH"/>
        </w:rPr>
      </w:pPr>
      <w:r w:rsidRPr="006D12E1">
        <w:rPr>
          <w:lang w:val="de-CH"/>
        </w:rPr>
        <w:t>Daher muss Artikel 27 Abs. 2 DStG korrigiert werden, um den Steuerpflichtigen die nötige Klarheit zu verschaffen, dass nur ein Pauschalabzug geltend gemacht werden kann (im vorliegenden Fall eine Kilometerentschädigung), der den festgelegten Höchstbetrag für die Fahrkosten nicht überschreiten darf. Der Verweis auf Buchstabe a in der Bestimmung ist daher zu streichen. Diese Änderung hätte bereits 2003 erfolgen müssen.</w:t>
      </w:r>
    </w:p>
    <w:p w14:paraId="224FAD86" w14:textId="77777777" w:rsidR="00BE3954" w:rsidRPr="006D12E1" w:rsidRDefault="00BE3954" w:rsidP="00BE3954">
      <w:pPr>
        <w:pStyle w:val="TitreArticleloi"/>
        <w:rPr>
          <w:lang w:val="de-CH"/>
        </w:rPr>
      </w:pPr>
      <w:r w:rsidRPr="006D12E1">
        <w:rPr>
          <w:lang w:val="de-CH"/>
        </w:rPr>
        <w:t>Art. 248f Abs.1</w:t>
      </w:r>
    </w:p>
    <w:p w14:paraId="65C0B3F6" w14:textId="195FAC72" w:rsidR="00BE3954" w:rsidRPr="006D12E1" w:rsidRDefault="00BE3954" w:rsidP="00BE3954">
      <w:pPr>
        <w:rPr>
          <w:lang w:val="de-CH"/>
        </w:rPr>
      </w:pPr>
      <w:r w:rsidRPr="006D12E1">
        <w:rPr>
          <w:lang w:val="de-CH"/>
        </w:rPr>
        <w:t>Der Staatsrat beschliesst, auf den gemäss Artikel 40 Abs. 1 und Artikel 62a Abs. 1 DStG nach drei Jahren im Jahr 2026 fälligen Ausgleich der Folgen der kalten Progression zu verzichten. Mit dem Verzicht auf den Ausgleich der Folgen der kalten Progression können Mindereinnahmen auf Kantonsebene von rund 28 Millionen Franken vermieden werden. Da der Finanzplan die Auswirkungen dieser Indexierung im Betrag von 20 Millionen Franken für den Kanton einbezieht, verbessert die Massnahme die finanzielle Lage im gleichen Umfang und verhindert eine weitere Verschlechterung der Einnahmen in der Grössenordnung von 8 Millionen Franken. Mit dieser Massnahme können bei den Gemeindesteuern Mindereinnahmen von rund 23 Millionen Franken vermieden werden.</w:t>
      </w:r>
    </w:p>
    <w:p w14:paraId="2CC4CCBE" w14:textId="77777777" w:rsidR="00BE3954" w:rsidRPr="006D12E1" w:rsidRDefault="00BE3954" w:rsidP="00BE3954">
      <w:pPr>
        <w:pStyle w:val="TitreArticleloi"/>
        <w:rPr>
          <w:lang w:val="de-CH"/>
        </w:rPr>
      </w:pPr>
      <w:r w:rsidRPr="006D12E1">
        <w:rPr>
          <w:lang w:val="de-CH"/>
        </w:rPr>
        <w:t>Art. 248f Abs.2</w:t>
      </w:r>
    </w:p>
    <w:p w14:paraId="3DE40635" w14:textId="7012E4A5" w:rsidR="00A50BCC" w:rsidRPr="00BE3954" w:rsidRDefault="00BE3954" w:rsidP="00BE3954">
      <w:pPr>
        <w:rPr>
          <w:lang w:val="de-CH"/>
        </w:rPr>
      </w:pPr>
      <w:r w:rsidRPr="006D12E1">
        <w:rPr>
          <w:lang w:val="de-CH"/>
        </w:rPr>
        <w:t>Um eine nachhaltige Verbesserung der öffentlichen Finanzen zu erreichen, ist für den nächsten Ausgleich der Folgen der kalten Progression der Landesindex der Konsumentenpreise vom Dezember 2024 (Dezember 2005 = 100) mit 109,3 Punkten massgebend.</w:t>
      </w:r>
    </w:p>
    <w:p w14:paraId="7A1F9603" w14:textId="577EB5F9" w:rsidR="00C87535" w:rsidRPr="006D12E1" w:rsidRDefault="00C87535" w:rsidP="00C87535">
      <w:pPr>
        <w:pStyle w:val="Titre2"/>
        <w:rPr>
          <w:lang w:val="de-CH"/>
        </w:rPr>
      </w:pPr>
      <w:bookmarkStart w:id="117" w:name="_Toc196226258"/>
      <w:r w:rsidRPr="006D12E1">
        <w:rPr>
          <w:lang w:val="de-CH"/>
        </w:rPr>
        <w:lastRenderedPageBreak/>
        <w:t>Änderung des Gesetzes über die Besteuerung der Motorfahrzeuge und Anhänger (BMfzAG)</w:t>
      </w:r>
      <w:bookmarkEnd w:id="117"/>
    </w:p>
    <w:p w14:paraId="28CAED53" w14:textId="0A70B717" w:rsidR="00C87535" w:rsidRPr="006D12E1" w:rsidRDefault="00C87535" w:rsidP="00C87535">
      <w:pPr>
        <w:pStyle w:val="Titre3"/>
        <w:rPr>
          <w:lang w:val="de-CH"/>
        </w:rPr>
      </w:pPr>
      <w:bookmarkStart w:id="118" w:name="_Toc195000918"/>
      <w:bookmarkStart w:id="119" w:name="_Toc196226259"/>
      <w:r w:rsidRPr="006D12E1">
        <w:rPr>
          <w:lang w:val="de-CH"/>
        </w:rPr>
        <w:t>Allgemeines</w:t>
      </w:r>
      <w:bookmarkEnd w:id="118"/>
      <w:bookmarkEnd w:id="119"/>
    </w:p>
    <w:p w14:paraId="0BFF42ED" w14:textId="77777777" w:rsidR="00C87535" w:rsidRPr="006D12E1" w:rsidRDefault="00C87535" w:rsidP="00C87535">
      <w:pPr>
        <w:pStyle w:val="Listealphabtique"/>
        <w:numPr>
          <w:ilvl w:val="0"/>
          <w:numId w:val="0"/>
        </w:numPr>
        <w:rPr>
          <w:lang w:val="de-CH"/>
        </w:rPr>
      </w:pPr>
      <w:r w:rsidRPr="006D12E1">
        <w:rPr>
          <w:lang w:val="de-CH"/>
        </w:rPr>
        <w:t>&gt;</w:t>
      </w:r>
      <w:r w:rsidRPr="006D12E1">
        <w:rPr>
          <w:lang w:val="de-CH"/>
        </w:rPr>
        <w:tab/>
      </w:r>
      <w:r w:rsidRPr="006D12E1">
        <w:rPr>
          <w:b/>
          <w:bCs/>
          <w:lang w:val="de-CH"/>
        </w:rPr>
        <w:t>Reduktion des Gemeindeanteils an der Motorfahrzeugsteuer</w:t>
      </w:r>
    </w:p>
    <w:p w14:paraId="5AB7334C" w14:textId="77777777" w:rsidR="00C87535" w:rsidRPr="006D12E1" w:rsidRDefault="00C87535" w:rsidP="00C87535">
      <w:pPr>
        <w:pStyle w:val="Corpsdetexte"/>
        <w:rPr>
          <w:lang w:val="de-CH"/>
        </w:rPr>
      </w:pPr>
      <w:r w:rsidRPr="006D12E1">
        <w:rPr>
          <w:lang w:val="de-CH"/>
        </w:rPr>
        <w:t>Die Gemeinden erhalten einen Teil des Ertrags aus der Motorfahrzeugsteuer. Nach Artikel 2 Abs. 2 BMfzAG vergütet der Staat den Gemeinden netto 20 % der Steuereinnahmen nach Abzug der Erhebungskosten. Das Amt für Strassenverkehr und Schifffahrt (ASS) hat den Auftrag, die Steuer zu erheben. Derzeit erhebt das ASS eine Inkassokommission von 2,5 %. Das BMfzAG sieht eine Nettovergütung vor, das heisst, dass die Gemeinden sich proportional an den Erhebungskosten beteiligen.</w:t>
      </w:r>
    </w:p>
    <w:p w14:paraId="4137C31A" w14:textId="77777777" w:rsidR="00C87535" w:rsidRPr="006D12E1" w:rsidRDefault="00C87535" w:rsidP="00C87535">
      <w:pPr>
        <w:rPr>
          <w:lang w:val="de-CH"/>
        </w:rPr>
      </w:pPr>
      <w:r w:rsidRPr="006D12E1">
        <w:rPr>
          <w:lang w:val="de-CH"/>
        </w:rPr>
        <w:t xml:space="preserve">Es wird vorgeschlagen, den Gemeindeanteil auf 10 % zu kürzen, um dem Staat mehr Einnahmen zu verschaffen. Mit dieser Massnahme soll ein fairer Ausgleich zwischen Staat und Gemeinden geschaffen werden, wobei die Lastenverschiebungen von den Gemeinden zum Staat der letzten Jahre dabei teilweise berücksichtigt wurden. </w:t>
      </w:r>
    </w:p>
    <w:p w14:paraId="134483C8" w14:textId="340E9582" w:rsidR="00C87535" w:rsidRPr="006D12E1" w:rsidRDefault="00C87535" w:rsidP="00C87535">
      <w:pPr>
        <w:pStyle w:val="Titre3"/>
        <w:rPr>
          <w:lang w:val="de-CH"/>
        </w:rPr>
      </w:pPr>
      <w:bookmarkStart w:id="120" w:name="_Toc195000919"/>
      <w:bookmarkStart w:id="121" w:name="_Toc196226260"/>
      <w:r w:rsidRPr="006D12E1">
        <w:rPr>
          <w:rFonts w:ascii="Arial" w:eastAsia="Times New Roman" w:hAnsi="Arial" w:cs="Times New Roman"/>
          <w:lang w:val="de-CH"/>
        </w:rPr>
        <w:t>Kommentar der einzelnen Artikel</w:t>
      </w:r>
      <w:bookmarkEnd w:id="120"/>
      <w:bookmarkEnd w:id="121"/>
    </w:p>
    <w:p w14:paraId="46804023" w14:textId="77777777" w:rsidR="00C87535" w:rsidRPr="006D12E1" w:rsidRDefault="00C87535" w:rsidP="00C87535">
      <w:pPr>
        <w:pStyle w:val="TitreArticleloi"/>
        <w:rPr>
          <w:lang w:val="de-CH"/>
        </w:rPr>
      </w:pPr>
      <w:r w:rsidRPr="006D12E1">
        <w:rPr>
          <w:lang w:val="de-CH"/>
        </w:rPr>
        <w:t>Art. 2 Abs. 2</w:t>
      </w:r>
    </w:p>
    <w:p w14:paraId="41294632" w14:textId="77777777" w:rsidR="00C87535" w:rsidRPr="006D12E1" w:rsidRDefault="00C87535" w:rsidP="00C87535">
      <w:pPr>
        <w:pStyle w:val="Corpsdetexte"/>
        <w:rPr>
          <w:lang w:val="de-CH"/>
        </w:rPr>
      </w:pPr>
      <w:r w:rsidRPr="006D12E1">
        <w:rPr>
          <w:lang w:val="de-CH"/>
        </w:rPr>
        <w:t>Artikel 2 Abs. 2 BMfzAG sieht vor, dass der Staat den Gemeinden netto 20 % der Steuereinnahmen nach Abzug der Erhebungskosten vergütet. Im Rahmen des Struktur- und Sparmassnahmenprogramms des Staates für 2013–2016 (S. 68 und 69) wurde diese Vergütungsquote 2014 ein erstes Mal von 30 % auf 20 % gesenkt. Diese Massnahme diente bei der Sicherstellung des finanziellen Gleichgewichts zwischen Staat und Gemeinden als Justierungsvariable.</w:t>
      </w:r>
    </w:p>
    <w:tbl>
      <w:tblPr>
        <w:tblStyle w:val="TableauEtatFR"/>
        <w:tblW w:w="5000" w:type="pct"/>
        <w:tblLook w:val="04E0" w:firstRow="1" w:lastRow="1" w:firstColumn="1" w:lastColumn="0" w:noHBand="0" w:noVBand="1"/>
      </w:tblPr>
      <w:tblGrid>
        <w:gridCol w:w="4678"/>
        <w:gridCol w:w="1748"/>
        <w:gridCol w:w="1748"/>
        <w:gridCol w:w="1746"/>
      </w:tblGrid>
      <w:tr w:rsidR="00C87535" w:rsidRPr="005B3823" w14:paraId="662C24B2" w14:textId="77777777" w:rsidTr="007B12C8">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58" w:type="pct"/>
            <w:vMerge w:val="restart"/>
          </w:tcPr>
          <w:p w14:paraId="6776D0F1" w14:textId="77777777" w:rsidR="00C87535" w:rsidRPr="006D12E1" w:rsidRDefault="00C87535" w:rsidP="007B12C8">
            <w:pPr>
              <w:pStyle w:val="NIVtableau"/>
              <w:rPr>
                <w:lang w:val="de-CH"/>
              </w:rPr>
            </w:pPr>
            <w:r w:rsidRPr="006D12E1">
              <w:rPr>
                <w:lang w:val="de-CH"/>
              </w:rPr>
              <w:t>Variante</w:t>
            </w:r>
          </w:p>
        </w:tc>
        <w:tc>
          <w:tcPr>
            <w:tcW w:w="2642" w:type="pct"/>
            <w:gridSpan w:val="3"/>
          </w:tcPr>
          <w:p w14:paraId="543A9327" w14:textId="77777777" w:rsidR="00C87535" w:rsidRPr="006D12E1" w:rsidRDefault="00C87535" w:rsidP="007B12C8">
            <w:pPr>
              <w:pStyle w:val="NIVtableau"/>
              <w:cnfStyle w:val="100000000000" w:firstRow="1" w:lastRow="0" w:firstColumn="0" w:lastColumn="0" w:oddVBand="0" w:evenVBand="0" w:oddHBand="0" w:evenHBand="0" w:firstRowFirstColumn="0" w:firstRowLastColumn="0" w:lastRowFirstColumn="0" w:lastRowLastColumn="0"/>
              <w:rPr>
                <w:lang w:val="de-CH"/>
              </w:rPr>
            </w:pPr>
            <w:r w:rsidRPr="006D12E1">
              <w:rPr>
                <w:lang w:val="de-CH"/>
              </w:rPr>
              <w:t>Nettoanteil an eingenommener Bruttosteuer in %</w:t>
            </w:r>
          </w:p>
        </w:tc>
      </w:tr>
      <w:tr w:rsidR="00C87535" w:rsidRPr="006D12E1" w14:paraId="76397043"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2358" w:type="pct"/>
            <w:vMerge/>
          </w:tcPr>
          <w:p w14:paraId="46889F39" w14:textId="77777777" w:rsidR="00C87535" w:rsidRPr="006D12E1" w:rsidRDefault="00C87535" w:rsidP="007B12C8">
            <w:pPr>
              <w:pStyle w:val="NIVtableau"/>
              <w:rPr>
                <w:lang w:val="de-CH"/>
              </w:rPr>
            </w:pPr>
          </w:p>
        </w:tc>
        <w:tc>
          <w:tcPr>
            <w:tcW w:w="881" w:type="pct"/>
          </w:tcPr>
          <w:p w14:paraId="02513064" w14:textId="77777777" w:rsidR="00C87535" w:rsidRPr="006D12E1" w:rsidRDefault="00C87535"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Staat</w:t>
            </w:r>
          </w:p>
        </w:tc>
        <w:tc>
          <w:tcPr>
            <w:tcW w:w="881" w:type="pct"/>
          </w:tcPr>
          <w:p w14:paraId="7FBA2844" w14:textId="77777777" w:rsidR="00C87535" w:rsidRPr="006D12E1" w:rsidRDefault="00C87535"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Gemeinden</w:t>
            </w:r>
          </w:p>
        </w:tc>
        <w:tc>
          <w:tcPr>
            <w:tcW w:w="880" w:type="pct"/>
          </w:tcPr>
          <w:p w14:paraId="23A7C4E6" w14:textId="77777777" w:rsidR="00C87535" w:rsidRPr="006D12E1" w:rsidRDefault="00C87535"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6D12E1">
              <w:rPr>
                <w:b/>
                <w:bCs w:val="0"/>
                <w:lang w:val="de-CH"/>
              </w:rPr>
              <w:t>ASS</w:t>
            </w:r>
          </w:p>
        </w:tc>
      </w:tr>
      <w:tr w:rsidR="00C87535" w:rsidRPr="006D12E1" w14:paraId="1D92EBE5" w14:textId="77777777" w:rsidTr="007B12C8">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2358" w:type="pct"/>
          </w:tcPr>
          <w:p w14:paraId="1494A9D6" w14:textId="77777777" w:rsidR="00C87535" w:rsidRPr="006D12E1" w:rsidRDefault="00C87535" w:rsidP="007B12C8">
            <w:pPr>
              <w:pStyle w:val="NIVtableau"/>
              <w:rPr>
                <w:lang w:val="de-CH"/>
              </w:rPr>
            </w:pPr>
            <w:r w:rsidRPr="006D12E1">
              <w:rPr>
                <w:lang w:val="de-CH"/>
              </w:rPr>
              <w:t>Vergütung 20 %, aktuelle Situation</w:t>
            </w:r>
          </w:p>
        </w:tc>
        <w:tc>
          <w:tcPr>
            <w:tcW w:w="881" w:type="pct"/>
          </w:tcPr>
          <w:p w14:paraId="26443502" w14:textId="77777777" w:rsidR="00C87535" w:rsidRPr="006D12E1" w:rsidRDefault="00C87535"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78 %</w:t>
            </w:r>
          </w:p>
        </w:tc>
        <w:tc>
          <w:tcPr>
            <w:tcW w:w="881" w:type="pct"/>
          </w:tcPr>
          <w:p w14:paraId="21B26565" w14:textId="77777777" w:rsidR="00C87535" w:rsidRPr="006D12E1" w:rsidRDefault="00C87535"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19,5 %</w:t>
            </w:r>
          </w:p>
        </w:tc>
        <w:tc>
          <w:tcPr>
            <w:tcW w:w="880" w:type="pct"/>
          </w:tcPr>
          <w:p w14:paraId="53E89B19" w14:textId="77777777" w:rsidR="00C87535" w:rsidRPr="006D12E1" w:rsidRDefault="00C87535"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6D12E1">
              <w:rPr>
                <w:lang w:val="de-CH"/>
              </w:rPr>
              <w:t>2,5 %</w:t>
            </w:r>
          </w:p>
        </w:tc>
      </w:tr>
      <w:tr w:rsidR="00C87535" w:rsidRPr="006D12E1" w14:paraId="2C44B467" w14:textId="77777777" w:rsidTr="007B12C8">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58" w:type="pct"/>
          </w:tcPr>
          <w:p w14:paraId="2870738E" w14:textId="77777777" w:rsidR="00C87535" w:rsidRPr="006D12E1" w:rsidRDefault="00C87535" w:rsidP="007B12C8">
            <w:pPr>
              <w:pStyle w:val="NIVtableau"/>
              <w:rPr>
                <w:b w:val="0"/>
                <w:bCs w:val="0"/>
                <w:lang w:val="de-CH"/>
              </w:rPr>
            </w:pPr>
            <w:r w:rsidRPr="006D12E1">
              <w:rPr>
                <w:b w:val="0"/>
                <w:bCs w:val="0"/>
                <w:lang w:val="de-CH"/>
              </w:rPr>
              <w:t>Vergütung 10 %, Sanierungsmassnahme</w:t>
            </w:r>
          </w:p>
        </w:tc>
        <w:tc>
          <w:tcPr>
            <w:tcW w:w="881" w:type="pct"/>
          </w:tcPr>
          <w:p w14:paraId="7D0DCD5F" w14:textId="77777777" w:rsidR="00C87535" w:rsidRPr="006D12E1" w:rsidRDefault="00C87535" w:rsidP="007B12C8">
            <w:pPr>
              <w:pStyle w:val="NIVtableauchiffres"/>
              <w:cnfStyle w:val="010000000000" w:firstRow="0" w:lastRow="1" w:firstColumn="0" w:lastColumn="0" w:oddVBand="0" w:evenVBand="0" w:oddHBand="0" w:evenHBand="0" w:firstRowFirstColumn="0" w:firstRowLastColumn="0" w:lastRowFirstColumn="0" w:lastRowLastColumn="0"/>
              <w:rPr>
                <w:b w:val="0"/>
                <w:bCs w:val="0"/>
                <w:lang w:val="de-CH"/>
              </w:rPr>
            </w:pPr>
            <w:r w:rsidRPr="006D12E1">
              <w:rPr>
                <w:b w:val="0"/>
                <w:bCs w:val="0"/>
                <w:lang w:val="de-CH"/>
              </w:rPr>
              <w:t>87,75 %</w:t>
            </w:r>
          </w:p>
        </w:tc>
        <w:tc>
          <w:tcPr>
            <w:tcW w:w="881" w:type="pct"/>
          </w:tcPr>
          <w:p w14:paraId="158CBDF6" w14:textId="77777777" w:rsidR="00C87535" w:rsidRPr="006D12E1" w:rsidRDefault="00C87535" w:rsidP="007B12C8">
            <w:pPr>
              <w:pStyle w:val="NIVtableauchiffres"/>
              <w:cnfStyle w:val="010000000000" w:firstRow="0" w:lastRow="1" w:firstColumn="0" w:lastColumn="0" w:oddVBand="0" w:evenVBand="0" w:oddHBand="0" w:evenHBand="0" w:firstRowFirstColumn="0" w:firstRowLastColumn="0" w:lastRowFirstColumn="0" w:lastRowLastColumn="0"/>
              <w:rPr>
                <w:b w:val="0"/>
                <w:bCs w:val="0"/>
                <w:lang w:val="de-CH"/>
              </w:rPr>
            </w:pPr>
            <w:r w:rsidRPr="006D12E1">
              <w:rPr>
                <w:b w:val="0"/>
                <w:bCs w:val="0"/>
                <w:lang w:val="de-CH"/>
              </w:rPr>
              <w:t>9,75 %</w:t>
            </w:r>
          </w:p>
        </w:tc>
        <w:tc>
          <w:tcPr>
            <w:tcW w:w="880" w:type="pct"/>
          </w:tcPr>
          <w:p w14:paraId="53603100" w14:textId="77777777" w:rsidR="00C87535" w:rsidRPr="006D12E1" w:rsidRDefault="00C87535" w:rsidP="007B12C8">
            <w:pPr>
              <w:pStyle w:val="NIVtableauchiffres"/>
              <w:cnfStyle w:val="010000000000" w:firstRow="0" w:lastRow="1" w:firstColumn="0" w:lastColumn="0" w:oddVBand="0" w:evenVBand="0" w:oddHBand="0" w:evenHBand="0" w:firstRowFirstColumn="0" w:firstRowLastColumn="0" w:lastRowFirstColumn="0" w:lastRowLastColumn="0"/>
              <w:rPr>
                <w:b w:val="0"/>
                <w:bCs w:val="0"/>
                <w:lang w:val="de-CH"/>
              </w:rPr>
            </w:pPr>
            <w:r w:rsidRPr="006D12E1">
              <w:rPr>
                <w:b w:val="0"/>
                <w:bCs w:val="0"/>
                <w:lang w:val="de-CH"/>
              </w:rPr>
              <w:t>2,5 %</w:t>
            </w:r>
          </w:p>
        </w:tc>
      </w:tr>
    </w:tbl>
    <w:p w14:paraId="62C9A05E" w14:textId="4A1B6BF2" w:rsidR="00C87535" w:rsidRPr="006D12E1" w:rsidRDefault="00C87535" w:rsidP="00C87535">
      <w:pPr>
        <w:pStyle w:val="Titre2"/>
        <w:rPr>
          <w:lang w:val="de-CH"/>
        </w:rPr>
      </w:pPr>
      <w:bookmarkStart w:id="122" w:name="_Toc195000920"/>
      <w:bookmarkStart w:id="123" w:name="_Toc196226261"/>
      <w:r w:rsidRPr="006D12E1">
        <w:rPr>
          <w:lang w:val="de-CH"/>
        </w:rPr>
        <w:t>Änderung des Mobilitätsgesetzes (MobG)</w:t>
      </w:r>
      <w:bookmarkEnd w:id="122"/>
      <w:bookmarkEnd w:id="123"/>
    </w:p>
    <w:p w14:paraId="6C1A24E4" w14:textId="7DCFB62D" w:rsidR="00C87535" w:rsidRPr="006D12E1" w:rsidRDefault="00C87535" w:rsidP="00C87535">
      <w:pPr>
        <w:pStyle w:val="Titre3"/>
        <w:rPr>
          <w:lang w:val="de-CH"/>
        </w:rPr>
      </w:pPr>
      <w:bookmarkStart w:id="124" w:name="_Toc195000921"/>
      <w:bookmarkStart w:id="125" w:name="_Toc196226262"/>
      <w:r w:rsidRPr="006D12E1">
        <w:rPr>
          <w:lang w:val="de-CH"/>
        </w:rPr>
        <w:t>Allgemeines</w:t>
      </w:r>
      <w:bookmarkEnd w:id="124"/>
      <w:bookmarkEnd w:id="125"/>
    </w:p>
    <w:p w14:paraId="42062A80" w14:textId="77777777" w:rsidR="00C87535" w:rsidRPr="006D12E1" w:rsidRDefault="00C87535" w:rsidP="00C87535">
      <w:pPr>
        <w:rPr>
          <w:b/>
          <w:bCs/>
          <w:lang w:val="de-CH"/>
        </w:rPr>
      </w:pPr>
      <w:r w:rsidRPr="006D12E1">
        <w:rPr>
          <w:lang w:val="de-CH"/>
        </w:rPr>
        <w:t>&gt;</w:t>
      </w:r>
      <w:r w:rsidRPr="006D12E1">
        <w:rPr>
          <w:lang w:val="de-CH"/>
        </w:rPr>
        <w:tab/>
      </w:r>
      <w:r w:rsidRPr="006D12E1">
        <w:rPr>
          <w:b/>
          <w:bCs/>
          <w:lang w:val="de-CH"/>
        </w:rPr>
        <w:t>Anpassung der Gemeindebeteiligung an der Abgeltung des lokalen Personenverkehrs</w:t>
      </w:r>
    </w:p>
    <w:p w14:paraId="01994B18" w14:textId="77777777" w:rsidR="00C87535" w:rsidRPr="006D12E1" w:rsidRDefault="00C87535" w:rsidP="00C87535">
      <w:pPr>
        <w:rPr>
          <w:lang w:val="de-CH"/>
        </w:rPr>
      </w:pPr>
      <w:r w:rsidRPr="006D12E1">
        <w:rPr>
          <w:lang w:val="de-CH"/>
        </w:rPr>
        <w:t>Nach den Artikeln 153 und 154 des Mobilitätsgesetzes (MobG) können Staat und Gemeinden Angebote für den lokalen Personenverkehr bestellen. Derzeit übernimmt der Staat bei einer Mitbestellung 57,5 % der Kosten; die restlichen 42,5 % werden von den betroffenen Gemeinden und/oder Regionalverbunden getragen. Im Jahr 2024 beliefen sich die Gesamtkosten für die Abgeltung des lokalen Personenverkehrs auf 37 833 812 Franken. Davon hat der Staat 21 754 441 Franken übernommen, während sich die Gemeinden und Gemeindeverbände in Höhe von 16 079 371 Franken beteiligten.</w:t>
      </w:r>
    </w:p>
    <w:p w14:paraId="70E27BFB" w14:textId="77777777" w:rsidR="00C87535" w:rsidRPr="006D12E1" w:rsidRDefault="00C87535" w:rsidP="00C87535">
      <w:pPr>
        <w:rPr>
          <w:lang w:val="de-CH"/>
        </w:rPr>
      </w:pPr>
      <w:r w:rsidRPr="006D12E1">
        <w:rPr>
          <w:lang w:val="de-CH"/>
        </w:rPr>
        <w:t>Im Sinne der Gerechtigkeit wird vorgeschlagen, diese Aufteilung zu ändern und eine paritätische Beteiligung einzuführen, d. h. 50 % zulasten des Staats und 50 % zulasten der Gemeinden und/oder der Regionalverbunde.</w:t>
      </w:r>
    </w:p>
    <w:p w14:paraId="3BBB4917" w14:textId="77777777" w:rsidR="00C87535" w:rsidRPr="006D12E1" w:rsidRDefault="00C87535" w:rsidP="00C87535">
      <w:pPr>
        <w:rPr>
          <w:b/>
          <w:bCs/>
          <w:lang w:val="de-CH"/>
        </w:rPr>
      </w:pPr>
      <w:r w:rsidRPr="006D12E1">
        <w:rPr>
          <w:lang w:val="de-CH"/>
        </w:rPr>
        <w:t>&gt;</w:t>
      </w:r>
      <w:r w:rsidRPr="006D12E1">
        <w:rPr>
          <w:lang w:val="de-CH"/>
        </w:rPr>
        <w:tab/>
      </w:r>
      <w:r w:rsidRPr="006D12E1">
        <w:rPr>
          <w:b/>
          <w:bCs/>
          <w:lang w:val="de-CH"/>
        </w:rPr>
        <w:t>Anpassung der Gemeindebeteiligung an der Abgeltung des regionalen Personenverkehrs</w:t>
      </w:r>
    </w:p>
    <w:p w14:paraId="1AEFD4F2" w14:textId="77777777" w:rsidR="00C87535" w:rsidRPr="006D12E1" w:rsidRDefault="00C87535" w:rsidP="00C87535">
      <w:pPr>
        <w:rPr>
          <w:lang w:val="de-CH"/>
        </w:rPr>
      </w:pPr>
      <w:r w:rsidRPr="006D12E1">
        <w:rPr>
          <w:lang w:val="de-CH"/>
        </w:rPr>
        <w:t>Nach Artikel 183 MobG beteiligen sich die Gemeinden zu 45 % an den vom Staat gewährten Abgeltungen für den Betrieb für den Regionalverkehr und den Personenverkehr von kantonalem Interesse. Im Jahr 2024 gewährte der Kanton Freiburg insgesamt 52 298 780 Franken an Betriebsabgeltungen für den regionalen Personenverkehr, wovon 28 764 329 Franken vom Staat getragen wurden. Die Freiburger Gemeinden haben einen Anteil von 23 534 451 Franken übernommen.</w:t>
      </w:r>
    </w:p>
    <w:p w14:paraId="7DC8F65E" w14:textId="77777777" w:rsidR="00C87535" w:rsidRPr="006D12E1" w:rsidRDefault="00C87535" w:rsidP="00C87535">
      <w:pPr>
        <w:rPr>
          <w:lang w:val="de-CH"/>
        </w:rPr>
      </w:pPr>
      <w:r w:rsidRPr="006D12E1">
        <w:rPr>
          <w:lang w:val="de-CH"/>
        </w:rPr>
        <w:t>Im Sinne der Gerechtigkeit wird vorgeschlagen, den Beteiligungssatz der Gemeinden an den des Staats anzugleichen und somit auf 50 % zu erhöhen.</w:t>
      </w:r>
    </w:p>
    <w:p w14:paraId="21A065AB" w14:textId="77777777" w:rsidR="00C87535" w:rsidRPr="006D12E1" w:rsidRDefault="00C87535" w:rsidP="00C87535">
      <w:pPr>
        <w:rPr>
          <w:b/>
          <w:lang w:val="de-CH"/>
        </w:rPr>
      </w:pPr>
      <w:r w:rsidRPr="006D12E1">
        <w:rPr>
          <w:lang w:val="de-CH"/>
        </w:rPr>
        <w:lastRenderedPageBreak/>
        <w:t>&gt;</w:t>
      </w:r>
      <w:r w:rsidRPr="006D12E1">
        <w:rPr>
          <w:lang w:val="de-CH"/>
        </w:rPr>
        <w:tab/>
      </w:r>
      <w:r w:rsidRPr="006D12E1">
        <w:rPr>
          <w:b/>
          <w:lang w:val="de-CH"/>
        </w:rPr>
        <w:t>Verschiebung auf die Gemeinden der Unterhaltskosten für die Abschnitte des kantonalen Velowegnetzes auf Gemeindestrassen</w:t>
      </w:r>
    </w:p>
    <w:p w14:paraId="21690BCB" w14:textId="77777777" w:rsidR="00C87535" w:rsidRPr="006D12E1" w:rsidRDefault="00C87535" w:rsidP="00C87535">
      <w:pPr>
        <w:rPr>
          <w:lang w:val="de-CH"/>
        </w:rPr>
      </w:pPr>
      <w:r w:rsidRPr="006D12E1">
        <w:rPr>
          <w:lang w:val="de-CH"/>
        </w:rPr>
        <w:t>Mit dem neuen Mobilitätsgesetz (MobG) wurde ein vom Strassennetz unabhängiges Velowegnetz eingeführt (Art. 26 Abs. 2 und 3 MobG). Diese Velowege können jedoch auch auf Strassen errichtet werden.</w:t>
      </w:r>
    </w:p>
    <w:p w14:paraId="55F626D6" w14:textId="77777777" w:rsidR="00C87535" w:rsidRPr="006D12E1" w:rsidRDefault="00C87535" w:rsidP="00C87535">
      <w:pPr>
        <w:rPr>
          <w:lang w:val="de-CH"/>
        </w:rPr>
      </w:pPr>
      <w:r w:rsidRPr="006D12E1">
        <w:rPr>
          <w:lang w:val="de-CH"/>
        </w:rPr>
        <w:t>Für den Bau von kantonalen Velowegen ist der Kanton zuständig (Art. 42 MobG). Er ist auch für deren Unterhalt zuständig (Art. 73 Abs. 1 MobG), ausser ausserorts, wenn der Veloweg mit einem Fussweg kombiniert wird (kantonale gemischte Rad- und Fusswege; Art. 74 Abs. 2 MobG).</w:t>
      </w:r>
    </w:p>
    <w:p w14:paraId="5F3CD381" w14:textId="77777777" w:rsidR="00C87535" w:rsidRPr="006D12E1" w:rsidRDefault="00C87535" w:rsidP="00C87535">
      <w:pPr>
        <w:rPr>
          <w:lang w:val="de-CH"/>
        </w:rPr>
      </w:pPr>
      <w:r w:rsidRPr="006D12E1">
        <w:rPr>
          <w:lang w:val="de-CH"/>
        </w:rPr>
        <w:t>Aus Synergiegründen führen die Gemeinden faktisch heute schon den Unterhalt dieser Abschnitte durch, wenn sie sich auf oder entlang von Gemeindestrassen befinden, für deren Instandhaltung sie gemäss Artikel 70 MobG zuständig sind. Die finanzielle Last für diese Einsätze trägt heute jedoch der Staat.</w:t>
      </w:r>
    </w:p>
    <w:p w14:paraId="3B8AEE0E" w14:textId="77777777" w:rsidR="00C87535" w:rsidRPr="006D12E1" w:rsidRDefault="00C87535" w:rsidP="00C87535">
      <w:pPr>
        <w:rPr>
          <w:lang w:val="de-CH"/>
        </w:rPr>
      </w:pPr>
      <w:r w:rsidRPr="006D12E1">
        <w:rPr>
          <w:lang w:val="de-CH"/>
        </w:rPr>
        <w:t>Im Sinne einer Entflechtung wird vorgeschlagen, dass der Unterhalt der kantonalen Velowege, die sich auf oder entlang von Gemeindestrassen befinden, künftig von der betreffenden Gemeinde übernommen wird.</w:t>
      </w:r>
    </w:p>
    <w:p w14:paraId="5BDB6208" w14:textId="77777777" w:rsidR="00C87535" w:rsidRPr="006D12E1" w:rsidRDefault="00C87535" w:rsidP="00C87535">
      <w:pPr>
        <w:rPr>
          <w:lang w:val="de-CH"/>
        </w:rPr>
      </w:pPr>
      <w:r w:rsidRPr="006D12E1">
        <w:rPr>
          <w:lang w:val="de-CH"/>
        </w:rPr>
        <w:t>Das kantonale Velowegnetz wird derzeit mit einem kantonalen Velowegnetzplan geplant (Art. 42 MobG), der in den kommenden Monaten in die Vernehmlassung gehen wird.</w:t>
      </w:r>
    </w:p>
    <w:p w14:paraId="0A4CA9AC" w14:textId="77777777" w:rsidR="00C87535" w:rsidRPr="006D12E1" w:rsidRDefault="00C87535" w:rsidP="00C87535">
      <w:pPr>
        <w:rPr>
          <w:lang w:val="de-CH"/>
        </w:rPr>
      </w:pPr>
      <w:r w:rsidRPr="006D12E1">
        <w:rPr>
          <w:lang w:val="de-CH"/>
        </w:rPr>
        <w:t>Die Gesamtlänge des Netzes wird derzeit auf 670 km geschätzt, wovon etwa 25 % (170 km) auf Gemeindestrassen entfallen. Von diesen 170 km befinden sich 120 km ausserhalb der Ortschaften; diese werden heute vollständig vom Kanton getragen. Die Übertragung dieser Zuständigkeit an die Gemeinden führte zu einer Senkung der kantonalen Ausgaben von geschätzten 1 050 000 Franken pro Jahr.</w:t>
      </w:r>
    </w:p>
    <w:p w14:paraId="3A15DA04" w14:textId="4CF0588E" w:rsidR="00C87535" w:rsidRPr="006D12E1" w:rsidRDefault="00C87535" w:rsidP="00C87535">
      <w:pPr>
        <w:pStyle w:val="Titre3"/>
        <w:rPr>
          <w:lang w:val="de-CH"/>
        </w:rPr>
      </w:pPr>
      <w:bookmarkStart w:id="126" w:name="_Toc195000922"/>
      <w:bookmarkStart w:id="127" w:name="_Toc196226263"/>
      <w:r w:rsidRPr="006D12E1">
        <w:rPr>
          <w:rFonts w:ascii="Arial" w:eastAsia="Times New Roman" w:hAnsi="Arial" w:cs="Times New Roman"/>
          <w:lang w:val="de-CH"/>
        </w:rPr>
        <w:t>Kommentar der einzelnen Artikel</w:t>
      </w:r>
      <w:bookmarkEnd w:id="126"/>
      <w:bookmarkEnd w:id="127"/>
    </w:p>
    <w:p w14:paraId="73599D92" w14:textId="77777777" w:rsidR="00C87535" w:rsidRPr="003C70C9" w:rsidRDefault="00C87535" w:rsidP="00C87535">
      <w:pPr>
        <w:pStyle w:val="TitreArticleloi"/>
        <w:rPr>
          <w:lang w:val="de-CH"/>
        </w:rPr>
      </w:pPr>
      <w:r w:rsidRPr="003C70C9">
        <w:rPr>
          <w:lang w:val="de-CH"/>
        </w:rPr>
        <w:t>Art. 73</w:t>
      </w:r>
    </w:p>
    <w:p w14:paraId="4FFEED3D" w14:textId="77777777" w:rsidR="00C87535" w:rsidRPr="006D12E1" w:rsidRDefault="00C87535" w:rsidP="00C87535">
      <w:pPr>
        <w:pStyle w:val="Corpsdetexte"/>
        <w:rPr>
          <w:lang w:val="de-CH"/>
        </w:rPr>
      </w:pPr>
      <w:r w:rsidRPr="006D12E1">
        <w:rPr>
          <w:lang w:val="de-CH"/>
        </w:rPr>
        <w:t>Der Unterhalt der kantonalen Velowege, die sich auf oder entlang von Gemeindestrassen befinden, soll künftig von der jeweiligen betroffenen Gemeinde übernommen werden.</w:t>
      </w:r>
    </w:p>
    <w:p w14:paraId="01E0191A" w14:textId="77777777" w:rsidR="00C87535" w:rsidRPr="006D12E1" w:rsidRDefault="00C87535" w:rsidP="00C87535">
      <w:pPr>
        <w:pStyle w:val="TitreArticleloi"/>
        <w:rPr>
          <w:lang w:val="de-CH"/>
        </w:rPr>
      </w:pPr>
      <w:r w:rsidRPr="006D12E1">
        <w:rPr>
          <w:lang w:val="de-CH"/>
        </w:rPr>
        <w:t>Art. 183</w:t>
      </w:r>
    </w:p>
    <w:p w14:paraId="0D2FA90E" w14:textId="77777777" w:rsidR="00C87535" w:rsidRPr="006D12E1" w:rsidRDefault="00C87535" w:rsidP="00C87535">
      <w:pPr>
        <w:rPr>
          <w:lang w:val="de-CH"/>
        </w:rPr>
      </w:pPr>
      <w:r w:rsidRPr="006D12E1">
        <w:rPr>
          <w:lang w:val="de-CH"/>
        </w:rPr>
        <w:t>Beitragssatzänderung für den regionalen Personenverkehr auf 50 %.</w:t>
      </w:r>
    </w:p>
    <w:p w14:paraId="787530D0" w14:textId="77777777" w:rsidR="00C87535" w:rsidRPr="006D12E1" w:rsidRDefault="00C87535" w:rsidP="00C87535">
      <w:pPr>
        <w:pStyle w:val="TitreArticleloi"/>
        <w:rPr>
          <w:lang w:val="de-CH"/>
        </w:rPr>
      </w:pPr>
      <w:r w:rsidRPr="006D12E1">
        <w:rPr>
          <w:lang w:val="de-CH"/>
        </w:rPr>
        <w:t>Art. 184</w:t>
      </w:r>
    </w:p>
    <w:p w14:paraId="42DE8B45" w14:textId="77777777" w:rsidR="00C87535" w:rsidRPr="006D12E1" w:rsidRDefault="00C87535" w:rsidP="00C87535">
      <w:pPr>
        <w:rPr>
          <w:lang w:val="de-CH"/>
        </w:rPr>
      </w:pPr>
      <w:r w:rsidRPr="006D12E1">
        <w:rPr>
          <w:lang w:val="de-CH"/>
        </w:rPr>
        <w:t>Beitragssatzänderung für den lokalen Personenverkehr auf 50 %.</w:t>
      </w:r>
    </w:p>
    <w:p w14:paraId="6E91C063" w14:textId="01D4F33D" w:rsidR="00C87535" w:rsidRPr="006D12E1" w:rsidRDefault="00C87535" w:rsidP="00C87535">
      <w:pPr>
        <w:pStyle w:val="Titre2"/>
        <w:rPr>
          <w:lang w:val="de-CH"/>
        </w:rPr>
      </w:pPr>
      <w:bookmarkStart w:id="128" w:name="_Toc195000923"/>
      <w:bookmarkStart w:id="129" w:name="_Toc196226264"/>
      <w:r w:rsidRPr="006D12E1">
        <w:rPr>
          <w:lang w:val="de-CH"/>
        </w:rPr>
        <w:t>Änderung des Gesetzes über die sozialmedizinischen Leistungen (SmLG)</w:t>
      </w:r>
      <w:bookmarkEnd w:id="128"/>
      <w:bookmarkEnd w:id="129"/>
    </w:p>
    <w:p w14:paraId="688E8C80" w14:textId="764AD43A" w:rsidR="00C87535" w:rsidRPr="006D12E1" w:rsidRDefault="00C87535" w:rsidP="00C87535">
      <w:pPr>
        <w:pStyle w:val="Titre3"/>
        <w:rPr>
          <w:lang w:val="de-CH"/>
        </w:rPr>
      </w:pPr>
      <w:bookmarkStart w:id="130" w:name="_Toc195000924"/>
      <w:bookmarkStart w:id="131" w:name="_Toc196226265"/>
      <w:r w:rsidRPr="006D12E1">
        <w:rPr>
          <w:lang w:val="de-CH"/>
        </w:rPr>
        <w:t>Allgemeines</w:t>
      </w:r>
      <w:bookmarkEnd w:id="130"/>
      <w:bookmarkEnd w:id="131"/>
    </w:p>
    <w:p w14:paraId="3FB0F220" w14:textId="77777777" w:rsidR="00C87535" w:rsidRPr="006D12E1" w:rsidRDefault="00C87535" w:rsidP="00C87535">
      <w:pPr>
        <w:pStyle w:val="Listealphabtique"/>
        <w:numPr>
          <w:ilvl w:val="0"/>
          <w:numId w:val="0"/>
        </w:numPr>
        <w:rPr>
          <w:b/>
          <w:bCs/>
          <w:lang w:val="de-CH"/>
        </w:rPr>
      </w:pPr>
      <w:r w:rsidRPr="006D12E1">
        <w:rPr>
          <w:b/>
          <w:bCs/>
          <w:lang w:val="de-CH"/>
        </w:rPr>
        <w:t>&gt;</w:t>
      </w:r>
      <w:r w:rsidRPr="006D12E1">
        <w:rPr>
          <w:b/>
          <w:bCs/>
          <w:lang w:val="de-CH"/>
        </w:rPr>
        <w:tab/>
        <w:t>Stärkere Berücksichtigung des Vermögens bei der Kostenbeteiligung von im Pflegeheim untergebrachten Personen</w:t>
      </w:r>
    </w:p>
    <w:p w14:paraId="0245977C" w14:textId="77777777" w:rsidR="00C87535" w:rsidRPr="006D12E1" w:rsidRDefault="00C87535" w:rsidP="00C87535">
      <w:pPr>
        <w:pStyle w:val="Corpsdetexte"/>
        <w:rPr>
          <w:lang w:val="de-CH"/>
        </w:rPr>
      </w:pPr>
      <w:r w:rsidRPr="006D12E1">
        <w:rPr>
          <w:lang w:val="de-CH"/>
        </w:rPr>
        <w:t>Diese Massnahme zielt auf eine stärkere Berücksichtigung des Vermögens von Personen ab, die Beiträge an die Betreuungskosten in Anspruch nehmen, um ihren Aufenthalt im Pflegeheim zu finanzieren.</w:t>
      </w:r>
    </w:p>
    <w:p w14:paraId="42D12C11" w14:textId="77777777" w:rsidR="00C87535" w:rsidRPr="006D12E1" w:rsidRDefault="00C87535" w:rsidP="00C87535">
      <w:pPr>
        <w:pStyle w:val="Corpsdetexte"/>
        <w:rPr>
          <w:lang w:val="de-CH"/>
        </w:rPr>
      </w:pPr>
      <w:r w:rsidRPr="006D12E1">
        <w:rPr>
          <w:lang w:val="de-CH"/>
        </w:rPr>
        <w:t>Diese Massnahme führt zu einer Nettoeinsparung für den Staat von 1 125 000 Franken pro Jahr. Da sich die Gemeinden ebenfalls an den Beiträgen an die Betreuungskosten beteiligen (zu 55 % der Gesamtrechnung), profitieren auch sie von einer Senkung ihrer Kosten.</w:t>
      </w:r>
    </w:p>
    <w:p w14:paraId="6D944E9C" w14:textId="77777777" w:rsidR="00C87535" w:rsidRPr="006D12E1" w:rsidRDefault="00C87535" w:rsidP="00C87535">
      <w:pPr>
        <w:pStyle w:val="Corpsdetexte"/>
        <w:rPr>
          <w:lang w:val="de-CH"/>
        </w:rPr>
      </w:pPr>
      <w:r w:rsidRPr="006D12E1">
        <w:rPr>
          <w:lang w:val="de-CH"/>
        </w:rPr>
        <w:t xml:space="preserve">Diese Massnahme führt zu einer Erhöhung der Kosten für die Pflegeheimbewohnenden. </w:t>
      </w:r>
    </w:p>
    <w:p w14:paraId="6D989D9F" w14:textId="116A8B8A" w:rsidR="00C87535" w:rsidRPr="006D12E1" w:rsidRDefault="00C87535" w:rsidP="00C87535">
      <w:pPr>
        <w:pStyle w:val="Corpsdetexte"/>
        <w:rPr>
          <w:lang w:val="de-CH"/>
        </w:rPr>
      </w:pPr>
      <w:r w:rsidRPr="006D12E1">
        <w:rPr>
          <w:lang w:val="de-CH"/>
        </w:rPr>
        <w:t xml:space="preserve">Auf die Immobilien, die der Ehepartnerin oder dem Ehepartner eines Pflegeheimbewohnenden als Wohnung dienen, </w:t>
      </w:r>
      <w:r w:rsidR="00174415">
        <w:rPr>
          <w:lang w:val="de-CH"/>
        </w:rPr>
        <w:t xml:space="preserve">hätte diese Massnahme nur in einigen </w:t>
      </w:r>
      <w:r w:rsidR="00311B0D">
        <w:rPr>
          <w:lang w:val="de-CH"/>
        </w:rPr>
        <w:t>Sonderf</w:t>
      </w:r>
      <w:r w:rsidR="00174415">
        <w:rPr>
          <w:lang w:val="de-CH"/>
        </w:rPr>
        <w:t>ällen</w:t>
      </w:r>
      <w:r w:rsidRPr="006D12E1">
        <w:rPr>
          <w:lang w:val="de-CH"/>
        </w:rPr>
        <w:t xml:space="preserve"> Auswirkungen, da auf </w:t>
      </w:r>
      <w:r w:rsidR="00174415">
        <w:rPr>
          <w:lang w:val="de-CH"/>
        </w:rPr>
        <w:t>dem zur Berechnung herangezogenen Repartitionswert der</w:t>
      </w:r>
      <w:r w:rsidR="00174415" w:rsidRPr="006D12E1">
        <w:rPr>
          <w:lang w:val="de-CH"/>
        </w:rPr>
        <w:t xml:space="preserve"> </w:t>
      </w:r>
      <w:r w:rsidRPr="006D12E1">
        <w:rPr>
          <w:lang w:val="de-CH"/>
        </w:rPr>
        <w:t xml:space="preserve">Immobilie ein Freibetrag von 300 000 Franken </w:t>
      </w:r>
      <w:r w:rsidR="00174415">
        <w:rPr>
          <w:lang w:val="de-CH"/>
        </w:rPr>
        <w:t>zum Abzug gebracht wird</w:t>
      </w:r>
      <w:r w:rsidRPr="006D12E1">
        <w:rPr>
          <w:lang w:val="de-CH"/>
        </w:rPr>
        <w:t>.</w:t>
      </w:r>
    </w:p>
    <w:p w14:paraId="12E3CCC8" w14:textId="77777777" w:rsidR="00C87535" w:rsidRPr="006D12E1" w:rsidRDefault="00C87535" w:rsidP="00C87535">
      <w:pPr>
        <w:pStyle w:val="Listealphabtique"/>
        <w:numPr>
          <w:ilvl w:val="0"/>
          <w:numId w:val="0"/>
        </w:numPr>
        <w:rPr>
          <w:b/>
          <w:bCs/>
          <w:lang w:val="de-CH"/>
        </w:rPr>
      </w:pPr>
      <w:r w:rsidRPr="006D12E1">
        <w:rPr>
          <w:b/>
          <w:bCs/>
          <w:lang w:val="de-CH"/>
        </w:rPr>
        <w:t>&gt;</w:t>
      </w:r>
      <w:r w:rsidRPr="006D12E1">
        <w:rPr>
          <w:b/>
          <w:bCs/>
          <w:lang w:val="de-CH"/>
        </w:rPr>
        <w:tab/>
        <w:t>Weiterverrechnung der kantonalen Aufträge der Pflegeheime an die Gemeinden</w:t>
      </w:r>
    </w:p>
    <w:p w14:paraId="4833DD69" w14:textId="77777777" w:rsidR="00C87535" w:rsidRPr="006D12E1" w:rsidRDefault="00C87535" w:rsidP="00C87535">
      <w:pPr>
        <w:pStyle w:val="Corpsdetexte"/>
        <w:rPr>
          <w:lang w:val="de-CH"/>
        </w:rPr>
      </w:pPr>
      <w:r w:rsidRPr="006D12E1">
        <w:rPr>
          <w:lang w:val="de-CH"/>
        </w:rPr>
        <w:t>Es wird vorgeschlagen, die in der Antwort auf den Auftrag 2023-GC-134 präsentierte Änderung zu übernehmen. Die folgenden Kommentare zu den Artikeln sollen zum besseren Verständnis dieser Massnahmen beitragen.</w:t>
      </w:r>
    </w:p>
    <w:p w14:paraId="08C1ED4C" w14:textId="3500DA77" w:rsidR="00C87535" w:rsidRPr="006D12E1" w:rsidRDefault="00C87535" w:rsidP="00C87535">
      <w:pPr>
        <w:pStyle w:val="Titre3"/>
        <w:rPr>
          <w:lang w:val="de-CH"/>
        </w:rPr>
      </w:pPr>
      <w:bookmarkStart w:id="132" w:name="_Toc195000925"/>
      <w:bookmarkStart w:id="133" w:name="_Toc196226266"/>
      <w:r w:rsidRPr="006D12E1">
        <w:rPr>
          <w:rFonts w:ascii="Arial" w:eastAsia="Times New Roman" w:hAnsi="Arial" w:cs="Times New Roman"/>
          <w:lang w:val="de-CH"/>
        </w:rPr>
        <w:lastRenderedPageBreak/>
        <w:t>Kommentar der einzelnen Artikel</w:t>
      </w:r>
      <w:bookmarkEnd w:id="132"/>
      <w:bookmarkEnd w:id="133"/>
    </w:p>
    <w:p w14:paraId="12B94285" w14:textId="77777777" w:rsidR="00C87535" w:rsidRPr="006D12E1" w:rsidRDefault="00C87535" w:rsidP="00C87535">
      <w:pPr>
        <w:pStyle w:val="TitreArticleloi"/>
        <w:rPr>
          <w:lang w:val="de-CH"/>
        </w:rPr>
      </w:pPr>
      <w:r w:rsidRPr="006D12E1">
        <w:rPr>
          <w:lang w:val="de-CH"/>
        </w:rPr>
        <w:t>Art. 8 Abs. 4</w:t>
      </w:r>
    </w:p>
    <w:p w14:paraId="6839ADD9" w14:textId="77777777" w:rsidR="00C87535" w:rsidRPr="006D12E1" w:rsidRDefault="00C87535" w:rsidP="00C87535">
      <w:pPr>
        <w:pStyle w:val="Corpsdetexte"/>
        <w:rPr>
          <w:lang w:val="de-CH"/>
        </w:rPr>
      </w:pPr>
      <w:r w:rsidRPr="006D12E1">
        <w:rPr>
          <w:lang w:val="de-CH"/>
        </w:rPr>
        <w:t>Es geht darum, in Situationen, in denen die tatsächliche Bereitstellung von Pflegeheimbetten durch die Gemeindeverbände weder der kantonalen Planung der Langzeitpflege noch den vom Staat erlaubten Volumen folgt, bis zur endgültigen Platzierung über einen kantonalen Auftrag Plätze anzubieten.</w:t>
      </w:r>
    </w:p>
    <w:p w14:paraId="07CF4D41" w14:textId="77777777" w:rsidR="00C87535" w:rsidRPr="006D12E1" w:rsidRDefault="00C87535" w:rsidP="00C87535">
      <w:pPr>
        <w:pStyle w:val="TitreArticleloi"/>
        <w:rPr>
          <w:lang w:val="de-CH"/>
        </w:rPr>
      </w:pPr>
      <w:r w:rsidRPr="006D12E1">
        <w:rPr>
          <w:lang w:val="de-CH"/>
        </w:rPr>
        <w:t>Art. 14 Abs. 2</w:t>
      </w:r>
    </w:p>
    <w:p w14:paraId="36D36DE9" w14:textId="77777777" w:rsidR="00C87535" w:rsidRPr="006D12E1" w:rsidRDefault="00C87535" w:rsidP="00C87535">
      <w:pPr>
        <w:pStyle w:val="Corpsdetexte"/>
        <w:rPr>
          <w:lang w:val="de-CH"/>
        </w:rPr>
      </w:pPr>
      <w:r w:rsidRPr="006D12E1">
        <w:rPr>
          <w:lang w:val="de-CH"/>
        </w:rPr>
        <w:t>Dieser kantonale Auftrag bzw. diese kantonalen Aufträge werden nach den gleichen Modalitäten finanziert wie ein Kurzzeitaufenthalt in einem Pflegeheim. Die Kompensation von einigen Besonderheiten im Zusammenhang mit diesen vorübergehenden Aufenthalten (höhere Fluktuation, Reaktionsbereitschaft, die zu höheren Koordinationskosten führt, Notwendigkeit, sehr kurzfristig Betten bereitzustellen usw.) wird jedoch zu Mehrkosten führen, die pauschal festgelegt werden.</w:t>
      </w:r>
    </w:p>
    <w:p w14:paraId="682C5F6E" w14:textId="77777777" w:rsidR="00C87535" w:rsidRPr="006D12E1" w:rsidRDefault="00C87535" w:rsidP="00C87535">
      <w:pPr>
        <w:pStyle w:val="TitreArticleloi"/>
        <w:rPr>
          <w:lang w:val="de-CH"/>
        </w:rPr>
      </w:pPr>
      <w:r w:rsidRPr="006D12E1">
        <w:rPr>
          <w:lang w:val="de-CH"/>
        </w:rPr>
        <w:t>Art. 15 Abs. 4</w:t>
      </w:r>
    </w:p>
    <w:p w14:paraId="0955EC5C" w14:textId="77777777" w:rsidR="00C87535" w:rsidRPr="006D12E1" w:rsidRDefault="00C87535" w:rsidP="00C87535">
      <w:pPr>
        <w:rPr>
          <w:lang w:val="de-CH"/>
        </w:rPr>
      </w:pPr>
      <w:r w:rsidRPr="006D12E1">
        <w:rPr>
          <w:lang w:val="de-CH"/>
        </w:rPr>
        <w:t>Der derzeitige Freibetrag von 200 000 Franken wird für eine alleinstehende Person auf 100 000 Franken gesenkt. Die übrigen Bedingungen für den Anspruch auf einen Beitrag an die Betreuungskosten sind von dieser Massnahme nicht betroffen.</w:t>
      </w:r>
    </w:p>
    <w:p w14:paraId="40594064" w14:textId="77777777" w:rsidR="00C87535" w:rsidRPr="006D12E1" w:rsidRDefault="00C87535" w:rsidP="00C87535">
      <w:pPr>
        <w:pStyle w:val="TitreArticleloi"/>
        <w:rPr>
          <w:lang w:val="de-CH"/>
        </w:rPr>
      </w:pPr>
      <w:r w:rsidRPr="006D12E1">
        <w:rPr>
          <w:lang w:val="de-CH"/>
        </w:rPr>
        <w:t>Art. 18 Abs.2</w:t>
      </w:r>
    </w:p>
    <w:p w14:paraId="3B08144B" w14:textId="77777777" w:rsidR="00C87535" w:rsidRPr="006D12E1" w:rsidRDefault="00C87535" w:rsidP="00C87535">
      <w:pPr>
        <w:pStyle w:val="Corpsdetexte"/>
        <w:rPr>
          <w:lang w:val="de-CH"/>
        </w:rPr>
      </w:pPr>
      <w:r w:rsidRPr="006D12E1">
        <w:rPr>
          <w:lang w:val="de-CH"/>
        </w:rPr>
        <w:t xml:space="preserve">Artikel 18 Absatz 2 legt zudem den Abrechnungsmodus der mit allen kantonalen Aufträgen verbundenen Finanzierungskosten fest. Dieser Artikel ändert die derzeitige Praxis und erlaubt es den Pflegeheimen mit einem kantonalen Auftrag, die tatsächlichen Finanzierungskosten dem Gemeindeverband in Rechnung zu stellen, dem die Wohngemeinde der Leistungsbezügerin oder des Leistungsbezügers angehört. </w:t>
      </w:r>
    </w:p>
    <w:p w14:paraId="3FFF6487" w14:textId="77777777" w:rsidR="00C87535" w:rsidRPr="006D12E1" w:rsidRDefault="00C87535" w:rsidP="00C87535">
      <w:pPr>
        <w:pStyle w:val="TitreArticleloi"/>
        <w:rPr>
          <w:color w:val="auto"/>
          <w:lang w:val="de-CH"/>
        </w:rPr>
      </w:pPr>
      <w:r w:rsidRPr="006D12E1">
        <w:rPr>
          <w:color w:val="auto"/>
          <w:lang w:val="de-CH"/>
        </w:rPr>
        <w:t>Art. 20a</w:t>
      </w:r>
    </w:p>
    <w:p w14:paraId="43C05C5E" w14:textId="77777777" w:rsidR="00C87535" w:rsidRPr="006D12E1" w:rsidRDefault="00C87535" w:rsidP="00C87535">
      <w:pPr>
        <w:pStyle w:val="Corpsdetexte"/>
        <w:rPr>
          <w:lang w:val="de-CH"/>
        </w:rPr>
      </w:pPr>
      <w:r w:rsidRPr="006D12E1">
        <w:rPr>
          <w:lang w:val="de-CH"/>
        </w:rPr>
        <w:t>Artikel 20a legt die Grundlage für die Finanzierung der Mehrkosten im Zusammenhang mit kantonalen Leistungsaufträgen fest, die aufgrund der unzureichenden Deckung des Bedarfs abgeschlossen wurden. Somit werden die Mehrkosten dem oder den Gemeindeverbänden in Rechnung gestellt, die für die Deckung des Bedarfs zuständig sind. Dies wird durch eine rückwirkende Berechnung erfolgen, bei der die Anzahl der von den vom Gemeindeverband beauftragten Pflegeheimen produzierten Tage mit der Anzahl der tatsächlich von den Personen aus den mit diesem Verband verbundenen Gemeinden in Anspruch genommenen Tage in Bezug gesetzt wird.</w:t>
      </w:r>
    </w:p>
    <w:p w14:paraId="45A46D5F" w14:textId="77777777" w:rsidR="00C87535" w:rsidRPr="006D12E1" w:rsidRDefault="00C87535" w:rsidP="00C87535">
      <w:pPr>
        <w:pStyle w:val="Corpsdetexte"/>
        <w:rPr>
          <w:lang w:val="de-CH"/>
        </w:rPr>
      </w:pPr>
      <w:r w:rsidRPr="006D12E1">
        <w:rPr>
          <w:lang w:val="de-CH"/>
        </w:rPr>
        <w:t>Derzeit stellt das Pflegeheim die Finanzierungskosten eines kantonalen Auftrags bis zur Höhe des kantonalen Durchschnitts in Rechnung. Die allfällige Differenz wird im kantonalen Auftrag berücksichtigt. Ihre Finanzierung wird demnach zwischen dem Kanton (45 %) und sämtlichen Gemeinden (55 %) entsprechend der zivilrechtlichen Bevölkerung aufgeteilt.</w:t>
      </w:r>
    </w:p>
    <w:p w14:paraId="5004AC94" w14:textId="266013C6" w:rsidR="00C87535" w:rsidRPr="006D12E1" w:rsidRDefault="00C87535" w:rsidP="00C87535">
      <w:pPr>
        <w:pStyle w:val="Titre2"/>
        <w:rPr>
          <w:lang w:val="de-CH"/>
        </w:rPr>
      </w:pPr>
      <w:bookmarkStart w:id="134" w:name="_Toc195000926"/>
      <w:bookmarkStart w:id="135" w:name="_Toc196226267"/>
      <w:r w:rsidRPr="006D12E1">
        <w:rPr>
          <w:lang w:val="de-CH"/>
        </w:rPr>
        <w:t>Änderung des Ausführungsgesetzes zum Bundesgesetz über die Neuordnung der Pflegefinanzierung</w:t>
      </w:r>
      <w:bookmarkEnd w:id="134"/>
      <w:bookmarkEnd w:id="135"/>
    </w:p>
    <w:p w14:paraId="5E5D8627" w14:textId="0E4F10AA" w:rsidR="00C87535" w:rsidRPr="003C70C9" w:rsidRDefault="00C87535" w:rsidP="00C87535">
      <w:pPr>
        <w:pStyle w:val="Titre3"/>
        <w:rPr>
          <w:lang w:val="de-CH"/>
        </w:rPr>
      </w:pPr>
      <w:bookmarkStart w:id="136" w:name="_Toc195000927"/>
      <w:bookmarkStart w:id="137" w:name="_Toc196226268"/>
      <w:r w:rsidRPr="006D12E1">
        <w:rPr>
          <w:lang w:val="de-CH"/>
        </w:rPr>
        <w:t>Allgemeines</w:t>
      </w:r>
      <w:bookmarkEnd w:id="136"/>
      <w:bookmarkEnd w:id="137"/>
    </w:p>
    <w:p w14:paraId="44F05E95" w14:textId="77777777" w:rsidR="00C87535" w:rsidRPr="006D12E1" w:rsidRDefault="00C87535" w:rsidP="00C87535">
      <w:pPr>
        <w:pStyle w:val="Listealphabtique"/>
        <w:numPr>
          <w:ilvl w:val="0"/>
          <w:numId w:val="0"/>
        </w:numPr>
        <w:rPr>
          <w:b/>
          <w:bCs/>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Erhöhung der den in einem Heim untergebrachten Personen fakturierten Pflegekosten auf 23.-/Tag</w:t>
      </w:r>
    </w:p>
    <w:p w14:paraId="546960DB" w14:textId="77777777" w:rsidR="00C87535" w:rsidRPr="006D12E1" w:rsidRDefault="00C87535" w:rsidP="00C87535">
      <w:pPr>
        <w:pStyle w:val="Corpsdetexte"/>
        <w:rPr>
          <w:lang w:val="de-CH"/>
        </w:rPr>
      </w:pPr>
      <w:r w:rsidRPr="006D12E1">
        <w:rPr>
          <w:lang w:val="de-CH"/>
        </w:rPr>
        <w:t>Diese Massnahme betrifft ausschliesslich Personen, die über ausreichende Eigenmittel verfügen. Für diese Personen erhöhen sich die in Rechnung gestellten Tageskosten um durchschnittlich 10 Franken. Für Personen mit Ergänzungsleistungen und Beiträgen an die Betreuungskosten hat diese Massnahme keine Auswirkungen.</w:t>
      </w:r>
    </w:p>
    <w:p w14:paraId="69B58C85" w14:textId="77777777" w:rsidR="00C87535" w:rsidRPr="006D12E1" w:rsidRDefault="00C87535" w:rsidP="00C87535">
      <w:pPr>
        <w:pStyle w:val="Corpsdetexte"/>
        <w:rPr>
          <w:lang w:val="de-CH"/>
        </w:rPr>
      </w:pPr>
      <w:r w:rsidRPr="006D12E1">
        <w:rPr>
          <w:lang w:val="de-CH"/>
        </w:rPr>
        <w:t>Mit der Umsetzung dieser Massnahme nähert sich der Kanton Freiburg an die Praxis der Nachbarkantone an, die diesen Höchstbeitrag in den meisten Fällen bereits in Rechnung stellen</w:t>
      </w:r>
    </w:p>
    <w:p w14:paraId="74DCB7C9" w14:textId="24C0B2F2" w:rsidR="00C87535" w:rsidRPr="006D12E1" w:rsidRDefault="00C87535" w:rsidP="00C87535">
      <w:pPr>
        <w:pStyle w:val="Corpsdetexte"/>
        <w:rPr>
          <w:lang w:val="de-CH"/>
        </w:rPr>
      </w:pPr>
      <w:r w:rsidRPr="006D12E1">
        <w:rPr>
          <w:lang w:val="de-CH"/>
        </w:rPr>
        <w:t>Diese Massnahme wirkt sich negativ auf die Restkosten für Pflegeleistungen und leicht positiv auf die Beiträge an die Betreuungskosten für Personen mit unzureichenden Eigenmittel</w:t>
      </w:r>
      <w:r w:rsidR="00174415">
        <w:rPr>
          <w:lang w:val="de-CH"/>
        </w:rPr>
        <w:t>n</w:t>
      </w:r>
      <w:r w:rsidRPr="006D12E1">
        <w:rPr>
          <w:lang w:val="de-CH"/>
        </w:rPr>
        <w:t xml:space="preserve"> aus. Der positive Nettoeffekt beläuft sich für den Kanton auf 145 000 Franken. Die Massnahme hat auch positive Auswirkungen auf die Gemeinden, die die </w:t>
      </w:r>
      <w:r w:rsidRPr="006D12E1">
        <w:rPr>
          <w:lang w:val="de-CH"/>
        </w:rPr>
        <w:lastRenderedPageBreak/>
        <w:t>Restkosten für Pflegeleistungen und die Beiträge an die Betreuungskosten in Höhe von 55 % der Gesamtrechnung finanzieren.</w:t>
      </w:r>
    </w:p>
    <w:p w14:paraId="52838252" w14:textId="77777777" w:rsidR="00C87535" w:rsidRPr="006D12E1" w:rsidRDefault="00C87535" w:rsidP="00C87535">
      <w:pPr>
        <w:pStyle w:val="Corpsdetexte"/>
        <w:rPr>
          <w:lang w:val="de-CH"/>
        </w:rPr>
      </w:pPr>
      <w:r w:rsidRPr="006D12E1">
        <w:rPr>
          <w:lang w:val="de-CH"/>
        </w:rPr>
        <w:t>Für Personen mit ausreichenden Eigenmitteln werden sich die Pflegeheimkosten erhöhen.</w:t>
      </w:r>
    </w:p>
    <w:p w14:paraId="1A2B57A3" w14:textId="77777777" w:rsidR="00C87535" w:rsidRPr="006D12E1" w:rsidRDefault="00C87535" w:rsidP="00C87535">
      <w:pPr>
        <w:pStyle w:val="Titre3"/>
        <w:rPr>
          <w:lang w:val="de-CH"/>
        </w:rPr>
      </w:pPr>
      <w:bookmarkStart w:id="138" w:name="_Toc195000928"/>
      <w:bookmarkStart w:id="139" w:name="_Toc196226269"/>
      <w:r w:rsidRPr="006D12E1">
        <w:rPr>
          <w:rFonts w:ascii="Arial" w:eastAsia="Times New Roman" w:hAnsi="Arial" w:cs="Times New Roman"/>
          <w:lang w:val="de-CH"/>
        </w:rPr>
        <w:t>Kommentar der einzelnen Artikel</w:t>
      </w:r>
      <w:bookmarkEnd w:id="138"/>
      <w:bookmarkEnd w:id="139"/>
    </w:p>
    <w:p w14:paraId="0BCDC582" w14:textId="77777777" w:rsidR="00C87535" w:rsidRPr="006D12E1" w:rsidRDefault="00C87535" w:rsidP="00C87535">
      <w:pPr>
        <w:pStyle w:val="TitreArticleloi"/>
        <w:rPr>
          <w:lang w:val="de-CH"/>
        </w:rPr>
      </w:pPr>
      <w:r w:rsidRPr="006D12E1">
        <w:rPr>
          <w:lang w:val="de-CH"/>
        </w:rPr>
        <w:t>Art. 2 Abs.1</w:t>
      </w:r>
    </w:p>
    <w:p w14:paraId="701ED607" w14:textId="77777777" w:rsidR="00C87535" w:rsidRPr="006D12E1" w:rsidRDefault="00C87535" w:rsidP="00C87535">
      <w:pPr>
        <w:pStyle w:val="Corpsdetexte"/>
        <w:rPr>
          <w:lang w:val="de-CH"/>
        </w:rPr>
      </w:pPr>
      <w:r w:rsidRPr="006D12E1">
        <w:rPr>
          <w:lang w:val="de-CH"/>
        </w:rPr>
        <w:t xml:space="preserve">Die Gesetzesänderung ermöglicht es dem Kanton Freiburg, gemäss den Bestimmungen des KVG bis zu 20 % des Höchstbetrags der Krankenversicherer Personen in Rechnung zu stellen, die Leistungen in einem Pflegeheim in Anspruch nehmen. Dieser Höchstbetrag basiert auf den Tarifen, die in Artikel 7a, Absatz 3 der Verordnung vom 29. September 1995 des EDI über Leistungen in der obligatorischen Krankenversicherung (KLV) aufgeführt sind. </w:t>
      </w:r>
    </w:p>
    <w:p w14:paraId="6A05C785" w14:textId="20EDB1DE" w:rsidR="00C87535" w:rsidRPr="006D12E1" w:rsidRDefault="00C87535" w:rsidP="00C87535">
      <w:pPr>
        <w:pStyle w:val="Titre2"/>
        <w:rPr>
          <w:lang w:val="de-CH"/>
        </w:rPr>
      </w:pPr>
      <w:bookmarkStart w:id="140" w:name="_Toc195000929"/>
      <w:bookmarkStart w:id="141" w:name="_Toc196226270"/>
      <w:r w:rsidRPr="006D12E1">
        <w:rPr>
          <w:lang w:val="de-CH"/>
        </w:rPr>
        <w:t>Änderung des Sozialhilfegesetzes (SHG)</w:t>
      </w:r>
      <w:bookmarkEnd w:id="140"/>
      <w:bookmarkEnd w:id="141"/>
    </w:p>
    <w:p w14:paraId="7AC4389E" w14:textId="678871D7" w:rsidR="00C87535" w:rsidRPr="006D12E1" w:rsidRDefault="00C87535" w:rsidP="00C87535">
      <w:pPr>
        <w:pStyle w:val="Titre3"/>
        <w:rPr>
          <w:lang w:val="de-CH"/>
        </w:rPr>
      </w:pPr>
      <w:bookmarkStart w:id="142" w:name="_Toc195000930"/>
      <w:bookmarkStart w:id="143" w:name="_Toc196226271"/>
      <w:r w:rsidRPr="006D12E1">
        <w:rPr>
          <w:lang w:val="de-CH"/>
        </w:rPr>
        <w:t>Allgemeines</w:t>
      </w:r>
      <w:bookmarkEnd w:id="142"/>
      <w:bookmarkEnd w:id="143"/>
    </w:p>
    <w:p w14:paraId="54BCF68A" w14:textId="77777777" w:rsidR="00C87535" w:rsidRPr="006D12E1" w:rsidRDefault="00C87535" w:rsidP="00C87535">
      <w:pPr>
        <w:rPr>
          <w:lang w:val="de-CH"/>
        </w:rPr>
      </w:pPr>
      <w:r w:rsidRPr="006D12E1">
        <w:rPr>
          <w:lang w:val="de-CH"/>
        </w:rPr>
        <w:t xml:space="preserve">Diese Änderung steht in Zusammenhang mit der Änderung des AGOHG und des IHBUG. Erläuterungen dazu sind in Kapitel 6.5.1 zu finden. </w:t>
      </w:r>
    </w:p>
    <w:p w14:paraId="704AF0C2" w14:textId="77777777" w:rsidR="00C87535" w:rsidRPr="006D12E1" w:rsidRDefault="00C87535" w:rsidP="00C87535">
      <w:pPr>
        <w:pStyle w:val="Titre3"/>
        <w:rPr>
          <w:lang w:val="de-CH"/>
        </w:rPr>
      </w:pPr>
      <w:bookmarkStart w:id="144" w:name="_Toc195000931"/>
      <w:bookmarkStart w:id="145" w:name="_Toc196226272"/>
      <w:r w:rsidRPr="006D12E1">
        <w:rPr>
          <w:lang w:val="de-CH"/>
        </w:rPr>
        <w:t>Detaillierte finanzielle Schätzungen</w:t>
      </w:r>
      <w:bookmarkEnd w:id="144"/>
      <w:bookmarkEnd w:id="145"/>
    </w:p>
    <w:p w14:paraId="06034083" w14:textId="77777777" w:rsidR="00C87535" w:rsidRPr="006D12E1" w:rsidRDefault="00C87535" w:rsidP="00C87535">
      <w:pPr>
        <w:pStyle w:val="Corpsdetexte"/>
        <w:rPr>
          <w:lang w:val="de-CH"/>
        </w:rPr>
      </w:pPr>
      <w:r w:rsidRPr="006D12E1">
        <w:rPr>
          <w:lang w:val="de-CH"/>
        </w:rPr>
        <w:t>Diese Änderung steht in Zusammenhang mit der Änderung des AGOHG und des IHBUG. Detaillierte finanzielle Schätzungen sind in Kapitel 6.5.2 zu finden.</w:t>
      </w:r>
    </w:p>
    <w:p w14:paraId="45CE82C8" w14:textId="17C47421" w:rsidR="00C87535" w:rsidRPr="006D12E1" w:rsidRDefault="00C87535" w:rsidP="00C87535">
      <w:pPr>
        <w:pStyle w:val="Titre3"/>
        <w:rPr>
          <w:lang w:val="de-CH"/>
        </w:rPr>
      </w:pPr>
      <w:bookmarkStart w:id="146" w:name="_Toc195000932"/>
      <w:bookmarkStart w:id="147" w:name="_Toc196226273"/>
      <w:r w:rsidRPr="006D12E1">
        <w:rPr>
          <w:rFonts w:ascii="Arial" w:eastAsia="Times New Roman" w:hAnsi="Arial" w:cs="Times New Roman"/>
          <w:lang w:val="de-CH"/>
        </w:rPr>
        <w:t>Kommentar der einzelnen Artikel</w:t>
      </w:r>
      <w:bookmarkEnd w:id="146"/>
      <w:bookmarkEnd w:id="147"/>
    </w:p>
    <w:p w14:paraId="1E7C1E68" w14:textId="77777777" w:rsidR="00C87535" w:rsidRPr="003C70C9" w:rsidRDefault="00C87535" w:rsidP="00C87535">
      <w:pPr>
        <w:pStyle w:val="TitreArticleloi"/>
        <w:rPr>
          <w:lang w:val="de-CH"/>
        </w:rPr>
      </w:pPr>
      <w:r w:rsidRPr="003C70C9">
        <w:rPr>
          <w:lang w:val="de-CH"/>
        </w:rPr>
        <w:t>Art. 78 Abs. 1</w:t>
      </w:r>
    </w:p>
    <w:p w14:paraId="0E9C43B7" w14:textId="1AA736E7" w:rsidR="00DB489E" w:rsidRPr="00C87535" w:rsidRDefault="00C87535" w:rsidP="00C87535">
      <w:pPr>
        <w:rPr>
          <w:lang w:val="de-CH"/>
        </w:rPr>
      </w:pPr>
      <w:r w:rsidRPr="006D12E1">
        <w:rPr>
          <w:lang w:val="de-CH"/>
        </w:rPr>
        <w:t>Die Prozentsätze werden wie vorgeschlagen angepasst.</w:t>
      </w:r>
    </w:p>
    <w:p w14:paraId="2CF31757" w14:textId="65988512" w:rsidR="00764E7C" w:rsidRPr="006D12E1" w:rsidRDefault="007C5967" w:rsidP="00764E7C">
      <w:pPr>
        <w:pStyle w:val="Titre2"/>
        <w:rPr>
          <w:lang w:val="de-CH"/>
        </w:rPr>
      </w:pPr>
      <w:bookmarkStart w:id="148" w:name="_Toc196226274"/>
      <w:r>
        <w:rPr>
          <w:lang w:val="de-CH"/>
        </w:rPr>
        <w:t xml:space="preserve">Änderung des </w:t>
      </w:r>
      <w:r w:rsidR="00764E7C" w:rsidRPr="006D12E1">
        <w:rPr>
          <w:lang w:val="de-CH"/>
        </w:rPr>
        <w:t>Gesetz</w:t>
      </w:r>
      <w:r>
        <w:rPr>
          <w:lang w:val="de-CH"/>
        </w:rPr>
        <w:t>es</w:t>
      </w:r>
      <w:r w:rsidR="00764E7C" w:rsidRPr="006D12E1">
        <w:rPr>
          <w:lang w:val="de-CH"/>
        </w:rPr>
        <w:t xml:space="preserve"> über die sonder- und sozialpädagogischen Institutionen und die professionellen Pflegefamilien (SIPG)</w:t>
      </w:r>
      <w:bookmarkEnd w:id="148"/>
    </w:p>
    <w:p w14:paraId="04D325B9" w14:textId="558286FC" w:rsidR="00764E7C" w:rsidRPr="006D12E1" w:rsidRDefault="00764E7C" w:rsidP="00764E7C">
      <w:pPr>
        <w:pStyle w:val="Titre3"/>
        <w:rPr>
          <w:lang w:val="de-CH"/>
        </w:rPr>
      </w:pPr>
      <w:bookmarkStart w:id="149" w:name="_Toc195000934"/>
      <w:bookmarkStart w:id="150" w:name="_Toc196226275"/>
      <w:r w:rsidRPr="006D12E1">
        <w:rPr>
          <w:lang w:val="de-CH"/>
        </w:rPr>
        <w:t>Allgemeines</w:t>
      </w:r>
      <w:bookmarkEnd w:id="149"/>
      <w:bookmarkEnd w:id="150"/>
    </w:p>
    <w:p w14:paraId="335AD7C4" w14:textId="77777777" w:rsidR="00764E7C" w:rsidRPr="006D12E1" w:rsidRDefault="00764E7C" w:rsidP="00764E7C">
      <w:pPr>
        <w:pStyle w:val="Corpsdetexte"/>
        <w:rPr>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Beiträge der Gemeinden an die Finanzierung von nicht professionellen Pflegefamilien</w:t>
      </w:r>
    </w:p>
    <w:p w14:paraId="3F143E77" w14:textId="77777777" w:rsidR="00764E7C" w:rsidRPr="006D12E1" w:rsidRDefault="00764E7C" w:rsidP="00764E7C">
      <w:pPr>
        <w:pStyle w:val="Corpsdetexte"/>
        <w:rPr>
          <w:lang w:val="de-CH"/>
        </w:rPr>
      </w:pPr>
      <w:r w:rsidRPr="006D12E1">
        <w:rPr>
          <w:rFonts w:ascii="Times New Roman" w:eastAsia="Times New Roman" w:hAnsi="Times New Roman" w:cs="Times New Roman"/>
          <w:lang w:val="de-CH" w:eastAsia="fr-FR"/>
        </w:rPr>
        <w:t>Der Staatsrat schlägt vor, das SIPG zu ändern, um die Modalitäten für die Beiträge der öffentlichen Hand an die Finanzierung von nicht professionellen Pflegefamilien ab 2027 an die derzeit geltenden Modalitäten für die sozialpädagogischen Institutionen für Minderjährige und junge Erwachsene sowie für professionelle Pflegefamilien anzugleichen. Auf diese Weise werden für alle Formen der Unterbringung die gleichen Regeln für die Aufteilung der Finanzierung zwischen Staat und Gemeinden angewendet, wodurch die Kohärenz des Betreuungssystems gewährleistet wird.</w:t>
      </w:r>
    </w:p>
    <w:p w14:paraId="06AD20EB" w14:textId="77777777" w:rsidR="00764E7C" w:rsidRPr="006D12E1" w:rsidRDefault="00764E7C" w:rsidP="00764E7C">
      <w:pPr>
        <w:pStyle w:val="Corpsdetexte"/>
        <w:rPr>
          <w:lang w:val="de-CH"/>
        </w:rPr>
      </w:pPr>
      <w:r w:rsidRPr="006D12E1">
        <w:rPr>
          <w:lang w:val="de-CH"/>
        </w:rPr>
        <w:t>Die Motion 2023-GC-291 «Für eine bessere Unterstützung von Pflegefamilien», die von 29 Grossrätinnen und Grossräten unterzeichnet wurde, verlangt unter anderem, dass die Rolle, die Verantwortung und der Beitrag des Staates bei der Finanzierung von Betreuungsleistungen und insbesondere von nicht professionellen Pflegefamilien definiert werden. Die Motion verlangt zudem, dass die nicht professionellen Pflegefamilien administrativ und pädagogisch stärker unterstützt werden. Diese Motion wird im Rahmen des parlamentarischen Verfahrens parallel zu den Vorschlägen des Staatsrats behandelt, eine Beteiligung der Gemeinden an der Vergütung von nicht professionellen Pflegefamilien einzuführen.</w:t>
      </w:r>
    </w:p>
    <w:p w14:paraId="3AD48800" w14:textId="77777777" w:rsidR="00764E7C" w:rsidRPr="006D12E1" w:rsidRDefault="00764E7C" w:rsidP="00764E7C">
      <w:pPr>
        <w:pStyle w:val="Corpsdetexte"/>
        <w:rPr>
          <w:lang w:val="de-CH"/>
        </w:rPr>
      </w:pPr>
      <w:r w:rsidRPr="006D12E1">
        <w:rPr>
          <w:lang w:val="de-CH"/>
        </w:rPr>
        <w:t>Es gibt verschiedene Arten der Unterbringung von Kindern als Schutzmassnahme. Die wichtigsten Unterbringungsarten sind Folgende:</w:t>
      </w:r>
    </w:p>
    <w:p w14:paraId="06723D6C" w14:textId="77777777" w:rsidR="00764E7C" w:rsidRPr="006D12E1" w:rsidRDefault="00764E7C" w:rsidP="00764E7C">
      <w:pPr>
        <w:pStyle w:val="Corpsdetexte"/>
        <w:rPr>
          <w:lang w:val="de-CH"/>
        </w:rPr>
      </w:pPr>
      <w:r w:rsidRPr="006D12E1">
        <w:rPr>
          <w:lang w:val="de-CH"/>
        </w:rPr>
        <w:t>&gt;</w:t>
      </w:r>
      <w:r w:rsidRPr="006D12E1">
        <w:rPr>
          <w:lang w:val="de-CH"/>
        </w:rPr>
        <w:tab/>
        <w:t>Zugelassene und anerkannte sozialpädagogische Institutionen für Minderjährige und junge Erwachsene, früher als Pflegeheime bezeichnet;</w:t>
      </w:r>
    </w:p>
    <w:p w14:paraId="67AB0E68" w14:textId="77777777" w:rsidR="00764E7C" w:rsidRPr="006D12E1" w:rsidRDefault="00764E7C" w:rsidP="00764E7C">
      <w:pPr>
        <w:pStyle w:val="Corpsdetexte"/>
        <w:rPr>
          <w:lang w:val="de-CH"/>
        </w:rPr>
      </w:pPr>
      <w:r w:rsidRPr="006D12E1">
        <w:rPr>
          <w:lang w:val="de-CH"/>
        </w:rPr>
        <w:t>&gt;</w:t>
      </w:r>
      <w:r w:rsidRPr="006D12E1">
        <w:rPr>
          <w:lang w:val="de-CH"/>
        </w:rPr>
        <w:tab/>
        <w:t>Professionelle Pflegefamilien: jede Person, die bis zu 5 schutzbedürftige Minderjährige oder junge Erwachsene bei sich aufnimmt, ohne deren Vater oder Mutter zu sein, und die über eine Ausbildung im Bereich Sonderpädagogik oder über eine gleichwertige Berufsausbildung verfügt;</w:t>
      </w:r>
    </w:p>
    <w:p w14:paraId="28549223" w14:textId="77777777" w:rsidR="00764E7C" w:rsidRPr="006D12E1" w:rsidRDefault="00764E7C" w:rsidP="00764E7C">
      <w:pPr>
        <w:pStyle w:val="Corpsdetexte"/>
        <w:rPr>
          <w:lang w:val="de-CH"/>
        </w:rPr>
      </w:pPr>
      <w:r w:rsidRPr="006D12E1">
        <w:rPr>
          <w:lang w:val="de-CH"/>
        </w:rPr>
        <w:lastRenderedPageBreak/>
        <w:t>&gt;</w:t>
      </w:r>
      <w:r w:rsidRPr="006D12E1">
        <w:rPr>
          <w:lang w:val="de-CH"/>
        </w:rPr>
        <w:tab/>
        <w:t>Nicht professionelle Pflegefamilien (nachstehend: PFF): jede Person, die einen oder mehrere schutzbedürftige Minderjährige bei sich aufnimmt, ohne deren Vater oder Mutter zu sein, und die über keine spezifische Ausbildung verfügt.</w:t>
      </w:r>
    </w:p>
    <w:p w14:paraId="4F7700D6" w14:textId="77777777" w:rsidR="00764E7C" w:rsidRPr="006D12E1" w:rsidRDefault="00764E7C" w:rsidP="00764E7C">
      <w:pPr>
        <w:pStyle w:val="Corpsdetexte"/>
        <w:rPr>
          <w:lang w:val="de-CH"/>
        </w:rPr>
      </w:pPr>
      <w:r w:rsidRPr="006D12E1">
        <w:rPr>
          <w:lang w:val="de-CH"/>
        </w:rPr>
        <w:t>Die Kosten einer Unterbringung in einer spezialisierten Institution sind für die Behörden deutlich höher als in einer PFF. Unterbringungen in Institutionen erfordern eine entsprechende Infrastruktur und eine angemessene professionelle Betreuung. Die Kosten für die öffentliche Hand für eine Unterbringung in einer Institution ist vier- bis fünfmal höher als eine Unterbringung in einer PFF.</w:t>
      </w:r>
    </w:p>
    <w:p w14:paraId="2367ED75" w14:textId="77777777" w:rsidR="00764E7C" w:rsidRPr="006D12E1" w:rsidRDefault="00764E7C" w:rsidP="00764E7C">
      <w:pPr>
        <w:pStyle w:val="Corpsdetexte"/>
        <w:rPr>
          <w:lang w:val="de-CH"/>
        </w:rPr>
      </w:pPr>
      <w:r w:rsidRPr="006D12E1">
        <w:rPr>
          <w:lang w:val="de-CH"/>
        </w:rPr>
        <w:t xml:space="preserve">Die Unterbringung in einer PFF entspricht daher sowohl dem Grundsatz des Kindeswohls als auch dem der Wirtschaftlichkeit und stellt ein wesentliches Glied im kantonalen Kinderschutzsystem dar. </w:t>
      </w:r>
    </w:p>
    <w:p w14:paraId="650D6191" w14:textId="77777777" w:rsidR="00764E7C" w:rsidRPr="006D12E1" w:rsidRDefault="00764E7C" w:rsidP="00764E7C">
      <w:pPr>
        <w:pStyle w:val="Corpsdetexte"/>
        <w:rPr>
          <w:lang w:val="de-CH"/>
        </w:rPr>
      </w:pPr>
      <w:r w:rsidRPr="006D12E1">
        <w:rPr>
          <w:lang w:val="de-CH"/>
        </w:rPr>
        <w:t>Der Staat beteiligt sich derzeit nicht an der Finanzierung von Unterbringungen in PFF. Er subventioniert hingegen Unterbringungen in sozialpädagogischen Institutionen für Minderjährige und junge Erwachsene sowie in professionellen Pflegefamilien, indem er das Betriebsdefizit übernimmt.</w:t>
      </w:r>
    </w:p>
    <w:p w14:paraId="4D64DD21" w14:textId="77777777" w:rsidR="00764E7C" w:rsidRPr="006D12E1" w:rsidRDefault="00764E7C" w:rsidP="00764E7C">
      <w:pPr>
        <w:pStyle w:val="Corpsdetexte"/>
        <w:rPr>
          <w:lang w:val="de-CH"/>
        </w:rPr>
      </w:pPr>
      <w:r w:rsidRPr="006D12E1">
        <w:rPr>
          <w:lang w:val="de-CH"/>
        </w:rPr>
        <w:t>Die Eltern sind hingegen verpflichtet, sich an der Finanzierung zu beteiligen, unabhängig von der Art der Unterbringung, jedoch nach unterschiedlichen Modalitäten. Diese Beteiligung der Eltern fällt tiefer aus, wenn das Kind in einer sozialpädagogischen Institution für Minderjährige und junge Erwachsene oder in einer professionellen Pflegefamilie untergebracht ist.</w:t>
      </w:r>
    </w:p>
    <w:p w14:paraId="31841295" w14:textId="77777777" w:rsidR="00764E7C" w:rsidRPr="006D12E1" w:rsidRDefault="00764E7C" w:rsidP="00764E7C">
      <w:pPr>
        <w:pStyle w:val="Corpsdetexte"/>
        <w:rPr>
          <w:lang w:val="de-CH"/>
        </w:rPr>
      </w:pPr>
      <w:r w:rsidRPr="006D12E1">
        <w:rPr>
          <w:lang w:val="de-CH"/>
        </w:rPr>
        <w:t xml:space="preserve">Im Falle einer Unterbringung in einer PFF ist die finanzielle Beteiligung der Eltern folglich höher. Die Eltern zahlen diese Entschädigung direkt an die PFF. Diese tragen daher das gesamte finanzielle Risiko. Bei Zahlungsverzug der Eltern müssen die PFF selbst Schritte unternehmen, um das geschuldete Geld zurückzuerhalten. Ohne eine verbindliche Regelung, eine finanzielle Beteiligung oder staatliche Garantien kann dies einige Familien davon abhalten, sich als PFF am kantonalen Kinderschutzsystem zu beteiligen. </w:t>
      </w:r>
    </w:p>
    <w:p w14:paraId="32C99E92" w14:textId="77777777" w:rsidR="00764E7C" w:rsidRPr="006D12E1" w:rsidRDefault="00764E7C" w:rsidP="00764E7C">
      <w:pPr>
        <w:pStyle w:val="Corpsdetexte"/>
        <w:rPr>
          <w:lang w:val="de-CH"/>
        </w:rPr>
      </w:pPr>
      <w:r w:rsidRPr="006D12E1">
        <w:rPr>
          <w:lang w:val="de-CH"/>
        </w:rPr>
        <w:t>Der Staatsrat hält es daher für sinnvoll, eine öffentliche Finanzierung von Unterbringungen in PFF einzuführen, wie sie auch für Unterbringungen in einer Institution besteht. Dabei wird vom Grundsatz ausgegangen, dass die finanzielle Beteiligung für die Familien unabhängig von der Art der Unterbringung gleich sein sollte. Zudem hält es der Staatsrat für notwendig, dass der Staat die Verwaltung der Finanzströme zwischen den Eltern und der PFF gewährleistet und damit auch die rechtlichen Verfahren zur Rückforderung der von den Eltern geschuldeten Beträge übernimmt. Diese Zentralisierung würde den reibungslosen Ablauf der Unterbringung fördern und die PFF vor den oben genannten Risiken schützen.</w:t>
      </w:r>
    </w:p>
    <w:p w14:paraId="7BD5029B" w14:textId="1EE2C7F3" w:rsidR="00764E7C" w:rsidRPr="006D12E1" w:rsidRDefault="00764E7C" w:rsidP="00764E7C">
      <w:pPr>
        <w:pStyle w:val="Corpsdetexte"/>
        <w:rPr>
          <w:lang w:val="de-CH"/>
        </w:rPr>
      </w:pPr>
      <w:r w:rsidRPr="006D12E1">
        <w:rPr>
          <w:rFonts w:ascii="Times New Roman" w:hAnsi="Times New Roman" w:cs="Times New Roman"/>
          <w:lang w:val="de-CH"/>
        </w:rPr>
        <w:t xml:space="preserve">In Bezug auf die Finanzierung der Unterbringung in PFF schlägt der Staatsrat vor, dass die öffentliche Hand, wie im Gesetz über die sonder- und sozialpädagogischen Institutionen und die professionellen Pflegefamilien (SGF 834.1.2 - SIPG) vorgesehen, auch die Unterbringung in PFF finanziert, um eine Gleichbehandlung aller Unterbringungsarten zu gewährleisten. Dies beinhaltet auch die Anwendung der Bestimmungen, die die Unterbringung in sozialpädagogischen Institutionen für Minderjährige und in professionellen Pflegefamilien regeln, d. h. eine Beteiligung der öffentlichen Hand und der Eltern. Die Vergütung der PFF wird pauschal festgelegt, wobei die Pauschale die Beteiligung an der Finanzierung der sozialpädagogischen Leistung und an den Kosten für die Unterbringung des Kindes umfasst. Die Pauschale und die Modalitäten für ihre Gewährung werden vom Staatsrat festgelegt. Nach einer vertieften Analyse und einem Vergleich zwischen den Kantonen wird die Pauschale für eine dauerhafte Unterbringung eines Kindes auf 1900 </w:t>
      </w:r>
      <w:r w:rsidRPr="006D12E1">
        <w:rPr>
          <w:lang w:val="de-CH"/>
        </w:rPr>
        <w:t>Franken</w:t>
      </w:r>
      <w:r w:rsidRPr="006D12E1">
        <w:rPr>
          <w:rFonts w:ascii="Times New Roman" w:hAnsi="Times New Roman" w:cs="Times New Roman"/>
          <w:lang w:val="de-CH"/>
        </w:rPr>
        <w:t xml:space="preserve"> pro Monat geschätzt. Für Kinder in einer Entlastungsplatzierung, d.</w:t>
      </w:r>
      <w:r w:rsidR="00EB6310">
        <w:rPr>
          <w:rFonts w:ascii="Times New Roman" w:hAnsi="Times New Roman" w:cs="Times New Roman"/>
          <w:lang w:val="de-CH"/>
        </w:rPr>
        <w:t> </w:t>
      </w:r>
      <w:r w:rsidRPr="006D12E1">
        <w:rPr>
          <w:rFonts w:ascii="Times New Roman" w:hAnsi="Times New Roman" w:cs="Times New Roman"/>
          <w:lang w:val="de-CH"/>
        </w:rPr>
        <w:t xml:space="preserve">h. hauptsächlich an den beiden Wochenendtagen, wird die Pauschale auf 50 </w:t>
      </w:r>
      <w:r w:rsidRPr="006D12E1">
        <w:rPr>
          <w:lang w:val="de-CH"/>
        </w:rPr>
        <w:t>Franken</w:t>
      </w:r>
      <w:r w:rsidRPr="006D12E1">
        <w:rPr>
          <w:rFonts w:ascii="Times New Roman" w:hAnsi="Times New Roman" w:cs="Times New Roman"/>
          <w:lang w:val="de-CH"/>
        </w:rPr>
        <w:t xml:space="preserve"> pro Tag geschätzt. Am 31.12.2024 sind 68 Kinder in einer nicht professionellen Pflegefamilie untergebracht. Hinzu kommt die administrative und pädagogische Unterstützung der PFF, die für ein reibungsloses Funktionieren erforderlich ist und auf 86 000 </w:t>
      </w:r>
      <w:r w:rsidRPr="006D12E1">
        <w:rPr>
          <w:lang w:val="de-CH"/>
        </w:rPr>
        <w:t>Franken</w:t>
      </w:r>
      <w:r w:rsidRPr="006D12E1">
        <w:rPr>
          <w:rFonts w:ascii="Times New Roman" w:hAnsi="Times New Roman" w:cs="Times New Roman"/>
          <w:lang w:val="de-CH"/>
        </w:rPr>
        <w:t xml:space="preserve"> geschätzt wird.</w:t>
      </w:r>
    </w:p>
    <w:p w14:paraId="35D1DDA9" w14:textId="6B3D17FB" w:rsidR="00764E7C" w:rsidRPr="006D12E1" w:rsidRDefault="00764E7C" w:rsidP="00764E7C">
      <w:pPr>
        <w:pStyle w:val="Titre3"/>
        <w:rPr>
          <w:lang w:val="de-CH"/>
        </w:rPr>
      </w:pPr>
      <w:bookmarkStart w:id="151" w:name="_Toc195000935"/>
      <w:bookmarkStart w:id="152" w:name="_Toc196226276"/>
      <w:r w:rsidRPr="006D12E1">
        <w:rPr>
          <w:rFonts w:ascii="Arial" w:eastAsia="Times New Roman" w:hAnsi="Arial" w:cs="Times New Roman"/>
          <w:lang w:val="de-CH"/>
        </w:rPr>
        <w:t>Kommentar der einzelnen Artikel</w:t>
      </w:r>
      <w:bookmarkEnd w:id="151"/>
      <w:bookmarkEnd w:id="152"/>
    </w:p>
    <w:p w14:paraId="4F315EDB" w14:textId="77777777" w:rsidR="00764E7C" w:rsidRPr="006D12E1" w:rsidRDefault="00764E7C" w:rsidP="00764E7C">
      <w:pPr>
        <w:rPr>
          <w:lang w:val="de-CH"/>
        </w:rPr>
      </w:pPr>
      <w:r w:rsidRPr="006D12E1">
        <w:rPr>
          <w:lang w:val="de-CH"/>
        </w:rPr>
        <w:t xml:space="preserve">Die Massnahmenvorschläge erfordern keinen besonderen Kommentar der einzelnen Artikel. Der Ausdruck </w:t>
      </w:r>
      <w:r w:rsidRPr="006D12E1">
        <w:rPr>
          <w:rFonts w:cstheme="minorHAnsi"/>
          <w:lang w:val="de-CH"/>
        </w:rPr>
        <w:t>«</w:t>
      </w:r>
      <w:r w:rsidRPr="006D12E1">
        <w:rPr>
          <w:lang w:val="de-CH"/>
        </w:rPr>
        <w:t>professionellen</w:t>
      </w:r>
      <w:r w:rsidRPr="006D12E1">
        <w:rPr>
          <w:rFonts w:cstheme="minorHAnsi"/>
          <w:lang w:val="de-CH"/>
        </w:rPr>
        <w:t>»</w:t>
      </w:r>
      <w:r w:rsidRPr="006D12E1">
        <w:rPr>
          <w:lang w:val="de-CH"/>
        </w:rPr>
        <w:t xml:space="preserve"> wird gestrichen, damit auch die nicht professionellen Pflegefamilien mitgemeint sind</w:t>
      </w:r>
      <w:r w:rsidRPr="006D12E1">
        <w:rPr>
          <w:rFonts w:eastAsia="Aptos"/>
          <w:lang w:val="de-CH"/>
        </w:rPr>
        <w:t>.</w:t>
      </w:r>
    </w:p>
    <w:p w14:paraId="3410D5D2" w14:textId="5746B820" w:rsidR="00764E7C" w:rsidRPr="006D12E1" w:rsidRDefault="007C5967" w:rsidP="00764E7C">
      <w:pPr>
        <w:pStyle w:val="Titre2"/>
        <w:rPr>
          <w:lang w:val="de-CH"/>
        </w:rPr>
      </w:pPr>
      <w:bookmarkStart w:id="153" w:name="_Toc195000936"/>
      <w:bookmarkStart w:id="154" w:name="_Toc196226277"/>
      <w:r>
        <w:rPr>
          <w:lang w:val="de-CH"/>
        </w:rPr>
        <w:lastRenderedPageBreak/>
        <w:t xml:space="preserve">Änderung des </w:t>
      </w:r>
      <w:r w:rsidR="00764E7C" w:rsidRPr="006D12E1">
        <w:rPr>
          <w:lang w:val="de-CH"/>
        </w:rPr>
        <w:t>Gesetz</w:t>
      </w:r>
      <w:r>
        <w:rPr>
          <w:lang w:val="de-CH"/>
        </w:rPr>
        <w:t>es</w:t>
      </w:r>
      <w:r w:rsidR="00764E7C" w:rsidRPr="006D12E1">
        <w:rPr>
          <w:lang w:val="de-CH"/>
        </w:rPr>
        <w:t xml:space="preserve"> über die familienergänzenden Tagesbetreuungseinrichtungen (FBG)</w:t>
      </w:r>
      <w:bookmarkEnd w:id="153"/>
      <w:bookmarkEnd w:id="154"/>
    </w:p>
    <w:p w14:paraId="04E7A01A" w14:textId="51961F6E" w:rsidR="00764E7C" w:rsidRPr="003C70C9" w:rsidRDefault="00764E7C" w:rsidP="00764E7C">
      <w:pPr>
        <w:pStyle w:val="Titre3"/>
        <w:rPr>
          <w:lang w:val="de-CH"/>
        </w:rPr>
      </w:pPr>
      <w:bookmarkStart w:id="155" w:name="_Toc195000937"/>
      <w:bookmarkStart w:id="156" w:name="_Toc196226278"/>
      <w:r w:rsidRPr="006D12E1">
        <w:rPr>
          <w:lang w:val="de-CH"/>
        </w:rPr>
        <w:t>Allgemeines</w:t>
      </w:r>
      <w:bookmarkEnd w:id="155"/>
      <w:bookmarkEnd w:id="156"/>
    </w:p>
    <w:p w14:paraId="44F5AB82" w14:textId="77777777" w:rsidR="00764E7C" w:rsidRPr="006D12E1" w:rsidRDefault="00764E7C" w:rsidP="00764E7C">
      <w:pPr>
        <w:pStyle w:val="Corpsdetexte"/>
        <w:rPr>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Begrenzung des finanziellen Beitrags für familienergänzende Betreuungsplätze</w:t>
      </w:r>
    </w:p>
    <w:p w14:paraId="1FC17E8F" w14:textId="77777777" w:rsidR="00764E7C" w:rsidRPr="006D12E1" w:rsidRDefault="00764E7C" w:rsidP="00764E7C">
      <w:pPr>
        <w:pStyle w:val="Corpsdetexte"/>
        <w:rPr>
          <w:lang w:val="de-CH"/>
        </w:rPr>
      </w:pPr>
      <w:r w:rsidRPr="006D12E1">
        <w:rPr>
          <w:rFonts w:ascii="Times New Roman" w:hAnsi="Times New Roman" w:cs="Times New Roman"/>
          <w:lang w:val="de-CH"/>
        </w:rPr>
        <w:t>Zusätzlich zu den Beiträgen der Gemeinden kommen die Beiträge des Staates, die Beiträge der Arbeitgeber und der Selbstständigerwerbenden und seit 2020 die Einnahmen aus der Sozialabgabe, die sich aus der Steuerreform ergeben, hinzu. Sie ermöglichen eine pauschale Senkung der Kosten pro geleistete Betreuungsstunde für die Eltern. In Anwendung von Artikel 9 FBG übernimmt der Staat 10 % der durchschnittlichen Kosten der Einrichtungen, die auf der Grundlage von Daten aus dem Jahr 2009 ermittelt wurden. Was die Beiträge der Arbeitgeber und der Selbstständigerwerbenden betrifft, so verteilt der Staat diese nach dem gleichen Verteilschlüssel wie die staatlichen Beiträge an die Betreuungseinrichtungen – er kann jedoch nicht mehr verteilen, als er durch den Arbeitgeberbeitrag erhält. Aufgrund der Zunahme der Anzahl der subventionierten Betreuungsplätze muss die Pauschale aus dem Arbeitgeberbeitrags kurzfristig von Gesetzes wegen gesenkt werden.</w:t>
      </w:r>
    </w:p>
    <w:p w14:paraId="5D20EFBE" w14:textId="77777777" w:rsidR="00764E7C" w:rsidRPr="006D12E1" w:rsidRDefault="00764E7C" w:rsidP="00764E7C">
      <w:pPr>
        <w:pStyle w:val="Corpsdetexte"/>
        <w:rPr>
          <w:strike/>
          <w:lang w:val="de-CH"/>
        </w:rPr>
      </w:pPr>
      <w:r w:rsidRPr="006D12E1">
        <w:rPr>
          <w:rFonts w:ascii="Times New Roman" w:hAnsi="Times New Roman" w:cs="Times New Roman"/>
          <w:lang w:val="de-CH"/>
        </w:rPr>
        <w:t>Gemäss dem Reglement über die familienergänzenden Tagesbetreuungseinrichtungen (FBR, Art.1 Bst. a) setzt der Staatsrat zu Beginn jedes Jahres diese durchschnittlichen Kosten fest. Der Finanzplan entspricht der aktuellen gesetzlichen Grundlage und beinhaltet die Beträge, die für die Anpassung der durchschnittlichen Kosten der Betreuungseinrichtungen erforderlich sind. Unter Berücksichtigung der Anforderungen im Zusammenhang mit der finanziellen Situation des Staates und dem daraus resultierenden Sanierungsprogramm ergibt sich ein Einsparpotenzial, indem der Verweis auf die durchschnittlichen Kosten der subventionierten Einrichtungen gestrichen und dem Staatsrat die Befugnis übertragen wird, die Pauschale jährlich per Dekret frei festzulegen. Im Rahmen des Sanierungsplans wird der Beitrag des Staates derart berechnet, dass eine Kürzung der finanziellen Unterstützung der Eltern vermieden wird, indem die Höhe der derzeitigen Globalpauschale von Staat und Arbeitgebern beibehalten wird. Mit einer Änderung von Artikel 9 FBG wird dieser Vorschlag gesetzlich verankert.</w:t>
      </w:r>
    </w:p>
    <w:p w14:paraId="539A23EA" w14:textId="46CD6D6E" w:rsidR="00764E7C" w:rsidRPr="006D12E1" w:rsidRDefault="00764E7C" w:rsidP="00764E7C">
      <w:pPr>
        <w:pStyle w:val="Titre3"/>
        <w:rPr>
          <w:lang w:val="de-CH"/>
        </w:rPr>
      </w:pPr>
      <w:bookmarkStart w:id="157" w:name="_Toc195000938"/>
      <w:bookmarkStart w:id="158" w:name="_Toc196226279"/>
      <w:r w:rsidRPr="006D12E1">
        <w:rPr>
          <w:rFonts w:ascii="Arial" w:eastAsia="Times New Roman" w:hAnsi="Arial" w:cs="Times New Roman"/>
          <w:lang w:val="de-CH"/>
        </w:rPr>
        <w:t>Kommentar der einzelnen Artikel</w:t>
      </w:r>
      <w:bookmarkEnd w:id="157"/>
      <w:bookmarkEnd w:id="158"/>
    </w:p>
    <w:p w14:paraId="5B60A451" w14:textId="77777777" w:rsidR="00764E7C" w:rsidRPr="003C70C9" w:rsidRDefault="00764E7C" w:rsidP="00764E7C">
      <w:pPr>
        <w:pStyle w:val="TitreArticleloi"/>
        <w:rPr>
          <w:lang w:val="de-CH"/>
        </w:rPr>
      </w:pPr>
      <w:r w:rsidRPr="003C70C9">
        <w:rPr>
          <w:lang w:val="de-CH"/>
        </w:rPr>
        <w:t>Art.9 Abs. 5</w:t>
      </w:r>
    </w:p>
    <w:p w14:paraId="258CAF3D" w14:textId="77777777" w:rsidR="00764E7C" w:rsidRPr="006D12E1" w:rsidRDefault="00764E7C" w:rsidP="00764E7C">
      <w:pPr>
        <w:rPr>
          <w:lang w:val="de-CH"/>
        </w:rPr>
      </w:pPr>
      <w:r w:rsidRPr="006D12E1">
        <w:rPr>
          <w:lang w:val="de-CH"/>
        </w:rPr>
        <w:t xml:space="preserve">Der </w:t>
      </w:r>
      <w:r w:rsidRPr="006D12E1">
        <w:rPr>
          <w:rFonts w:ascii="Times New Roman" w:hAnsi="Times New Roman" w:cs="Times New Roman"/>
          <w:lang w:val="de-CH"/>
        </w:rPr>
        <w:t>Verweis auf die durchschnittlichen Kosten der subventionierten Einrichtungen wird gestrichen</w:t>
      </w:r>
      <w:r w:rsidRPr="006D12E1">
        <w:rPr>
          <w:lang w:val="de-CH"/>
        </w:rPr>
        <w:t>. Der Staatsrat hat die Befugnis, die Pauschale jährlich per Dekret frei festzulegen.</w:t>
      </w:r>
    </w:p>
    <w:p w14:paraId="212B7BA6" w14:textId="4DA1B4C1" w:rsidR="00764E7C" w:rsidRPr="006D12E1" w:rsidRDefault="00764E7C" w:rsidP="00764E7C">
      <w:pPr>
        <w:pStyle w:val="Titre2"/>
        <w:rPr>
          <w:lang w:val="de-CH"/>
        </w:rPr>
      </w:pPr>
      <w:bookmarkStart w:id="159" w:name="_Toc195000939"/>
      <w:bookmarkStart w:id="160" w:name="_Toc196226280"/>
      <w:r w:rsidRPr="006D12E1">
        <w:rPr>
          <w:lang w:val="de-CH"/>
        </w:rPr>
        <w:t>Änderung des Gesetzes über die Ergänzungsleistungen für Familien (FamELG)</w:t>
      </w:r>
      <w:bookmarkEnd w:id="159"/>
      <w:bookmarkEnd w:id="160"/>
    </w:p>
    <w:p w14:paraId="1C334388" w14:textId="01A71116" w:rsidR="00764E7C" w:rsidRPr="003C70C9" w:rsidRDefault="00764E7C" w:rsidP="00764E7C">
      <w:pPr>
        <w:pStyle w:val="Titre3"/>
        <w:rPr>
          <w:lang w:val="de-CH"/>
        </w:rPr>
      </w:pPr>
      <w:bookmarkStart w:id="161" w:name="_Toc195000940"/>
      <w:bookmarkStart w:id="162" w:name="_Toc196226281"/>
      <w:r w:rsidRPr="006D12E1">
        <w:rPr>
          <w:lang w:val="de-CH"/>
        </w:rPr>
        <w:t>Allgemeines</w:t>
      </w:r>
      <w:bookmarkEnd w:id="161"/>
      <w:bookmarkEnd w:id="162"/>
    </w:p>
    <w:p w14:paraId="75B28308" w14:textId="77777777" w:rsidR="00764E7C" w:rsidRPr="006D12E1" w:rsidRDefault="00764E7C" w:rsidP="00764E7C">
      <w:pPr>
        <w:rPr>
          <w:lang w:val="de-CH"/>
        </w:rPr>
      </w:pPr>
      <w:r w:rsidRPr="006D12E1">
        <w:rPr>
          <w:lang w:val="de-CH"/>
        </w:rPr>
        <w:t>&gt;</w:t>
      </w:r>
      <w:r w:rsidRPr="006D12E1">
        <w:rPr>
          <w:lang w:val="de-CH"/>
        </w:rPr>
        <w:tab/>
      </w:r>
      <w:r w:rsidRPr="006D12E1">
        <w:rPr>
          <w:rFonts w:ascii="Times New Roman" w:eastAsia="Times New Roman" w:hAnsi="Times New Roman" w:cs="Times New Roman"/>
          <w:b/>
          <w:lang w:val="de-CH"/>
        </w:rPr>
        <w:t>Einführung eines Gemeindeanteils an den Ergänzungsleistungen für Familien</w:t>
      </w:r>
    </w:p>
    <w:p w14:paraId="5C59C6CF" w14:textId="77777777" w:rsidR="00764E7C" w:rsidRPr="006D12E1" w:rsidRDefault="00764E7C" w:rsidP="00764E7C">
      <w:pPr>
        <w:pStyle w:val="Corpsdetexte"/>
        <w:rPr>
          <w:lang w:val="de-CH"/>
        </w:rPr>
      </w:pPr>
      <w:r w:rsidRPr="006D12E1">
        <w:rPr>
          <w:lang w:val="de-CH"/>
        </w:rPr>
        <w:t>Artikel 15 des Gesetzes über die Ergänzungsleistungen regelt die Aufteilung der Finanzierung zwischen dem Staat und den Gemeinden. Er legt fest, dass der Staat 75 % des Beitrags übernimmt, der nicht durch den Bundesbeitrag an den Kanton gedeckt ist, und dass sich die Gemeinden den Restbetrag im Verhältnis zu ihrer zivilrechtlichen Bevölkerung teilen.</w:t>
      </w:r>
    </w:p>
    <w:p w14:paraId="7B2CEB9B" w14:textId="77777777" w:rsidR="00764E7C" w:rsidRPr="006D12E1" w:rsidRDefault="00764E7C" w:rsidP="00764E7C">
      <w:pPr>
        <w:pStyle w:val="Corpsdetexte"/>
        <w:rPr>
          <w:lang w:val="de-CH"/>
        </w:rPr>
      </w:pPr>
      <w:r w:rsidRPr="006D12E1">
        <w:rPr>
          <w:lang w:val="de-CH"/>
        </w:rPr>
        <w:t xml:space="preserve">Es wird vorgeschlagen, für die Familien-EL die gleichen Verteilungsregeln anzuwenden wie für die EL. Die Kommission, die mit der Vorprüfung des Gesetzes über die Ergänzungsleistungen für Familien (FamELG) beauftragt war, hatte denselben Verteilungsschlüssel vorgeschlagen und festgehalten, dass es sich zwar um eine gemeinsame Aufgabe handelte, deren finanzielle Verantwortung jedoch mehrheitlich beim Kanton lag </w:t>
      </w:r>
    </w:p>
    <w:p w14:paraId="0557958B" w14:textId="77777777" w:rsidR="00764E7C" w:rsidRPr="006D12E1" w:rsidRDefault="00764E7C" w:rsidP="00764E7C">
      <w:pPr>
        <w:pStyle w:val="Corpsdetexte"/>
        <w:rPr>
          <w:lang w:val="de-CH"/>
        </w:rPr>
      </w:pPr>
      <w:r w:rsidRPr="006D12E1">
        <w:rPr>
          <w:lang w:val="de-CH"/>
        </w:rPr>
        <w:t>Ausgehend von Beträgen, die für den Finanzplan 2026-2028 festgelegt wurden, führt die Anwendung derselben Aufteilung wie im Bereich der Ergänzungsleistungen (Art. 15 des Gesetzes über die Ergänzungsleistungen), d. h. 75 % zu Lasten des Staates und der Rest auf alle Gemeinden im Verhältnis zu ihrer Bevölkerung verteilt, für den Staat zu einer Einsparung von 12 289 750 Franken. Da es sich um eine Lastenverschiebung handelt, gilt die umgekehrte Wirkung für die Gemeinden.</w:t>
      </w:r>
    </w:p>
    <w:p w14:paraId="0C10AF45" w14:textId="2F332531" w:rsidR="00764E7C" w:rsidRPr="006D12E1" w:rsidRDefault="00764E7C" w:rsidP="00764E7C">
      <w:pPr>
        <w:pStyle w:val="Titre3"/>
        <w:rPr>
          <w:lang w:val="de-CH"/>
        </w:rPr>
      </w:pPr>
      <w:bookmarkStart w:id="163" w:name="_Toc195000941"/>
      <w:bookmarkStart w:id="164" w:name="_Toc196226282"/>
      <w:r w:rsidRPr="006D12E1">
        <w:rPr>
          <w:rFonts w:ascii="Arial" w:eastAsia="Times New Roman" w:hAnsi="Arial" w:cs="Times New Roman"/>
          <w:lang w:val="de-CH"/>
        </w:rPr>
        <w:lastRenderedPageBreak/>
        <w:t>Kommentar der einzelnen Artikel</w:t>
      </w:r>
      <w:bookmarkEnd w:id="163"/>
      <w:bookmarkEnd w:id="164"/>
    </w:p>
    <w:p w14:paraId="77209F43" w14:textId="3F77F357" w:rsidR="00764E7C" w:rsidRPr="006D12E1" w:rsidRDefault="00764E7C" w:rsidP="00764E7C">
      <w:pPr>
        <w:pStyle w:val="TitreArticleloi"/>
        <w:rPr>
          <w:lang w:val="de-CH"/>
        </w:rPr>
      </w:pPr>
      <w:r w:rsidRPr="006D12E1">
        <w:rPr>
          <w:lang w:val="de-CH"/>
        </w:rPr>
        <w:t xml:space="preserve">Art. 34 </w:t>
      </w:r>
      <w:r w:rsidR="00174415">
        <w:rPr>
          <w:lang w:val="de-CH"/>
        </w:rPr>
        <w:t>und 35</w:t>
      </w:r>
    </w:p>
    <w:p w14:paraId="398ACC32" w14:textId="77777777" w:rsidR="00764E7C" w:rsidRPr="006D12E1" w:rsidRDefault="00764E7C" w:rsidP="00764E7C">
      <w:pPr>
        <w:pStyle w:val="Corpsdetexte"/>
        <w:rPr>
          <w:lang w:val="de-CH"/>
        </w:rPr>
      </w:pPr>
      <w:r w:rsidRPr="006D12E1">
        <w:rPr>
          <w:lang w:val="de-CH"/>
        </w:rPr>
        <w:t>Es wird vorgeschlagen, für die Familien-EL die gleichen Verteilungsregeln anzuwenden wie für die EL.</w:t>
      </w:r>
    </w:p>
    <w:p w14:paraId="1CC86193" w14:textId="1932329F" w:rsidR="00764E7C" w:rsidRPr="006D12E1" w:rsidRDefault="00764E7C" w:rsidP="00764E7C">
      <w:pPr>
        <w:pStyle w:val="Titre2"/>
        <w:rPr>
          <w:lang w:val="de-CH"/>
        </w:rPr>
      </w:pPr>
      <w:bookmarkStart w:id="165" w:name="_Toc195000942"/>
      <w:bookmarkStart w:id="166" w:name="_Toc196226283"/>
      <w:r w:rsidRPr="006D12E1">
        <w:rPr>
          <w:lang w:val="de-CH"/>
        </w:rPr>
        <w:t>Änderung des Gesetzes über Ergänzungsleistungen zur Alters-, Hinterlassenen- und Invalidenversicherung</w:t>
      </w:r>
      <w:bookmarkEnd w:id="165"/>
      <w:bookmarkEnd w:id="166"/>
    </w:p>
    <w:p w14:paraId="4E53FBD9" w14:textId="5E8B6A7B" w:rsidR="00764E7C" w:rsidRPr="003C70C9" w:rsidRDefault="00764E7C" w:rsidP="00764E7C">
      <w:pPr>
        <w:pStyle w:val="Titre3"/>
        <w:rPr>
          <w:lang w:val="de-CH"/>
        </w:rPr>
      </w:pPr>
      <w:bookmarkStart w:id="167" w:name="_Toc195000943"/>
      <w:bookmarkStart w:id="168" w:name="_Toc196226284"/>
      <w:r w:rsidRPr="006D12E1">
        <w:rPr>
          <w:lang w:val="de-CH"/>
        </w:rPr>
        <w:t>Allgemeines</w:t>
      </w:r>
      <w:bookmarkEnd w:id="167"/>
      <w:bookmarkEnd w:id="168"/>
    </w:p>
    <w:p w14:paraId="06F19D8F" w14:textId="7CEE7C05" w:rsidR="00764E7C" w:rsidRPr="006D12E1" w:rsidRDefault="00764E7C" w:rsidP="00764E7C">
      <w:pPr>
        <w:pStyle w:val="Listealphabtique"/>
        <w:numPr>
          <w:ilvl w:val="0"/>
          <w:numId w:val="0"/>
        </w:numPr>
        <w:rPr>
          <w:b/>
          <w:bCs/>
          <w:lang w:val="de-CH"/>
        </w:rPr>
      </w:pPr>
      <w:r w:rsidRPr="006D12E1">
        <w:rPr>
          <w:b/>
          <w:bCs/>
          <w:lang w:val="de-CH"/>
        </w:rPr>
        <w:t>&gt;</w:t>
      </w:r>
      <w:r w:rsidRPr="006D12E1">
        <w:rPr>
          <w:b/>
          <w:bCs/>
          <w:lang w:val="de-CH"/>
        </w:rPr>
        <w:tab/>
      </w:r>
      <w:r w:rsidR="00C01746" w:rsidRPr="00EB6310">
        <w:rPr>
          <w:rFonts w:ascii="Times New Roman" w:eastAsia="Times New Roman" w:hAnsi="Times New Roman" w:cs="Times New Roman"/>
          <w:b/>
          <w:lang w:val="de-CH"/>
        </w:rPr>
        <w:t>Beendigung der Übergangsregelung der Übernahme des Gemeindeanteils an den AHV/IV-Ergänzungsleistungen durch den Kanton</w:t>
      </w:r>
    </w:p>
    <w:p w14:paraId="7E3635BC" w14:textId="77777777" w:rsidR="00764E7C" w:rsidRPr="006D12E1" w:rsidRDefault="00764E7C" w:rsidP="00764E7C">
      <w:pPr>
        <w:pStyle w:val="Corpsdetexte"/>
        <w:rPr>
          <w:lang w:val="de-CH"/>
        </w:rPr>
      </w:pPr>
      <w:r w:rsidRPr="006D12E1">
        <w:rPr>
          <w:lang w:val="de-CH"/>
        </w:rPr>
        <w:t>Im Rahmen der kantonalen Umsetzung der Neugestaltung des Finanzausgleichs und der Aufgabenteilung zwischen Bund und Kantonen (NFA) hat der Grosse Rat 2007 eine erste Änderung der Aufteilung der Finanzierung der Ergänzungsleistungen zur Alters-, Hinterlassenen- und Invalidenversicherung (AHV/IV-EL) zwischen Staat und Gemeinden beschlossen, deren Inkrafttreten für 2008 vorgesehen war. Damit die Reform für die Gemeinden kostenneutral ausfiel, wurde zur Anpassung gewisser Bestimmungen der kantonalen Gesetzgebung an die NFA (ASF 2007_066) ein Ausgleichsmechanismus geschaffen. Eine der Ausgleichsmassnahmen bestand darin, dass der Staat während drei Jahren die Finanzierung der AVH/IV-EL und der damit verbundenen Verwaltungskosten übernahm.</w:t>
      </w:r>
    </w:p>
    <w:p w14:paraId="00B875BF" w14:textId="77777777" w:rsidR="00764E7C" w:rsidRPr="006D12E1" w:rsidRDefault="00764E7C" w:rsidP="00764E7C">
      <w:pPr>
        <w:pStyle w:val="Corpsdetexte"/>
        <w:rPr>
          <w:lang w:val="de-CH"/>
        </w:rPr>
      </w:pPr>
      <w:r w:rsidRPr="006D12E1">
        <w:rPr>
          <w:lang w:val="de-CH"/>
        </w:rPr>
        <w:t>2010 hat der Grosse Rat in die Verlängerung dieser Übergangsregelung bis Ende 2015 eingewilligt, da im Zusammenhang mit den neuen Gesetzgebungen über die Personen mit Behinderungen und die älteren Menschen (Senior+) noch viele Unklarheiten bestanden. Die neuen Gesetzgebungen gaben schliesslich keinen Anlass zur Änderung der Finanzierungsmodalitäten der AHV/IV-EL.</w:t>
      </w:r>
    </w:p>
    <w:p w14:paraId="3F89CB05" w14:textId="77777777" w:rsidR="00764E7C" w:rsidRPr="006D12E1" w:rsidRDefault="00764E7C" w:rsidP="00764E7C">
      <w:pPr>
        <w:pStyle w:val="Corpsdetexte"/>
        <w:rPr>
          <w:lang w:val="de-CH"/>
        </w:rPr>
      </w:pPr>
      <w:r w:rsidRPr="006D12E1">
        <w:rPr>
          <w:lang w:val="de-CH"/>
        </w:rPr>
        <w:t>Die Lancierung des Projekts der Aufgabenentflechtung zwischen Staat und Gemeinden (DETTEC-Projekt) hat indes den Grossen Rat dazu veranlasst, die Übergangsregelung auf Vorschlag des Staatsrats bis zum 31. Dezember 2021 zu verlängern (ASF 2015_113 und 2018-123). Am 12. November 2023 hat sich die Freiburger Bevölkerung gegen das DETTEC-Projekt ausgesprochen und der Staatsrat hat im Dezember 2023 die Aufgabe von DETTEC als Gesamtprojekt bestätigt.</w:t>
      </w:r>
    </w:p>
    <w:p w14:paraId="243E6638" w14:textId="6418D169" w:rsidR="00764E7C" w:rsidRPr="006D12E1" w:rsidRDefault="00764E7C" w:rsidP="00764E7C">
      <w:pPr>
        <w:rPr>
          <w:lang w:val="de-CH"/>
        </w:rPr>
      </w:pPr>
      <w:r w:rsidRPr="006D12E1">
        <w:rPr>
          <w:lang w:val="de-CH"/>
        </w:rPr>
        <w:t>Die Aufteilung der Ergänzungsleistungen zwischen Staat und Gemeinden, wie sie in Artikel 15 des Gesetzes vorgesehen ist, sieht vor, dass der Staat 75 % des Betrags nach Abzug der Beteiligung des Bundes übernimmt und die Gemeinden den Restbetrag im Verhältnis zu ihrer zivilrechtlichen Bevölkerung aufteilen. Ausgehend von den Beträgen der Ergänzungsleistungen, die für den Finanzplan 2026-2028 berücksichtigt wurden, beläuft sich die Einsparung für den Staat auf insgesamt 88 </w:t>
      </w:r>
      <w:r w:rsidR="00174415">
        <w:rPr>
          <w:lang w:val="de-CH"/>
        </w:rPr>
        <w:t>5</w:t>
      </w:r>
      <w:r w:rsidRPr="006D12E1">
        <w:rPr>
          <w:lang w:val="de-CH"/>
        </w:rPr>
        <w:t>84 000 Franken. Da es sich um eine Lastenverschiebung handelt, gilt die umgekehrte Wirkung für die Gemeinden.</w:t>
      </w:r>
    </w:p>
    <w:p w14:paraId="08E44AC3" w14:textId="4064B2B5" w:rsidR="00764E7C" w:rsidRPr="006D12E1" w:rsidRDefault="00764E7C" w:rsidP="00764E7C">
      <w:pPr>
        <w:pStyle w:val="Titre3"/>
        <w:rPr>
          <w:lang w:val="de-CH"/>
        </w:rPr>
      </w:pPr>
      <w:bookmarkStart w:id="169" w:name="_Toc195000944"/>
      <w:bookmarkStart w:id="170" w:name="_Toc196226285"/>
      <w:r w:rsidRPr="006D12E1">
        <w:rPr>
          <w:rFonts w:ascii="Arial" w:eastAsia="Times New Roman" w:hAnsi="Arial" w:cs="Times New Roman"/>
          <w:lang w:val="de-CH"/>
        </w:rPr>
        <w:t>Kommentar der einzelnen Artikel</w:t>
      </w:r>
      <w:bookmarkEnd w:id="169"/>
      <w:bookmarkEnd w:id="170"/>
    </w:p>
    <w:p w14:paraId="3914DB34" w14:textId="77777777" w:rsidR="00764E7C" w:rsidRPr="006D12E1" w:rsidRDefault="00764E7C" w:rsidP="00764E7C">
      <w:pPr>
        <w:pStyle w:val="TitreArticleloi"/>
        <w:rPr>
          <w:lang w:val="de-CH"/>
        </w:rPr>
      </w:pPr>
      <w:r w:rsidRPr="006D12E1">
        <w:rPr>
          <w:lang w:val="de-CH"/>
        </w:rPr>
        <w:t>Art. 22</w:t>
      </w:r>
    </w:p>
    <w:p w14:paraId="702A34DA" w14:textId="77777777" w:rsidR="00764E7C" w:rsidRPr="006D12E1" w:rsidRDefault="00764E7C" w:rsidP="00764E7C">
      <w:pPr>
        <w:pStyle w:val="Corpsdetexte"/>
        <w:rPr>
          <w:lang w:val="de-CH"/>
        </w:rPr>
      </w:pPr>
      <w:r w:rsidRPr="006D12E1">
        <w:rPr>
          <w:lang w:val="de-CH"/>
        </w:rPr>
        <w:t>Die Bedingungen für die Anwendung von Artikel 22 sind daher nicht mehr erfüllt, und es wird vorgeschlagen, ihn aufzuheben, um die vorherige finanzielle Aufteilung zwischen dem Kanton und den Gemeinden wiederherzustellen.</w:t>
      </w:r>
    </w:p>
    <w:p w14:paraId="1E3A7CAB" w14:textId="1C85C7B4" w:rsidR="00764E7C" w:rsidRPr="006D12E1" w:rsidRDefault="00764E7C" w:rsidP="00764E7C">
      <w:pPr>
        <w:pStyle w:val="Titre2"/>
        <w:rPr>
          <w:lang w:val="de-CH"/>
        </w:rPr>
      </w:pPr>
      <w:bookmarkStart w:id="171" w:name="_Toc195000945"/>
      <w:bookmarkStart w:id="172" w:name="_Toc196226286"/>
      <w:r w:rsidRPr="006D12E1">
        <w:rPr>
          <w:lang w:val="de-CH"/>
        </w:rPr>
        <w:t>Änderung der Umsetzung der Motion 2022-GC-182</w:t>
      </w:r>
      <w:bookmarkEnd w:id="171"/>
      <w:bookmarkEnd w:id="172"/>
    </w:p>
    <w:p w14:paraId="44CD6E22" w14:textId="5DFABE24" w:rsidR="00764E7C" w:rsidRPr="006D12E1" w:rsidRDefault="00764E7C" w:rsidP="00764E7C">
      <w:pPr>
        <w:pStyle w:val="Titre3"/>
        <w:rPr>
          <w:lang w:val="de-CH"/>
        </w:rPr>
      </w:pPr>
      <w:bookmarkStart w:id="173" w:name="_Toc195000946"/>
      <w:bookmarkStart w:id="174" w:name="_Toc196226287"/>
      <w:r w:rsidRPr="006D12E1">
        <w:rPr>
          <w:lang w:val="de-CH"/>
        </w:rPr>
        <w:t>Allgemeines</w:t>
      </w:r>
      <w:bookmarkEnd w:id="173"/>
      <w:bookmarkEnd w:id="174"/>
    </w:p>
    <w:p w14:paraId="1806E92B" w14:textId="017EB181" w:rsidR="00764E7C" w:rsidRPr="006D12E1" w:rsidRDefault="00764E7C" w:rsidP="00764E7C">
      <w:pPr>
        <w:pStyle w:val="Corpsdetexte"/>
        <w:rPr>
          <w:b/>
          <w:bCs/>
          <w:lang w:val="de-CH"/>
        </w:rPr>
      </w:pPr>
      <w:r w:rsidRPr="006D12E1">
        <w:rPr>
          <w:b/>
          <w:bCs/>
          <w:lang w:val="de-CH"/>
        </w:rPr>
        <w:t>&gt;</w:t>
      </w:r>
      <w:r w:rsidRPr="006D12E1">
        <w:rPr>
          <w:b/>
          <w:bCs/>
          <w:lang w:val="de-CH"/>
        </w:rPr>
        <w:tab/>
      </w:r>
      <w:bookmarkStart w:id="175" w:name="_Hlk194572262"/>
      <w:r w:rsidRPr="006D12E1">
        <w:rPr>
          <w:b/>
          <w:bCs/>
          <w:lang w:val="de-CH"/>
        </w:rPr>
        <w:t>Kürzung der waldbaulichen Subventionen</w:t>
      </w:r>
      <w:bookmarkEnd w:id="175"/>
    </w:p>
    <w:p w14:paraId="5C2BCFCA" w14:textId="77777777" w:rsidR="00764E7C" w:rsidRPr="006D12E1" w:rsidRDefault="00764E7C" w:rsidP="00764E7C">
      <w:pPr>
        <w:pStyle w:val="Corpsdetexte"/>
        <w:rPr>
          <w:lang w:val="de-CH"/>
        </w:rPr>
      </w:pPr>
      <w:r w:rsidRPr="006D12E1">
        <w:rPr>
          <w:lang w:val="de-CH"/>
        </w:rPr>
        <w:t xml:space="preserve">Nach Artikel 64 Abs. 1 Bst. a des Gesetzes über den Wald und den Schutz vor Naturereignissen (WSG; SGF 921.1) kann der Staat Subventionen für die Verjüngung und die Jungwaldpflege gewähren, wenn der Bund dafür keine Subventionen erteilt. Gegen den Willen des Staatsrats erklärte der Grosse Rat am 27. Juni 2023 die Motion 2022-GC-182 erheblich, die zum einen verlangte, dass das kantonale Subventionsprogramm für die Verjüngung und die Jungwaldpflege (Programm PC-a nach Art. 64 Abs. 1 Bst. a WSG) ausgeweitet werde, damit die Waldeigentümer (Gemeinde oder Private) zusätzlich zur Defizitdeckung einen Betrag von bis zu 20 Franken pro Kubikmeter erhalten. </w:t>
      </w:r>
      <w:r w:rsidRPr="006D12E1">
        <w:rPr>
          <w:lang w:val="de-CH"/>
        </w:rPr>
        <w:lastRenderedPageBreak/>
        <w:t>Zum anderen wurde mit der Motion beantragt, dass das bestehende kantonale Subventionsbudget um einen jährlichen Betrag von 850 000 Franken erweitert werde.</w:t>
      </w:r>
    </w:p>
    <w:p w14:paraId="17CF68EE" w14:textId="77777777" w:rsidR="00764E7C" w:rsidRPr="006D12E1" w:rsidRDefault="00764E7C" w:rsidP="00764E7C">
      <w:pPr>
        <w:pStyle w:val="Corpsdetexte"/>
        <w:rPr>
          <w:lang w:val="de-CH"/>
        </w:rPr>
      </w:pPr>
      <w:r w:rsidRPr="006D12E1">
        <w:rPr>
          <w:lang w:val="de-CH"/>
        </w:rPr>
        <w:t xml:space="preserve">Um der Motion Folge zu geben, passte der Staatsrat am 18. November 2024 die Verordnung über die Kantonsbeiträge für den Wald und den Schutz vor Naturereignissen (SGF 921.16) an. Der kantonale Pauschalbetrag für die defizitäre Holzernte zur Waldverjüngung wurde somit </w:t>
      </w:r>
      <w:r w:rsidRPr="006D12E1">
        <w:rPr>
          <w:iCs/>
          <w:lang w:val="de-CH"/>
        </w:rPr>
        <w:t>von bisher 5‒80 Franken</w:t>
      </w:r>
      <w:r w:rsidRPr="006D12E1">
        <w:rPr>
          <w:i/>
          <w:lang w:val="de-CH"/>
        </w:rPr>
        <w:t xml:space="preserve"> </w:t>
      </w:r>
      <w:r w:rsidRPr="006D12E1">
        <w:rPr>
          <w:lang w:val="de-CH"/>
        </w:rPr>
        <w:t>auf einen Betrag von 15‒100 Franken pro Kubikmeter Holz erhöht, davon 10-20 Franken pro Kubikmeter für Kosten für die Bewirtschaftung durch die Eigentümerin oder den Eigentümer (je nach den verfügbaren finanziellen Mitteln) (Anhang 1 Art. A1-5).</w:t>
      </w:r>
    </w:p>
    <w:p w14:paraId="0AF91F32" w14:textId="77777777" w:rsidR="00764E7C" w:rsidRPr="006D12E1" w:rsidRDefault="00764E7C" w:rsidP="00764E7C">
      <w:pPr>
        <w:pStyle w:val="Corpsdetexte"/>
        <w:rPr>
          <w:lang w:val="de-CH"/>
        </w:rPr>
      </w:pPr>
      <w:r w:rsidRPr="006D12E1">
        <w:rPr>
          <w:lang w:val="de-CH"/>
        </w:rPr>
        <w:t>In Anbetracht der Verordnung müssen die Beträge für die Subventionen im Voranschlag vorgesehen werden. Es ist daher möglich, die Beträge im Rahmen der Verabschiedung des Voranschlags für das Jahr 2026 zu senken, ohne dass eine gesetzliche Anpassung vorgenommen werden muss.</w:t>
      </w:r>
    </w:p>
    <w:p w14:paraId="122E8580" w14:textId="77777777" w:rsidR="00764E7C" w:rsidRPr="006D12E1" w:rsidRDefault="00764E7C" w:rsidP="00764E7C">
      <w:pPr>
        <w:pStyle w:val="Corpsdetexte"/>
        <w:rPr>
          <w:lang w:val="de-CH"/>
        </w:rPr>
      </w:pPr>
      <w:r w:rsidRPr="006D12E1">
        <w:rPr>
          <w:lang w:val="de-CH"/>
        </w:rPr>
        <w:t>Im Budget 2025 hat der Staatsrat den Betrag auf 425 000 Franken veranschlagt. Es wird daher vorgeschlagen, für das Jahr 2026 denselben Betrag beizubehalten und auf die Erhöhung, die im Finanzplan vorgesehen war, um der Motion zu entsprechen, zu verzichten. Der für das Jahr 2026 veranschlagte Betrag sollte somit bei 425 000 Franken bleiben, anstatt auf 850 000 Franken erhöht zu werden.</w:t>
      </w:r>
    </w:p>
    <w:p w14:paraId="1DC44C27" w14:textId="77777777" w:rsidR="00764E7C" w:rsidRPr="006D12E1" w:rsidRDefault="00764E7C" w:rsidP="00764E7C">
      <w:pPr>
        <w:pStyle w:val="Corpsdetexte"/>
        <w:rPr>
          <w:lang w:val="de-CH"/>
        </w:rPr>
      </w:pPr>
      <w:r w:rsidRPr="006D12E1">
        <w:rPr>
          <w:lang w:val="de-CH"/>
        </w:rPr>
        <w:t>Obwohl keine Gesetzesanpassung nötig ist, handelt es sich um eine Anpassung einer Motion. Diese Massnahme wird deshalb in der Kategorie «Kompetenz des Grossen Rats» in die Vernehmlassung geschickt.</w:t>
      </w:r>
    </w:p>
    <w:p w14:paraId="0EAA470B" w14:textId="3FACD193" w:rsidR="00764E7C" w:rsidRPr="003C70C9" w:rsidRDefault="00764E7C" w:rsidP="00764E7C">
      <w:pPr>
        <w:pStyle w:val="Titre2"/>
        <w:rPr>
          <w:lang w:val="de-CH"/>
        </w:rPr>
      </w:pPr>
      <w:bookmarkStart w:id="176" w:name="_Toc195000947"/>
      <w:bookmarkStart w:id="177" w:name="_Toc196226288"/>
      <w:r w:rsidRPr="006D12E1">
        <w:rPr>
          <w:lang w:val="de-CH"/>
        </w:rPr>
        <w:t>Ausführungsverordnung zum Gesetz vom 16. November 1965 über die Ergänzungsleistungen zur Alters-, Hinterlassenen- und Invalidenversicherung, abgeändert durch das Gesetz vom 11. November 1970</w:t>
      </w:r>
      <w:r w:rsidRPr="003C70C9">
        <w:rPr>
          <w:lang w:val="de-CH"/>
        </w:rPr>
        <w:t xml:space="preserve"> (841.3.11)</w:t>
      </w:r>
      <w:bookmarkEnd w:id="176"/>
      <w:bookmarkEnd w:id="177"/>
    </w:p>
    <w:p w14:paraId="3574206D" w14:textId="77777777" w:rsidR="00764E7C" w:rsidRPr="006D12E1" w:rsidRDefault="00764E7C" w:rsidP="00764E7C">
      <w:pPr>
        <w:rPr>
          <w:lang w:val="de-CH"/>
        </w:rPr>
      </w:pPr>
      <w:r w:rsidRPr="006D12E1">
        <w:rPr>
          <w:b/>
          <w:bCs/>
          <w:lang w:val="de-CH"/>
        </w:rPr>
        <w:t>&gt;</w:t>
      </w:r>
      <w:r w:rsidRPr="006D12E1">
        <w:rPr>
          <w:b/>
          <w:bCs/>
          <w:lang w:val="de-CH"/>
        </w:rPr>
        <w:tab/>
      </w:r>
      <w:r w:rsidRPr="006D12E1">
        <w:rPr>
          <w:rFonts w:ascii="Times New Roman" w:eastAsia="Times New Roman" w:hAnsi="Times New Roman" w:cs="Times New Roman"/>
          <w:b/>
          <w:lang w:val="de-CH"/>
        </w:rPr>
        <w:t>Aussetzen der Teuerungsanpassung in den Pflegeheimen</w:t>
      </w:r>
    </w:p>
    <w:p w14:paraId="430CCE9D" w14:textId="2726A441" w:rsidR="00764E7C" w:rsidRPr="006D12E1" w:rsidRDefault="00764E7C" w:rsidP="00764E7C">
      <w:pPr>
        <w:rPr>
          <w:lang w:val="de-CH"/>
        </w:rPr>
      </w:pPr>
      <w:r w:rsidRPr="006D12E1">
        <w:rPr>
          <w:lang w:val="de-CH"/>
        </w:rPr>
        <w:t>Die Motion 2023- GC- 284, die verlangt, dass der vom Staatsrat festgelegte Pensionspreis an den Index der Lebenshaltungskosten angepasst wird, wurde am 8. Oktober 202</w:t>
      </w:r>
      <w:r w:rsidR="00174415">
        <w:rPr>
          <w:lang w:val="de-CH"/>
        </w:rPr>
        <w:t>4</w:t>
      </w:r>
      <w:r w:rsidRPr="006D12E1">
        <w:rPr>
          <w:lang w:val="de-CH"/>
        </w:rPr>
        <w:t xml:space="preserve"> vom Grossen Rat angenommen</w:t>
      </w:r>
    </w:p>
    <w:p w14:paraId="5D5F2EC8" w14:textId="77777777" w:rsidR="00764E7C" w:rsidRPr="006D12E1" w:rsidRDefault="00764E7C" w:rsidP="00764E7C">
      <w:pPr>
        <w:rPr>
          <w:lang w:val="de-CH"/>
        </w:rPr>
      </w:pPr>
      <w:r w:rsidRPr="006D12E1">
        <w:rPr>
          <w:lang w:val="de-CH"/>
        </w:rPr>
        <w:t>Mit dieser Massnahme, die bereits in Kapitel 5.1 thematisiert worden ist, sollen die Pensionspreise in den Pflegeheimen vorübergehend nicht der Teuerung angepasst werden.</w:t>
      </w:r>
    </w:p>
    <w:p w14:paraId="1C5FA224" w14:textId="05501909" w:rsidR="00BB35B0" w:rsidRPr="00764E7C" w:rsidRDefault="00764E7C" w:rsidP="00764E7C">
      <w:pPr>
        <w:rPr>
          <w:lang w:val="de-CH"/>
        </w:rPr>
      </w:pPr>
      <w:r w:rsidRPr="006D12E1">
        <w:rPr>
          <w:lang w:val="de-CH"/>
        </w:rPr>
        <w:t>Diese Massnahme hat positive finanzielle Auswirkungen auf die Beteiligung der öffentlichen Hand an den Betreuungskosten. Die Auswirkungen für den Staat belaufen sich auf 400 000 Franken im Jahr 2026, auf 795 000 Franken im Jahr 2027 und auf 1 190 000 Franken im Jahr 2028. Die Gemeinden, die diese Kosten zu 55 % finanzieren, profitieren ebenfalls von der Massnahme.</w:t>
      </w:r>
    </w:p>
    <w:p w14:paraId="7C19CA72" w14:textId="4BE36E68" w:rsidR="0001598C" w:rsidRPr="00EB6310" w:rsidRDefault="001736C9" w:rsidP="00183978">
      <w:pPr>
        <w:pStyle w:val="Titre1"/>
        <w:rPr>
          <w:lang w:val="de-CH"/>
        </w:rPr>
      </w:pPr>
      <w:bookmarkStart w:id="178" w:name="_Toc196226289"/>
      <w:r w:rsidRPr="00EB6310">
        <w:rPr>
          <w:lang w:val="de-CH"/>
        </w:rPr>
        <w:t>Auswirkungen der Vorschläge</w:t>
      </w:r>
      <w:bookmarkEnd w:id="178"/>
    </w:p>
    <w:p w14:paraId="357BEBFD" w14:textId="355172CD" w:rsidR="00183978" w:rsidRPr="00FE3A13" w:rsidRDefault="00183978" w:rsidP="00183978">
      <w:pPr>
        <w:pStyle w:val="Tiret"/>
      </w:pPr>
      <w:r w:rsidRPr="00FE3A13">
        <w:t>—</w:t>
      </w:r>
    </w:p>
    <w:p w14:paraId="2FC3782C" w14:textId="0AC2BB3F" w:rsidR="005F68A9" w:rsidRPr="00EB6310" w:rsidRDefault="001736C9" w:rsidP="00183978">
      <w:pPr>
        <w:pStyle w:val="Titre2"/>
        <w:rPr>
          <w:lang w:val="de-CH"/>
        </w:rPr>
      </w:pPr>
      <w:bookmarkStart w:id="179" w:name="_Toc196226290"/>
      <w:r w:rsidRPr="00EB6310">
        <w:rPr>
          <w:lang w:val="de-CH"/>
        </w:rPr>
        <w:t>Finanzielle Folgen</w:t>
      </w:r>
      <w:bookmarkEnd w:id="179"/>
    </w:p>
    <w:p w14:paraId="5B7A2889" w14:textId="7E007367" w:rsidR="0096549C" w:rsidRDefault="001736C9" w:rsidP="001736C9">
      <w:pPr>
        <w:pStyle w:val="Corpsdetexte"/>
        <w:rPr>
          <w:lang w:val="de-CH"/>
        </w:rPr>
      </w:pPr>
      <w:r w:rsidRPr="001F6C79">
        <w:rPr>
          <w:lang w:val="de-CH"/>
        </w:rPr>
        <w:t>Die finanziellen Folgen des PSKF für den Staat und die Gemeinden sind in der folgenden Tabelle zusammengefasst</w:t>
      </w:r>
      <w:r w:rsidR="00026D2C">
        <w:rPr>
          <w:lang w:val="de-CH"/>
        </w:rPr>
        <w:t>. Die Massnahme bezüglich der AHV/IV-Ergänzungsleistungen, die eigentlich in die Kategorie «Projekte und Reformen» fällt, ist insofern ein Sonderfall, als sie in der Beendigung einer Übergangsregelung besteht, weshalb ihre Auswirkungen separat ausgewiesen werden. Weitere Kommentare dazu sind in Kapitel 6.18 und 7.3 zu finden.</w:t>
      </w:r>
    </w:p>
    <w:p w14:paraId="725832B9" w14:textId="77777777" w:rsidR="0096549C" w:rsidRDefault="0096549C">
      <w:pPr>
        <w:rPr>
          <w:lang w:val="de-CH"/>
        </w:rPr>
      </w:pPr>
      <w:r>
        <w:rPr>
          <w:lang w:val="de-CH"/>
        </w:rPr>
        <w:br w:type="page"/>
      </w:r>
    </w:p>
    <w:p w14:paraId="4E7BC9FB" w14:textId="77777777" w:rsidR="001736C9" w:rsidRPr="001F6C79" w:rsidRDefault="001736C9" w:rsidP="001736C9">
      <w:pPr>
        <w:pStyle w:val="Corpsdetexte"/>
        <w:rPr>
          <w:i/>
          <w:iCs/>
          <w:lang w:val="de-CH"/>
        </w:rPr>
      </w:pPr>
    </w:p>
    <w:tbl>
      <w:tblPr>
        <w:tblStyle w:val="TableauEtatFR"/>
        <w:tblW w:w="5144" w:type="pct"/>
        <w:tblLayout w:type="fixed"/>
        <w:tblLook w:val="04E0" w:firstRow="1" w:lastRow="1" w:firstColumn="1" w:lastColumn="0" w:noHBand="0" w:noVBand="1"/>
      </w:tblPr>
      <w:tblGrid>
        <w:gridCol w:w="999"/>
        <w:gridCol w:w="1118"/>
        <w:gridCol w:w="1114"/>
        <w:gridCol w:w="1117"/>
        <w:gridCol w:w="1114"/>
        <w:gridCol w:w="1202"/>
        <w:gridCol w:w="1133"/>
        <w:gridCol w:w="1276"/>
        <w:gridCol w:w="1133"/>
      </w:tblGrid>
      <w:tr w:rsidR="001736C9" w:rsidRPr="005B3823" w14:paraId="05C792D7" w14:textId="77777777" w:rsidTr="0064583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89" w:type="pct"/>
          </w:tcPr>
          <w:p w14:paraId="7871F239" w14:textId="77777777" w:rsidR="001736C9" w:rsidRPr="001F6C79" w:rsidRDefault="001736C9" w:rsidP="007B12C8">
            <w:pPr>
              <w:pStyle w:val="NIVtableau"/>
              <w:rPr>
                <w:lang w:val="de-CH"/>
              </w:rPr>
            </w:pPr>
          </w:p>
        </w:tc>
        <w:tc>
          <w:tcPr>
            <w:tcW w:w="2186" w:type="pct"/>
            <w:gridSpan w:val="4"/>
          </w:tcPr>
          <w:p w14:paraId="46666879" w14:textId="77777777" w:rsidR="001736C9" w:rsidRPr="001F6C79" w:rsidRDefault="001736C9" w:rsidP="007B12C8">
            <w:pPr>
              <w:pStyle w:val="NIVtableauchiffres"/>
              <w:spacing w:before="100"/>
              <w:cnfStyle w:val="100000000000" w:firstRow="1" w:lastRow="0" w:firstColumn="0" w:lastColumn="0" w:oddVBand="0" w:evenVBand="0" w:oddHBand="0" w:evenHBand="0" w:firstRowFirstColumn="0" w:firstRowLastColumn="0" w:lastRowFirstColumn="0" w:lastRowLastColumn="0"/>
              <w:rPr>
                <w:lang w:val="de-CH"/>
              </w:rPr>
            </w:pPr>
            <w:r w:rsidRPr="001F6C79">
              <w:rPr>
                <w:lang w:val="de-CH"/>
              </w:rPr>
              <w:t>Finanzielle Auswirkungen für den Staat</w:t>
            </w:r>
          </w:p>
        </w:tc>
        <w:tc>
          <w:tcPr>
            <w:tcW w:w="2324" w:type="pct"/>
            <w:gridSpan w:val="4"/>
          </w:tcPr>
          <w:p w14:paraId="61C2B5DC" w14:textId="77777777" w:rsidR="001736C9" w:rsidRPr="001F6C79" w:rsidRDefault="001736C9" w:rsidP="007B12C8">
            <w:pPr>
              <w:pStyle w:val="NIVtableauchiffres"/>
              <w:cnfStyle w:val="100000000000" w:firstRow="1" w:lastRow="0" w:firstColumn="0" w:lastColumn="0" w:oddVBand="0" w:evenVBand="0" w:oddHBand="0" w:evenHBand="0" w:firstRowFirstColumn="0" w:firstRowLastColumn="0" w:lastRowFirstColumn="0" w:lastRowLastColumn="0"/>
              <w:rPr>
                <w:lang w:val="de-CH"/>
              </w:rPr>
            </w:pPr>
            <w:r w:rsidRPr="001F6C79">
              <w:rPr>
                <w:lang w:val="de-CH"/>
              </w:rPr>
              <w:t>Finanzielle Auswirkungen für die Gemeinden</w:t>
            </w:r>
          </w:p>
        </w:tc>
      </w:tr>
      <w:tr w:rsidR="001736C9" w:rsidRPr="001F6C79" w14:paraId="0D8A5BC7"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5458F462" w14:textId="77777777" w:rsidR="001736C9" w:rsidRPr="001F6C79" w:rsidRDefault="001736C9" w:rsidP="007B12C8">
            <w:pPr>
              <w:pStyle w:val="NIVtableau"/>
              <w:rPr>
                <w:b/>
                <w:bCs w:val="0"/>
                <w:lang w:val="de-CH"/>
              </w:rPr>
            </w:pPr>
            <w:r w:rsidRPr="001F6C79">
              <w:rPr>
                <w:b/>
                <w:lang w:val="de-CH"/>
              </w:rPr>
              <w:t>Bereich</w:t>
            </w:r>
          </w:p>
        </w:tc>
        <w:tc>
          <w:tcPr>
            <w:tcW w:w="547" w:type="pct"/>
          </w:tcPr>
          <w:p w14:paraId="73A428DE"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2026</w:t>
            </w:r>
          </w:p>
        </w:tc>
        <w:tc>
          <w:tcPr>
            <w:tcW w:w="546" w:type="pct"/>
          </w:tcPr>
          <w:p w14:paraId="7BC0C19C"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2027</w:t>
            </w:r>
          </w:p>
        </w:tc>
        <w:tc>
          <w:tcPr>
            <w:tcW w:w="547" w:type="pct"/>
          </w:tcPr>
          <w:p w14:paraId="2CD06C58"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2028</w:t>
            </w:r>
          </w:p>
        </w:tc>
        <w:tc>
          <w:tcPr>
            <w:tcW w:w="546" w:type="pct"/>
          </w:tcPr>
          <w:p w14:paraId="52D92A62" w14:textId="77777777" w:rsidR="001736C9" w:rsidRPr="001F6C79" w:rsidRDefault="001736C9" w:rsidP="007B12C8">
            <w:pPr>
              <w:pStyle w:val="NIVtableauchiffres"/>
              <w:spacing w:before="100"/>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2026-2028</w:t>
            </w:r>
          </w:p>
        </w:tc>
        <w:tc>
          <w:tcPr>
            <w:tcW w:w="589" w:type="pct"/>
          </w:tcPr>
          <w:p w14:paraId="703BD734"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2026</w:t>
            </w:r>
          </w:p>
        </w:tc>
        <w:tc>
          <w:tcPr>
            <w:tcW w:w="555" w:type="pct"/>
          </w:tcPr>
          <w:p w14:paraId="42BBCB6B"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2027</w:t>
            </w:r>
          </w:p>
        </w:tc>
        <w:tc>
          <w:tcPr>
            <w:tcW w:w="625" w:type="pct"/>
          </w:tcPr>
          <w:p w14:paraId="3977A682"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2028</w:t>
            </w:r>
          </w:p>
        </w:tc>
        <w:tc>
          <w:tcPr>
            <w:tcW w:w="555" w:type="pct"/>
          </w:tcPr>
          <w:p w14:paraId="3E3B8C83"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b/>
                <w:bCs w:val="0"/>
                <w:lang w:val="de-CH"/>
              </w:rPr>
            </w:pPr>
            <w:r w:rsidRPr="001F6C79">
              <w:rPr>
                <w:b/>
                <w:lang w:val="de-CH"/>
              </w:rPr>
              <w:t>2026-2028</w:t>
            </w:r>
          </w:p>
        </w:tc>
      </w:tr>
      <w:tr w:rsidR="001736C9" w:rsidRPr="001F6C79" w14:paraId="1E7A3BC5"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0FEFA123" w14:textId="77777777" w:rsidR="001736C9" w:rsidRPr="001F6C79" w:rsidRDefault="001736C9" w:rsidP="007B12C8">
            <w:pPr>
              <w:pStyle w:val="NIVtableau"/>
              <w:rPr>
                <w:lang w:val="de-CH"/>
              </w:rPr>
            </w:pPr>
            <w:r w:rsidRPr="001F6C79">
              <w:rPr>
                <w:lang w:val="de-CH"/>
              </w:rPr>
              <w:t>Einnahmen</w:t>
            </w:r>
          </w:p>
        </w:tc>
        <w:tc>
          <w:tcPr>
            <w:tcW w:w="547" w:type="pct"/>
          </w:tcPr>
          <w:p w14:paraId="770565E5"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54 060 935</w:t>
            </w:r>
          </w:p>
        </w:tc>
        <w:tc>
          <w:tcPr>
            <w:tcW w:w="546" w:type="pct"/>
          </w:tcPr>
          <w:p w14:paraId="25230C83"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56 687 935</w:t>
            </w:r>
          </w:p>
        </w:tc>
        <w:tc>
          <w:tcPr>
            <w:tcW w:w="547" w:type="pct"/>
          </w:tcPr>
          <w:p w14:paraId="4CA3BD0E"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56 355 935</w:t>
            </w:r>
          </w:p>
        </w:tc>
        <w:tc>
          <w:tcPr>
            <w:tcW w:w="546" w:type="pct"/>
          </w:tcPr>
          <w:p w14:paraId="40989628" w14:textId="77777777" w:rsidR="001736C9" w:rsidRPr="001F6C79" w:rsidRDefault="001736C9" w:rsidP="007B12C8">
            <w:pPr>
              <w:pStyle w:val="NIVtableauchiffres"/>
              <w:spacing w:before="100"/>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167 104 805</w:t>
            </w:r>
          </w:p>
        </w:tc>
        <w:tc>
          <w:tcPr>
            <w:tcW w:w="589" w:type="pct"/>
          </w:tcPr>
          <w:p w14:paraId="38C54EBA"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15 640 000</w:t>
            </w:r>
          </w:p>
        </w:tc>
        <w:tc>
          <w:tcPr>
            <w:tcW w:w="555" w:type="pct"/>
          </w:tcPr>
          <w:p w14:paraId="046A1961"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15 513 000</w:t>
            </w:r>
          </w:p>
        </w:tc>
        <w:tc>
          <w:tcPr>
            <w:tcW w:w="625" w:type="pct"/>
          </w:tcPr>
          <w:p w14:paraId="755C4F9D"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15 385 000</w:t>
            </w:r>
          </w:p>
        </w:tc>
        <w:tc>
          <w:tcPr>
            <w:tcW w:w="555" w:type="pct"/>
          </w:tcPr>
          <w:p w14:paraId="71672EC5"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46 538 000</w:t>
            </w:r>
          </w:p>
        </w:tc>
      </w:tr>
      <w:tr w:rsidR="001736C9" w:rsidRPr="001F6C79" w14:paraId="526A68A7"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5253C650" w14:textId="77777777" w:rsidR="001736C9" w:rsidRPr="001F6C79" w:rsidRDefault="001736C9" w:rsidP="007B12C8">
            <w:pPr>
              <w:pStyle w:val="NIVtableau"/>
              <w:rPr>
                <w:lang w:val="de-CH"/>
              </w:rPr>
            </w:pPr>
            <w:r w:rsidRPr="001F6C79">
              <w:rPr>
                <w:lang w:val="de-CH"/>
              </w:rPr>
              <w:t>Personal</w:t>
            </w:r>
          </w:p>
        </w:tc>
        <w:tc>
          <w:tcPr>
            <w:tcW w:w="547" w:type="pct"/>
          </w:tcPr>
          <w:p w14:paraId="72EBCB6B"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26 173 750</w:t>
            </w:r>
          </w:p>
        </w:tc>
        <w:tc>
          <w:tcPr>
            <w:tcW w:w="546" w:type="pct"/>
          </w:tcPr>
          <w:p w14:paraId="5AE7B856"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53 753 750</w:t>
            </w:r>
          </w:p>
        </w:tc>
        <w:tc>
          <w:tcPr>
            <w:tcW w:w="547" w:type="pct"/>
          </w:tcPr>
          <w:p w14:paraId="0697ADD0"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42 708 750</w:t>
            </w:r>
          </w:p>
        </w:tc>
        <w:tc>
          <w:tcPr>
            <w:tcW w:w="546" w:type="pct"/>
          </w:tcPr>
          <w:p w14:paraId="03F3ADA1" w14:textId="77777777" w:rsidR="001736C9" w:rsidRPr="001F6C79" w:rsidRDefault="001736C9" w:rsidP="007B12C8">
            <w:pPr>
              <w:pStyle w:val="NIVtableauchiffres"/>
              <w:spacing w:before="100"/>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122 636 250</w:t>
            </w:r>
          </w:p>
        </w:tc>
        <w:tc>
          <w:tcPr>
            <w:tcW w:w="589" w:type="pct"/>
          </w:tcPr>
          <w:p w14:paraId="36589B48"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7 400 000</w:t>
            </w:r>
          </w:p>
        </w:tc>
        <w:tc>
          <w:tcPr>
            <w:tcW w:w="555" w:type="pct"/>
          </w:tcPr>
          <w:p w14:paraId="0049EFED"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17 300 000</w:t>
            </w:r>
          </w:p>
        </w:tc>
        <w:tc>
          <w:tcPr>
            <w:tcW w:w="625" w:type="pct"/>
          </w:tcPr>
          <w:p w14:paraId="2F86179D"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15 400 000</w:t>
            </w:r>
          </w:p>
        </w:tc>
        <w:tc>
          <w:tcPr>
            <w:tcW w:w="555" w:type="pct"/>
          </w:tcPr>
          <w:p w14:paraId="4644A493" w14:textId="77777777" w:rsidR="001736C9" w:rsidRPr="001F6C79"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1F6C79">
              <w:rPr>
                <w:lang w:val="de-CH"/>
              </w:rPr>
              <w:t>40 100 000</w:t>
            </w:r>
          </w:p>
        </w:tc>
      </w:tr>
      <w:tr w:rsidR="001736C9" w:rsidRPr="001F6C79" w14:paraId="3BBBEC83"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573DB2EC" w14:textId="70064F68" w:rsidR="001736C9" w:rsidRPr="001F6C79" w:rsidRDefault="001736C9" w:rsidP="007B12C8">
            <w:pPr>
              <w:pStyle w:val="NIVtableau"/>
              <w:rPr>
                <w:lang w:val="de-CH"/>
              </w:rPr>
            </w:pPr>
            <w:r w:rsidRPr="001F6C79">
              <w:rPr>
                <w:lang w:val="de-CH"/>
              </w:rPr>
              <w:t>Subventio</w:t>
            </w:r>
            <w:r w:rsidR="009E2921">
              <w:rPr>
                <w:lang w:val="de-CH"/>
              </w:rPr>
              <w:softHyphen/>
            </w:r>
            <w:r w:rsidRPr="001F6C79">
              <w:rPr>
                <w:lang w:val="de-CH"/>
              </w:rPr>
              <w:t>nierung</w:t>
            </w:r>
          </w:p>
        </w:tc>
        <w:tc>
          <w:tcPr>
            <w:tcW w:w="547" w:type="pct"/>
          </w:tcPr>
          <w:p w14:paraId="7505E2EB" w14:textId="77777777" w:rsidR="001736C9" w:rsidRPr="0096549C"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13 660 766</w:t>
            </w:r>
          </w:p>
        </w:tc>
        <w:tc>
          <w:tcPr>
            <w:tcW w:w="546" w:type="pct"/>
          </w:tcPr>
          <w:p w14:paraId="7DDF53BE" w14:textId="746C6346" w:rsidR="001736C9" w:rsidRPr="0096549C"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15 </w:t>
            </w:r>
            <w:r w:rsidR="009E2921" w:rsidRPr="0096549C">
              <w:rPr>
                <w:lang w:val="de-CH"/>
              </w:rPr>
              <w:t>9</w:t>
            </w:r>
            <w:r w:rsidRPr="0096549C">
              <w:rPr>
                <w:lang w:val="de-CH"/>
              </w:rPr>
              <w:t>35 025</w:t>
            </w:r>
          </w:p>
        </w:tc>
        <w:tc>
          <w:tcPr>
            <w:tcW w:w="547" w:type="pct"/>
          </w:tcPr>
          <w:p w14:paraId="7B9CA252" w14:textId="37F6C463" w:rsidR="001736C9" w:rsidRPr="0096549C"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1</w:t>
            </w:r>
            <w:r w:rsidR="009E2921" w:rsidRPr="0096549C">
              <w:rPr>
                <w:lang w:val="de-CH"/>
              </w:rPr>
              <w:t>5</w:t>
            </w:r>
            <w:r w:rsidRPr="0096549C">
              <w:rPr>
                <w:lang w:val="de-CH"/>
              </w:rPr>
              <w:t> </w:t>
            </w:r>
            <w:r w:rsidR="009E2921" w:rsidRPr="0096549C">
              <w:rPr>
                <w:lang w:val="de-CH"/>
              </w:rPr>
              <w:t>3</w:t>
            </w:r>
            <w:r w:rsidRPr="0096549C">
              <w:rPr>
                <w:lang w:val="de-CH"/>
              </w:rPr>
              <w:t>25 975</w:t>
            </w:r>
          </w:p>
        </w:tc>
        <w:tc>
          <w:tcPr>
            <w:tcW w:w="546" w:type="pct"/>
          </w:tcPr>
          <w:p w14:paraId="430C1F32" w14:textId="10D8D02D" w:rsidR="001736C9" w:rsidRPr="0096549C" w:rsidRDefault="001736C9" w:rsidP="007B12C8">
            <w:pPr>
              <w:pStyle w:val="NIVtableauchiffres"/>
              <w:spacing w:before="100"/>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44 </w:t>
            </w:r>
            <w:r w:rsidR="009E2921" w:rsidRPr="0096549C">
              <w:rPr>
                <w:lang w:val="de-CH"/>
              </w:rPr>
              <w:t>9</w:t>
            </w:r>
            <w:r w:rsidRPr="0096549C">
              <w:rPr>
                <w:lang w:val="de-CH"/>
              </w:rPr>
              <w:t>21 766</w:t>
            </w:r>
          </w:p>
        </w:tc>
        <w:tc>
          <w:tcPr>
            <w:tcW w:w="589" w:type="pct"/>
          </w:tcPr>
          <w:p w14:paraId="4315A14C" w14:textId="77777777" w:rsidR="001736C9" w:rsidRPr="0096549C"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 716 475</w:t>
            </w:r>
          </w:p>
        </w:tc>
        <w:tc>
          <w:tcPr>
            <w:tcW w:w="555" w:type="pct"/>
          </w:tcPr>
          <w:p w14:paraId="2FD9BC2C" w14:textId="68B70964" w:rsidR="001736C9" w:rsidRPr="0096549C"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 </w:t>
            </w:r>
            <w:r w:rsidR="009E2921" w:rsidRPr="0096549C">
              <w:rPr>
                <w:lang w:val="de-CH"/>
              </w:rPr>
              <w:t>5</w:t>
            </w:r>
            <w:r w:rsidRPr="0096549C">
              <w:rPr>
                <w:lang w:val="de-CH"/>
              </w:rPr>
              <w:t>01 475</w:t>
            </w:r>
          </w:p>
        </w:tc>
        <w:tc>
          <w:tcPr>
            <w:tcW w:w="625" w:type="pct"/>
          </w:tcPr>
          <w:p w14:paraId="4F14BC79" w14:textId="50F02043" w:rsidR="001736C9" w:rsidRPr="0096549C" w:rsidRDefault="009E2921"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3</w:t>
            </w:r>
            <w:r w:rsidR="001736C9" w:rsidRPr="0096549C">
              <w:rPr>
                <w:lang w:val="de-CH"/>
              </w:rPr>
              <w:t>00 525</w:t>
            </w:r>
          </w:p>
        </w:tc>
        <w:tc>
          <w:tcPr>
            <w:tcW w:w="555" w:type="pct"/>
          </w:tcPr>
          <w:p w14:paraId="698F5BA6" w14:textId="2B3453DE" w:rsidR="001736C9" w:rsidRPr="0096549C" w:rsidRDefault="001736C9" w:rsidP="007B12C8">
            <w:pPr>
              <w:pStyle w:val="NIVtableauchiffres"/>
              <w:cnfStyle w:val="000000000000" w:firstRow="0" w:lastRow="0" w:firstColumn="0" w:lastColumn="0" w:oddVBand="0" w:evenVBand="0" w:oddHBand="0" w:evenHBand="0" w:firstRowFirstColumn="0" w:firstRowLastColumn="0" w:lastRowFirstColumn="0" w:lastRowLastColumn="0"/>
              <w:rPr>
                <w:lang w:val="de-CH"/>
              </w:rPr>
            </w:pPr>
            <w:r w:rsidRPr="0096549C">
              <w:rPr>
                <w:lang w:val="de-CH"/>
              </w:rPr>
              <w:t>– </w:t>
            </w:r>
            <w:r w:rsidR="009E2921" w:rsidRPr="0096549C">
              <w:rPr>
                <w:lang w:val="de-CH"/>
              </w:rPr>
              <w:t>9</w:t>
            </w:r>
            <w:r w:rsidRPr="0096549C">
              <w:rPr>
                <w:lang w:val="de-CH"/>
              </w:rPr>
              <w:t>17 425</w:t>
            </w:r>
          </w:p>
        </w:tc>
      </w:tr>
      <w:tr w:rsidR="00026D2C" w:rsidRPr="00FE3A13" w14:paraId="44B8EFF0"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7C1016E0" w14:textId="03AD7175" w:rsidR="00026D2C" w:rsidRPr="00EB6310" w:rsidRDefault="00026D2C" w:rsidP="000600DC">
            <w:pPr>
              <w:pStyle w:val="NIVtableau"/>
              <w:rPr>
                <w:lang w:val="de-CH"/>
              </w:rPr>
            </w:pPr>
            <w:r w:rsidRPr="00EB6310">
              <w:rPr>
                <w:lang w:val="de-CH"/>
              </w:rPr>
              <w:t>Projekte und Reformen</w:t>
            </w:r>
          </w:p>
        </w:tc>
        <w:tc>
          <w:tcPr>
            <w:tcW w:w="547" w:type="pct"/>
          </w:tcPr>
          <w:p w14:paraId="104A8BAF" w14:textId="1B6E364D" w:rsidR="00026D2C" w:rsidRPr="0096549C" w:rsidRDefault="00D81EB3"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t>20 040 5</w:t>
            </w:r>
            <w:r w:rsidR="00645834">
              <w:t>0</w:t>
            </w:r>
            <w:r w:rsidRPr="0096549C">
              <w:t>0</w:t>
            </w:r>
          </w:p>
        </w:tc>
        <w:tc>
          <w:tcPr>
            <w:tcW w:w="546" w:type="pct"/>
          </w:tcPr>
          <w:p w14:paraId="16DD793D" w14:textId="1F3C0E10"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t>28</w:t>
            </w:r>
            <w:r w:rsidR="00EA3DA8" w:rsidRPr="0096549C">
              <w:t> </w:t>
            </w:r>
            <w:r w:rsidR="00D81EB3" w:rsidRPr="0096549C">
              <w:t>552</w:t>
            </w:r>
            <w:r w:rsidR="00EA3DA8" w:rsidRPr="0096549C">
              <w:t> </w:t>
            </w:r>
            <w:r w:rsidRPr="0096549C">
              <w:t>000</w:t>
            </w:r>
          </w:p>
        </w:tc>
        <w:tc>
          <w:tcPr>
            <w:tcW w:w="547" w:type="pct"/>
          </w:tcPr>
          <w:p w14:paraId="4980E9A2" w14:textId="6CAF77D6"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t>2</w:t>
            </w:r>
            <w:r w:rsidR="00D81EB3" w:rsidRPr="0096549C">
              <w:t>2 125 750</w:t>
            </w:r>
          </w:p>
        </w:tc>
        <w:tc>
          <w:tcPr>
            <w:tcW w:w="546" w:type="pct"/>
          </w:tcPr>
          <w:p w14:paraId="718FC8D6" w14:textId="7B18BE4B" w:rsidR="00026D2C" w:rsidRPr="0096549C" w:rsidRDefault="00026D2C" w:rsidP="000600DC">
            <w:pPr>
              <w:pStyle w:val="NIVtableauchiffres"/>
              <w:spacing w:before="100"/>
              <w:cnfStyle w:val="000000000000" w:firstRow="0" w:lastRow="0" w:firstColumn="0" w:lastColumn="0" w:oddVBand="0" w:evenVBand="0" w:oddHBand="0" w:evenHBand="0" w:firstRowFirstColumn="0" w:firstRowLastColumn="0" w:lastRowFirstColumn="0" w:lastRowLastColumn="0"/>
            </w:pPr>
            <w:r w:rsidRPr="0096549C">
              <w:t>70</w:t>
            </w:r>
            <w:r w:rsidR="00EA3DA8" w:rsidRPr="0096549C">
              <w:t> </w:t>
            </w:r>
            <w:r w:rsidR="00D81EB3" w:rsidRPr="0096549C">
              <w:t>7</w:t>
            </w:r>
            <w:r w:rsidR="009E2921" w:rsidRPr="0096549C">
              <w:t>1</w:t>
            </w:r>
            <w:r w:rsidRPr="0096549C">
              <w:t>8</w:t>
            </w:r>
            <w:r w:rsidR="00EA3DA8" w:rsidRPr="0096549C">
              <w:t> </w:t>
            </w:r>
            <w:r w:rsidRPr="0096549C">
              <w:t>250</w:t>
            </w:r>
          </w:p>
        </w:tc>
        <w:tc>
          <w:tcPr>
            <w:tcW w:w="589" w:type="pct"/>
          </w:tcPr>
          <w:p w14:paraId="3418A38B" w14:textId="69E9182F" w:rsidR="00026D2C" w:rsidRPr="0096549C"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rPr>
                <w:lang w:val="de-CH"/>
              </w:rPr>
              <w:t>– </w:t>
            </w:r>
            <w:r w:rsidR="00026D2C" w:rsidRPr="0096549C">
              <w:t>15</w:t>
            </w:r>
            <w:r w:rsidR="00EA3DA8" w:rsidRPr="0096549C">
              <w:t> </w:t>
            </w:r>
            <w:r w:rsidR="00026D2C" w:rsidRPr="0096549C">
              <w:t>254</w:t>
            </w:r>
            <w:r w:rsidR="00EA3DA8" w:rsidRPr="0096549C">
              <w:t> </w:t>
            </w:r>
            <w:r w:rsidR="00026D2C" w:rsidRPr="0096549C">
              <w:t>500</w:t>
            </w:r>
          </w:p>
        </w:tc>
        <w:tc>
          <w:tcPr>
            <w:tcW w:w="555" w:type="pct"/>
          </w:tcPr>
          <w:p w14:paraId="3046D141" w14:textId="2E51C48D" w:rsidR="00026D2C" w:rsidRPr="0096549C"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rPr>
                <w:lang w:val="de-CH"/>
              </w:rPr>
              <w:t>– </w:t>
            </w:r>
            <w:r w:rsidR="00026D2C" w:rsidRPr="0096549C">
              <w:t>16</w:t>
            </w:r>
            <w:r w:rsidR="00EA3DA8" w:rsidRPr="0096549C">
              <w:t> </w:t>
            </w:r>
            <w:r w:rsidR="00026D2C" w:rsidRPr="0096549C">
              <w:t>276</w:t>
            </w:r>
            <w:r w:rsidR="00EA3DA8" w:rsidRPr="0096549C">
              <w:t> </w:t>
            </w:r>
            <w:r w:rsidR="00026D2C" w:rsidRPr="0096549C">
              <w:t>500</w:t>
            </w:r>
          </w:p>
        </w:tc>
        <w:tc>
          <w:tcPr>
            <w:tcW w:w="625" w:type="pct"/>
          </w:tcPr>
          <w:p w14:paraId="27D68893" w14:textId="11EE2A45" w:rsidR="00026D2C" w:rsidRPr="0096549C"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rPr>
                <w:lang w:val="de-CH"/>
              </w:rPr>
              <w:t>– </w:t>
            </w:r>
            <w:r w:rsidR="00026D2C" w:rsidRPr="0096549C">
              <w:t>17</w:t>
            </w:r>
            <w:r w:rsidR="00EA3DA8" w:rsidRPr="0096549C">
              <w:t> </w:t>
            </w:r>
            <w:r w:rsidR="00026D2C" w:rsidRPr="0096549C">
              <w:t>368</w:t>
            </w:r>
            <w:r w:rsidR="00EA3DA8" w:rsidRPr="0096549C">
              <w:t> </w:t>
            </w:r>
            <w:r w:rsidR="00026D2C" w:rsidRPr="0096549C">
              <w:t>750</w:t>
            </w:r>
          </w:p>
        </w:tc>
        <w:tc>
          <w:tcPr>
            <w:tcW w:w="555" w:type="pct"/>
          </w:tcPr>
          <w:p w14:paraId="6C4240B2" w14:textId="78D852C2" w:rsidR="00026D2C" w:rsidRPr="0096549C"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rPr>
                <w:lang w:val="de-CH"/>
              </w:rPr>
              <w:t>– </w:t>
            </w:r>
            <w:r w:rsidR="00026D2C" w:rsidRPr="0096549C">
              <w:t>48</w:t>
            </w:r>
            <w:r w:rsidR="00EA3DA8" w:rsidRPr="0096549C">
              <w:t> </w:t>
            </w:r>
            <w:r w:rsidR="00026D2C" w:rsidRPr="0096549C">
              <w:t>899</w:t>
            </w:r>
            <w:r w:rsidR="00EA3DA8" w:rsidRPr="0096549C">
              <w:t> </w:t>
            </w:r>
            <w:r w:rsidR="00026D2C" w:rsidRPr="0096549C">
              <w:t>750</w:t>
            </w:r>
          </w:p>
        </w:tc>
      </w:tr>
      <w:tr w:rsidR="00026D2C" w:rsidRPr="000600DC" w14:paraId="325C6D25"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05D9AD06" w14:textId="17A4D3BE" w:rsidR="00026D2C" w:rsidRPr="00EB6310" w:rsidRDefault="00026D2C" w:rsidP="000600DC">
            <w:pPr>
              <w:pStyle w:val="NIVtableau"/>
              <w:rPr>
                <w:b/>
                <w:bCs w:val="0"/>
                <w:lang w:val="de-CH"/>
              </w:rPr>
            </w:pPr>
            <w:r w:rsidRPr="00EB6310">
              <w:rPr>
                <w:b/>
                <w:bCs w:val="0"/>
                <w:lang w:val="de-CH"/>
              </w:rPr>
              <w:t>Zwischen</w:t>
            </w:r>
            <w:r w:rsidRPr="00EB6310">
              <w:rPr>
                <w:b/>
                <w:bCs w:val="0"/>
                <w:lang w:val="de-CH"/>
              </w:rPr>
              <w:softHyphen/>
              <w:t>total</w:t>
            </w:r>
          </w:p>
        </w:tc>
        <w:tc>
          <w:tcPr>
            <w:tcW w:w="547" w:type="pct"/>
          </w:tcPr>
          <w:p w14:paraId="0ACF62B3" w14:textId="2201D16E"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113</w:t>
            </w:r>
            <w:r w:rsidR="00EA3DA8" w:rsidRPr="0096549C">
              <w:rPr>
                <w:b/>
                <w:bCs w:val="0"/>
              </w:rPr>
              <w:t> </w:t>
            </w:r>
            <w:r w:rsidR="00D81EB3" w:rsidRPr="0096549C">
              <w:rPr>
                <w:b/>
                <w:bCs w:val="0"/>
              </w:rPr>
              <w:t>935 951</w:t>
            </w:r>
          </w:p>
        </w:tc>
        <w:tc>
          <w:tcPr>
            <w:tcW w:w="546" w:type="pct"/>
          </w:tcPr>
          <w:p w14:paraId="510A2440" w14:textId="7CEF82E5" w:rsidR="00026D2C" w:rsidRPr="0096549C" w:rsidRDefault="00026D2C" w:rsidP="000600DC">
            <w:pPr>
              <w:pStyle w:val="NIVtableauchiffres"/>
              <w:jc w:val="center"/>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154</w:t>
            </w:r>
            <w:r w:rsidR="00EA3DA8" w:rsidRPr="0096549C">
              <w:rPr>
                <w:b/>
                <w:bCs w:val="0"/>
              </w:rPr>
              <w:t> </w:t>
            </w:r>
            <w:r w:rsidR="00D81EB3" w:rsidRPr="0096549C">
              <w:rPr>
                <w:b/>
                <w:bCs w:val="0"/>
              </w:rPr>
              <w:t>928</w:t>
            </w:r>
            <w:r w:rsidR="00EA3DA8" w:rsidRPr="0096549C">
              <w:rPr>
                <w:b/>
                <w:bCs w:val="0"/>
              </w:rPr>
              <w:t> </w:t>
            </w:r>
            <w:r w:rsidRPr="0096549C">
              <w:rPr>
                <w:b/>
                <w:bCs w:val="0"/>
              </w:rPr>
              <w:t>710</w:t>
            </w:r>
          </w:p>
        </w:tc>
        <w:tc>
          <w:tcPr>
            <w:tcW w:w="547" w:type="pct"/>
          </w:tcPr>
          <w:p w14:paraId="0D1D8012" w14:textId="7A00DBDB"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13</w:t>
            </w:r>
            <w:r w:rsidR="00D81EB3" w:rsidRPr="0096549C">
              <w:rPr>
                <w:b/>
                <w:bCs w:val="0"/>
              </w:rPr>
              <w:t>6</w:t>
            </w:r>
            <w:r w:rsidR="00EA3DA8" w:rsidRPr="0096549C">
              <w:rPr>
                <w:b/>
                <w:bCs w:val="0"/>
              </w:rPr>
              <w:t> </w:t>
            </w:r>
            <w:r w:rsidR="00D81EB3" w:rsidRPr="0096549C">
              <w:rPr>
                <w:b/>
                <w:bCs w:val="0"/>
              </w:rPr>
              <w:t>516</w:t>
            </w:r>
            <w:r w:rsidR="00EA3DA8" w:rsidRPr="0096549C">
              <w:rPr>
                <w:b/>
                <w:bCs w:val="0"/>
              </w:rPr>
              <w:t> </w:t>
            </w:r>
            <w:r w:rsidRPr="0096549C">
              <w:rPr>
                <w:b/>
                <w:bCs w:val="0"/>
              </w:rPr>
              <w:t>410</w:t>
            </w:r>
          </w:p>
        </w:tc>
        <w:tc>
          <w:tcPr>
            <w:tcW w:w="546" w:type="pct"/>
          </w:tcPr>
          <w:p w14:paraId="3FC6FDB1" w14:textId="08DDAA33" w:rsidR="00026D2C" w:rsidRPr="0096549C" w:rsidRDefault="00026D2C" w:rsidP="000600DC">
            <w:pPr>
              <w:pStyle w:val="NIVtableauchiffres"/>
              <w:spacing w:before="100"/>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40</w:t>
            </w:r>
            <w:r w:rsidR="00D81EB3" w:rsidRPr="0096549C">
              <w:rPr>
                <w:b/>
                <w:bCs w:val="0"/>
              </w:rPr>
              <w:t>5</w:t>
            </w:r>
            <w:r w:rsidR="00EA3DA8" w:rsidRPr="0096549C">
              <w:rPr>
                <w:b/>
                <w:bCs w:val="0"/>
              </w:rPr>
              <w:t> </w:t>
            </w:r>
            <w:r w:rsidR="00D81EB3" w:rsidRPr="0096549C">
              <w:rPr>
                <w:b/>
                <w:bCs w:val="0"/>
              </w:rPr>
              <w:t>381</w:t>
            </w:r>
            <w:r w:rsidR="00EA3DA8" w:rsidRPr="0096549C">
              <w:rPr>
                <w:b/>
                <w:bCs w:val="0"/>
              </w:rPr>
              <w:t> </w:t>
            </w:r>
            <w:r w:rsidRPr="0096549C">
              <w:rPr>
                <w:b/>
                <w:bCs w:val="0"/>
              </w:rPr>
              <w:t>071</w:t>
            </w:r>
          </w:p>
        </w:tc>
        <w:tc>
          <w:tcPr>
            <w:tcW w:w="589" w:type="pct"/>
          </w:tcPr>
          <w:p w14:paraId="4FFF5042" w14:textId="2895A4E4"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7</w:t>
            </w:r>
            <w:r w:rsidR="00EA3DA8" w:rsidRPr="0096549C">
              <w:rPr>
                <w:b/>
                <w:bCs w:val="0"/>
              </w:rPr>
              <w:t> </w:t>
            </w:r>
            <w:r w:rsidRPr="0096549C">
              <w:rPr>
                <w:b/>
                <w:bCs w:val="0"/>
              </w:rPr>
              <w:t>069</w:t>
            </w:r>
            <w:r w:rsidR="00EA3DA8" w:rsidRPr="0096549C">
              <w:rPr>
                <w:b/>
                <w:bCs w:val="0"/>
              </w:rPr>
              <w:t> </w:t>
            </w:r>
            <w:r w:rsidRPr="0096549C">
              <w:rPr>
                <w:b/>
                <w:bCs w:val="0"/>
              </w:rPr>
              <w:t>025</w:t>
            </w:r>
          </w:p>
        </w:tc>
        <w:tc>
          <w:tcPr>
            <w:tcW w:w="555" w:type="pct"/>
          </w:tcPr>
          <w:p w14:paraId="10B6CF78" w14:textId="1026BB4F"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16</w:t>
            </w:r>
            <w:r w:rsidR="00EA3DA8" w:rsidRPr="0096549C">
              <w:rPr>
                <w:b/>
                <w:bCs w:val="0"/>
              </w:rPr>
              <w:t> </w:t>
            </w:r>
            <w:r w:rsidR="00D81EB3" w:rsidRPr="0096549C">
              <w:rPr>
                <w:b/>
                <w:bCs w:val="0"/>
              </w:rPr>
              <w:t>0</w:t>
            </w:r>
            <w:r w:rsidRPr="0096549C">
              <w:rPr>
                <w:b/>
                <w:bCs w:val="0"/>
              </w:rPr>
              <w:t>35</w:t>
            </w:r>
            <w:r w:rsidR="00EA3DA8" w:rsidRPr="0096549C">
              <w:rPr>
                <w:b/>
                <w:bCs w:val="0"/>
              </w:rPr>
              <w:t> </w:t>
            </w:r>
            <w:r w:rsidRPr="0096549C">
              <w:rPr>
                <w:b/>
                <w:bCs w:val="0"/>
              </w:rPr>
              <w:t>025</w:t>
            </w:r>
          </w:p>
        </w:tc>
        <w:tc>
          <w:tcPr>
            <w:tcW w:w="625" w:type="pct"/>
          </w:tcPr>
          <w:p w14:paraId="5041D9C0" w14:textId="7191DE75" w:rsidR="00026D2C" w:rsidRPr="0096549C" w:rsidRDefault="00D81EB3" w:rsidP="000600DC">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13</w:t>
            </w:r>
            <w:r w:rsidR="00EA3DA8" w:rsidRPr="0096549C">
              <w:rPr>
                <w:b/>
                <w:bCs w:val="0"/>
              </w:rPr>
              <w:t> </w:t>
            </w:r>
            <w:r w:rsidRPr="0096549C">
              <w:rPr>
                <w:b/>
                <w:bCs w:val="0"/>
              </w:rPr>
              <w:t>7</w:t>
            </w:r>
            <w:r w:rsidR="00026D2C" w:rsidRPr="0096549C">
              <w:rPr>
                <w:b/>
                <w:bCs w:val="0"/>
              </w:rPr>
              <w:t>16</w:t>
            </w:r>
            <w:r w:rsidR="00EA3DA8" w:rsidRPr="0096549C">
              <w:rPr>
                <w:b/>
                <w:bCs w:val="0"/>
              </w:rPr>
              <w:t> </w:t>
            </w:r>
            <w:r w:rsidR="00026D2C" w:rsidRPr="0096549C">
              <w:rPr>
                <w:b/>
                <w:bCs w:val="0"/>
              </w:rPr>
              <w:t>775</w:t>
            </w:r>
          </w:p>
        </w:tc>
        <w:tc>
          <w:tcPr>
            <w:tcW w:w="555" w:type="pct"/>
          </w:tcPr>
          <w:p w14:paraId="094B8C92" w14:textId="77ABE841"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96549C">
              <w:rPr>
                <w:b/>
                <w:bCs w:val="0"/>
              </w:rPr>
              <w:t>3</w:t>
            </w:r>
            <w:r w:rsidR="00D81EB3" w:rsidRPr="0096549C">
              <w:rPr>
                <w:b/>
                <w:bCs w:val="0"/>
              </w:rPr>
              <w:t>6</w:t>
            </w:r>
            <w:r w:rsidR="00EA3DA8" w:rsidRPr="0096549C">
              <w:rPr>
                <w:b/>
                <w:bCs w:val="0"/>
              </w:rPr>
              <w:t> </w:t>
            </w:r>
            <w:r w:rsidR="00D81EB3" w:rsidRPr="0096549C">
              <w:rPr>
                <w:b/>
                <w:bCs w:val="0"/>
              </w:rPr>
              <w:t>8</w:t>
            </w:r>
            <w:r w:rsidRPr="0096549C">
              <w:rPr>
                <w:b/>
                <w:bCs w:val="0"/>
              </w:rPr>
              <w:t>20</w:t>
            </w:r>
            <w:r w:rsidR="00EA3DA8" w:rsidRPr="0096549C">
              <w:rPr>
                <w:b/>
                <w:bCs w:val="0"/>
              </w:rPr>
              <w:t> </w:t>
            </w:r>
            <w:r w:rsidRPr="0096549C">
              <w:rPr>
                <w:b/>
                <w:bCs w:val="0"/>
              </w:rPr>
              <w:t>825</w:t>
            </w:r>
          </w:p>
        </w:tc>
      </w:tr>
      <w:tr w:rsidR="00026D2C" w:rsidRPr="00FE3A13" w14:paraId="1054EF13" w14:textId="77777777" w:rsidTr="00645834">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489" w:type="pct"/>
          </w:tcPr>
          <w:p w14:paraId="1ED3EF72" w14:textId="054DC9C1" w:rsidR="00026D2C" w:rsidRPr="00FE3A13" w:rsidRDefault="00026D2C" w:rsidP="000600DC">
            <w:pPr>
              <w:pStyle w:val="NIVtableau"/>
            </w:pPr>
            <w:r>
              <w:t>AHV/IV-EL</w:t>
            </w:r>
          </w:p>
        </w:tc>
        <w:tc>
          <w:tcPr>
            <w:tcW w:w="547" w:type="pct"/>
          </w:tcPr>
          <w:p w14:paraId="4395BB6F" w14:textId="1F192799"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t>28</w:t>
            </w:r>
            <w:r w:rsidR="00EA3DA8" w:rsidRPr="0096549C">
              <w:t> </w:t>
            </w:r>
            <w:r w:rsidRPr="0096549C">
              <w:t>847</w:t>
            </w:r>
            <w:r w:rsidR="00EA3DA8" w:rsidRPr="0096549C">
              <w:t> </w:t>
            </w:r>
            <w:r w:rsidRPr="0096549C">
              <w:t>000</w:t>
            </w:r>
          </w:p>
        </w:tc>
        <w:tc>
          <w:tcPr>
            <w:tcW w:w="546" w:type="pct"/>
          </w:tcPr>
          <w:p w14:paraId="6244750D" w14:textId="7713ED89"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t>29</w:t>
            </w:r>
            <w:r w:rsidR="00EA3DA8" w:rsidRPr="0096549C">
              <w:t> </w:t>
            </w:r>
            <w:r w:rsidRPr="0096549C">
              <w:t>557</w:t>
            </w:r>
            <w:r w:rsidR="00EA3DA8" w:rsidRPr="0096549C">
              <w:t> </w:t>
            </w:r>
            <w:r w:rsidRPr="0096549C">
              <w:t>000</w:t>
            </w:r>
          </w:p>
        </w:tc>
        <w:tc>
          <w:tcPr>
            <w:tcW w:w="547" w:type="pct"/>
          </w:tcPr>
          <w:p w14:paraId="774B6ADB" w14:textId="0150BBF7" w:rsidR="00026D2C" w:rsidRPr="0096549C" w:rsidRDefault="00026D2C"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t>30</w:t>
            </w:r>
            <w:r w:rsidR="00EA3DA8" w:rsidRPr="0096549C">
              <w:t> </w:t>
            </w:r>
            <w:r w:rsidRPr="0096549C">
              <w:t>180</w:t>
            </w:r>
            <w:r w:rsidR="00EA3DA8" w:rsidRPr="0096549C">
              <w:t> </w:t>
            </w:r>
            <w:r w:rsidRPr="0096549C">
              <w:t>000</w:t>
            </w:r>
          </w:p>
        </w:tc>
        <w:tc>
          <w:tcPr>
            <w:tcW w:w="546" w:type="pct"/>
          </w:tcPr>
          <w:p w14:paraId="234F4C6C" w14:textId="123324FF" w:rsidR="00026D2C" w:rsidRPr="0096549C" w:rsidRDefault="00026D2C" w:rsidP="000600DC">
            <w:pPr>
              <w:pStyle w:val="NIVtableauchiffres"/>
              <w:spacing w:before="100"/>
              <w:cnfStyle w:val="000000000000" w:firstRow="0" w:lastRow="0" w:firstColumn="0" w:lastColumn="0" w:oddVBand="0" w:evenVBand="0" w:oddHBand="0" w:evenHBand="0" w:firstRowFirstColumn="0" w:firstRowLastColumn="0" w:lastRowFirstColumn="0" w:lastRowLastColumn="0"/>
            </w:pPr>
            <w:r w:rsidRPr="0096549C">
              <w:t>88</w:t>
            </w:r>
            <w:r w:rsidR="00EA3DA8" w:rsidRPr="0096549C">
              <w:t> </w:t>
            </w:r>
            <w:r w:rsidRPr="0096549C">
              <w:t>584</w:t>
            </w:r>
            <w:r w:rsidR="00EA3DA8" w:rsidRPr="0096549C">
              <w:t> </w:t>
            </w:r>
            <w:r w:rsidRPr="0096549C">
              <w:t>000</w:t>
            </w:r>
          </w:p>
        </w:tc>
        <w:tc>
          <w:tcPr>
            <w:tcW w:w="589" w:type="pct"/>
          </w:tcPr>
          <w:p w14:paraId="34337E43" w14:textId="1DEBD770" w:rsidR="00026D2C" w:rsidRPr="0096549C"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sidRPr="0096549C">
              <w:rPr>
                <w:lang w:val="de-CH"/>
              </w:rPr>
              <w:t>– </w:t>
            </w:r>
            <w:r w:rsidR="00026D2C" w:rsidRPr="0096549C">
              <w:t>28</w:t>
            </w:r>
            <w:r w:rsidR="00EA3DA8" w:rsidRPr="0096549C">
              <w:t> </w:t>
            </w:r>
            <w:r w:rsidR="00026D2C" w:rsidRPr="0096549C">
              <w:t>847</w:t>
            </w:r>
            <w:r w:rsidR="00EA3DA8" w:rsidRPr="0096549C">
              <w:t> </w:t>
            </w:r>
            <w:r w:rsidR="00026D2C" w:rsidRPr="0096549C">
              <w:t>000</w:t>
            </w:r>
          </w:p>
        </w:tc>
        <w:tc>
          <w:tcPr>
            <w:tcW w:w="555" w:type="pct"/>
          </w:tcPr>
          <w:p w14:paraId="367F9E91" w14:textId="7BB49A02" w:rsidR="00026D2C" w:rsidRPr="00FE3A13"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Pr>
                <w:lang w:val="de-CH"/>
              </w:rPr>
              <w:t>– </w:t>
            </w:r>
            <w:r w:rsidR="00026D2C">
              <w:t>29</w:t>
            </w:r>
            <w:r w:rsidR="00EA3DA8">
              <w:t> </w:t>
            </w:r>
            <w:r w:rsidR="00026D2C">
              <w:t>557</w:t>
            </w:r>
            <w:r w:rsidR="00EA3DA8">
              <w:t> </w:t>
            </w:r>
            <w:r w:rsidR="00026D2C">
              <w:t>000</w:t>
            </w:r>
          </w:p>
        </w:tc>
        <w:tc>
          <w:tcPr>
            <w:tcW w:w="625" w:type="pct"/>
          </w:tcPr>
          <w:p w14:paraId="58F2EC6D" w14:textId="5A853304" w:rsidR="00026D2C" w:rsidRPr="00FE3A13"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Pr>
                <w:lang w:val="de-CH"/>
              </w:rPr>
              <w:t>– </w:t>
            </w:r>
            <w:r w:rsidR="00026D2C">
              <w:t>30</w:t>
            </w:r>
            <w:r w:rsidR="00EA3DA8">
              <w:t> </w:t>
            </w:r>
            <w:r w:rsidR="00026D2C">
              <w:t>180</w:t>
            </w:r>
            <w:r w:rsidR="00EA3DA8">
              <w:t> </w:t>
            </w:r>
            <w:r w:rsidR="00026D2C">
              <w:t>000</w:t>
            </w:r>
          </w:p>
        </w:tc>
        <w:tc>
          <w:tcPr>
            <w:tcW w:w="555" w:type="pct"/>
          </w:tcPr>
          <w:p w14:paraId="7A6503EF" w14:textId="4302F6B2" w:rsidR="00026D2C" w:rsidRPr="00FE3A13" w:rsidRDefault="005636AD" w:rsidP="000600DC">
            <w:pPr>
              <w:pStyle w:val="NIVtableauchiffres"/>
              <w:cnfStyle w:val="000000000000" w:firstRow="0" w:lastRow="0" w:firstColumn="0" w:lastColumn="0" w:oddVBand="0" w:evenVBand="0" w:oddHBand="0" w:evenHBand="0" w:firstRowFirstColumn="0" w:firstRowLastColumn="0" w:lastRowFirstColumn="0" w:lastRowLastColumn="0"/>
            </w:pPr>
            <w:r>
              <w:rPr>
                <w:lang w:val="de-CH"/>
              </w:rPr>
              <w:t>– </w:t>
            </w:r>
            <w:r w:rsidR="00026D2C">
              <w:t>88</w:t>
            </w:r>
            <w:r w:rsidR="00EA3DA8">
              <w:t> </w:t>
            </w:r>
            <w:r w:rsidR="00026D2C">
              <w:t>584</w:t>
            </w:r>
            <w:r w:rsidR="00EA3DA8">
              <w:t> </w:t>
            </w:r>
            <w:r w:rsidR="00026D2C">
              <w:t>000</w:t>
            </w:r>
          </w:p>
        </w:tc>
      </w:tr>
      <w:tr w:rsidR="001736C9" w:rsidRPr="001F6C79" w14:paraId="744D713F" w14:textId="77777777" w:rsidTr="00645834">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89" w:type="pct"/>
          </w:tcPr>
          <w:p w14:paraId="27384273" w14:textId="77777777" w:rsidR="001736C9" w:rsidRPr="001F6C79" w:rsidRDefault="001736C9" w:rsidP="007B12C8">
            <w:pPr>
              <w:pStyle w:val="NIVtableau"/>
              <w:rPr>
                <w:lang w:val="de-CH"/>
              </w:rPr>
            </w:pPr>
            <w:r w:rsidRPr="001F6C79">
              <w:rPr>
                <w:lang w:val="de-CH"/>
              </w:rPr>
              <w:t>Total</w:t>
            </w:r>
          </w:p>
        </w:tc>
        <w:tc>
          <w:tcPr>
            <w:tcW w:w="547" w:type="pct"/>
          </w:tcPr>
          <w:p w14:paraId="345A0D85" w14:textId="793022E6" w:rsidR="001736C9" w:rsidRPr="0096549C" w:rsidRDefault="001736C9"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96549C">
              <w:rPr>
                <w:lang w:val="de-CH"/>
              </w:rPr>
              <w:t>142 </w:t>
            </w:r>
            <w:r w:rsidR="00AF63D5" w:rsidRPr="0096549C">
              <w:rPr>
                <w:lang w:val="de-CH"/>
              </w:rPr>
              <w:t>7</w:t>
            </w:r>
            <w:r w:rsidR="009E2921" w:rsidRPr="0096549C">
              <w:rPr>
                <w:lang w:val="de-CH"/>
              </w:rPr>
              <w:t>8</w:t>
            </w:r>
            <w:r w:rsidRPr="0096549C">
              <w:rPr>
                <w:lang w:val="de-CH"/>
              </w:rPr>
              <w:t>2 951</w:t>
            </w:r>
          </w:p>
        </w:tc>
        <w:tc>
          <w:tcPr>
            <w:tcW w:w="546" w:type="pct"/>
          </w:tcPr>
          <w:p w14:paraId="7DC575B0" w14:textId="305F5966" w:rsidR="001736C9" w:rsidRPr="0096549C" w:rsidRDefault="001736C9"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96549C">
              <w:rPr>
                <w:lang w:val="de-CH"/>
              </w:rPr>
              <w:t>184 </w:t>
            </w:r>
            <w:r w:rsidR="00AF63D5" w:rsidRPr="0096549C">
              <w:rPr>
                <w:lang w:val="de-CH"/>
              </w:rPr>
              <w:t>4</w:t>
            </w:r>
            <w:r w:rsidR="009E2921" w:rsidRPr="0096549C">
              <w:rPr>
                <w:lang w:val="de-CH"/>
              </w:rPr>
              <w:t>8</w:t>
            </w:r>
            <w:r w:rsidRPr="0096549C">
              <w:rPr>
                <w:lang w:val="de-CH"/>
              </w:rPr>
              <w:t>5 710</w:t>
            </w:r>
          </w:p>
        </w:tc>
        <w:tc>
          <w:tcPr>
            <w:tcW w:w="547" w:type="pct"/>
          </w:tcPr>
          <w:p w14:paraId="1B40E0FE" w14:textId="2D1BFFCA" w:rsidR="001736C9" w:rsidRPr="0096549C" w:rsidRDefault="001736C9"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96549C">
              <w:rPr>
                <w:lang w:val="de-CH"/>
              </w:rPr>
              <w:t>166 </w:t>
            </w:r>
            <w:r w:rsidR="00AF63D5" w:rsidRPr="0096549C">
              <w:rPr>
                <w:lang w:val="de-CH"/>
              </w:rPr>
              <w:t>6</w:t>
            </w:r>
            <w:r w:rsidR="009E2921" w:rsidRPr="0096549C">
              <w:rPr>
                <w:lang w:val="de-CH"/>
              </w:rPr>
              <w:t>9</w:t>
            </w:r>
            <w:r w:rsidRPr="0096549C">
              <w:rPr>
                <w:lang w:val="de-CH"/>
              </w:rPr>
              <w:t>6 410</w:t>
            </w:r>
          </w:p>
        </w:tc>
        <w:tc>
          <w:tcPr>
            <w:tcW w:w="546" w:type="pct"/>
          </w:tcPr>
          <w:p w14:paraId="23043416" w14:textId="1E7A0C6E" w:rsidR="001736C9" w:rsidRPr="0096549C" w:rsidRDefault="001736C9" w:rsidP="007B12C8">
            <w:pPr>
              <w:pStyle w:val="NIVtableauchiffres"/>
              <w:spacing w:before="100"/>
              <w:cnfStyle w:val="010000000000" w:firstRow="0" w:lastRow="1" w:firstColumn="0" w:lastColumn="0" w:oddVBand="0" w:evenVBand="0" w:oddHBand="0" w:evenHBand="0" w:firstRowFirstColumn="0" w:firstRowLastColumn="0" w:lastRowFirstColumn="0" w:lastRowLastColumn="0"/>
              <w:rPr>
                <w:lang w:val="de-CH"/>
              </w:rPr>
            </w:pPr>
            <w:r w:rsidRPr="0096549C">
              <w:rPr>
                <w:lang w:val="de-CH"/>
              </w:rPr>
              <w:t>49</w:t>
            </w:r>
            <w:r w:rsidR="00AF63D5" w:rsidRPr="0096549C">
              <w:rPr>
                <w:lang w:val="de-CH"/>
              </w:rPr>
              <w:t>3</w:t>
            </w:r>
            <w:r w:rsidRPr="0096549C">
              <w:rPr>
                <w:lang w:val="de-CH"/>
              </w:rPr>
              <w:t> </w:t>
            </w:r>
            <w:r w:rsidR="00AF63D5" w:rsidRPr="0096549C">
              <w:rPr>
                <w:lang w:val="de-CH"/>
              </w:rPr>
              <w:t>965</w:t>
            </w:r>
            <w:r w:rsidRPr="0096549C">
              <w:rPr>
                <w:lang w:val="de-CH"/>
              </w:rPr>
              <w:t> 071</w:t>
            </w:r>
          </w:p>
        </w:tc>
        <w:tc>
          <w:tcPr>
            <w:tcW w:w="589" w:type="pct"/>
          </w:tcPr>
          <w:p w14:paraId="734EF23A" w14:textId="63BEE720" w:rsidR="001736C9" w:rsidRPr="0096549C" w:rsidRDefault="005636AD"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sidRPr="0096549C">
              <w:rPr>
                <w:lang w:val="de-CH"/>
              </w:rPr>
              <w:t>– </w:t>
            </w:r>
            <w:r w:rsidR="001736C9" w:rsidRPr="0096549C">
              <w:rPr>
                <w:lang w:val="de-CH"/>
              </w:rPr>
              <w:t> 21 777 975</w:t>
            </w:r>
          </w:p>
        </w:tc>
        <w:tc>
          <w:tcPr>
            <w:tcW w:w="555" w:type="pct"/>
          </w:tcPr>
          <w:p w14:paraId="36AF8ACA" w14:textId="0ED6DA30" w:rsidR="001736C9" w:rsidRPr="001F6C79" w:rsidRDefault="005636AD"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Pr>
                <w:lang w:val="de-CH"/>
              </w:rPr>
              <w:t>– </w:t>
            </w:r>
            <w:r w:rsidR="001736C9" w:rsidRPr="001F6C79">
              <w:rPr>
                <w:lang w:val="de-CH"/>
              </w:rPr>
              <w:t>13 </w:t>
            </w:r>
            <w:r w:rsidR="009E2921">
              <w:rPr>
                <w:lang w:val="de-CH"/>
              </w:rPr>
              <w:t>5</w:t>
            </w:r>
            <w:r w:rsidR="001736C9" w:rsidRPr="001F6C79">
              <w:rPr>
                <w:lang w:val="de-CH"/>
              </w:rPr>
              <w:t>21 975</w:t>
            </w:r>
          </w:p>
        </w:tc>
        <w:tc>
          <w:tcPr>
            <w:tcW w:w="625" w:type="pct"/>
          </w:tcPr>
          <w:p w14:paraId="076C3AA2" w14:textId="06075F88" w:rsidR="001736C9" w:rsidRPr="001F6C79" w:rsidRDefault="005636AD"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Pr>
                <w:lang w:val="de-CH"/>
              </w:rPr>
              <w:t>– </w:t>
            </w:r>
            <w:r w:rsidR="001736C9" w:rsidRPr="001F6C79">
              <w:rPr>
                <w:lang w:val="de-CH"/>
              </w:rPr>
              <w:t>16 </w:t>
            </w:r>
            <w:r w:rsidR="009E2921">
              <w:rPr>
                <w:lang w:val="de-CH"/>
              </w:rPr>
              <w:t>4</w:t>
            </w:r>
            <w:r w:rsidR="001736C9" w:rsidRPr="001F6C79">
              <w:rPr>
                <w:lang w:val="de-CH"/>
              </w:rPr>
              <w:t>63 225</w:t>
            </w:r>
          </w:p>
        </w:tc>
        <w:tc>
          <w:tcPr>
            <w:tcW w:w="555" w:type="pct"/>
          </w:tcPr>
          <w:p w14:paraId="5E1204C2" w14:textId="4BAE8D6E" w:rsidR="001736C9" w:rsidRPr="001F6C79" w:rsidRDefault="005636AD" w:rsidP="007B12C8">
            <w:pPr>
              <w:pStyle w:val="NIVtableauchiffres"/>
              <w:cnfStyle w:val="010000000000" w:firstRow="0" w:lastRow="1" w:firstColumn="0" w:lastColumn="0" w:oddVBand="0" w:evenVBand="0" w:oddHBand="0" w:evenHBand="0" w:firstRowFirstColumn="0" w:firstRowLastColumn="0" w:lastRowFirstColumn="0" w:lastRowLastColumn="0"/>
              <w:rPr>
                <w:lang w:val="de-CH"/>
              </w:rPr>
            </w:pPr>
            <w:r>
              <w:rPr>
                <w:lang w:val="de-CH"/>
              </w:rPr>
              <w:t>– </w:t>
            </w:r>
            <w:r w:rsidR="001736C9" w:rsidRPr="001F6C79">
              <w:rPr>
                <w:lang w:val="de-CH"/>
              </w:rPr>
              <w:t>51 </w:t>
            </w:r>
            <w:r w:rsidR="0056021C">
              <w:rPr>
                <w:lang w:val="de-CH"/>
              </w:rPr>
              <w:t>763</w:t>
            </w:r>
            <w:r w:rsidR="001736C9" w:rsidRPr="001F6C79">
              <w:rPr>
                <w:lang w:val="de-CH"/>
              </w:rPr>
              <w:t> 175</w:t>
            </w:r>
          </w:p>
        </w:tc>
      </w:tr>
    </w:tbl>
    <w:p w14:paraId="59FE77DE" w14:textId="77777777" w:rsidR="001736C9" w:rsidRPr="001F6C79" w:rsidRDefault="001736C9" w:rsidP="001736C9">
      <w:pPr>
        <w:spacing w:before="0" w:after="240"/>
        <w:rPr>
          <w:sz w:val="16"/>
          <w:szCs w:val="16"/>
          <w:lang w:val="de-CH"/>
        </w:rPr>
      </w:pPr>
      <w:r w:rsidRPr="001F6C79">
        <w:rPr>
          <w:sz w:val="16"/>
          <w:lang w:val="de-CH"/>
        </w:rPr>
        <w:t>(+) = Entlastung (Mehreinnahmen und Minderaufwand); (-) = Belastung (Mindereinnahmen und Mehraufwand)</w:t>
      </w:r>
    </w:p>
    <w:p w14:paraId="408E16E4" w14:textId="77777777" w:rsidR="001736C9" w:rsidRPr="001F6C79" w:rsidRDefault="001736C9" w:rsidP="001736C9">
      <w:pPr>
        <w:pStyle w:val="Corpsdetexte"/>
        <w:rPr>
          <w:lang w:val="de-CH"/>
        </w:rPr>
      </w:pPr>
      <w:r w:rsidRPr="001F6C79">
        <w:rPr>
          <w:lang w:val="de-CH"/>
        </w:rPr>
        <w:t xml:space="preserve">Gemessen an den Ergebnissen des aktualisierten Finanzplans, von dem der Grosse Rat in seiner Märzsession 2025 Kenntnis genommen hat, entlastet das PSKF die Kantonsfinanzen insgesamt mit netto 142 Millionen Franken im Jahr 2026, mit 184 Millionen Franken im Jahr 2027 und mit 166 Millionen Franken im Jahr 2028, und zwar hauptsächlich mit Ausgabensenkungen, aber auch einigen grösseren Mehreinnahmen. Auf der Ausgabenseite lässt sich mit den Massnahmenvorschlägen in den meisten Fällen das Tempo des Ausgabenwachstums bremsen, wie es sich im Finanzplan abzeichnet. Dies führt jedoch nicht so weit, dass es zu einer Nettokostensenkung gegenüber dem jetzigen Stand käme.  </w:t>
      </w:r>
    </w:p>
    <w:p w14:paraId="36006698" w14:textId="26110A76" w:rsidR="00193D9C" w:rsidRPr="001736C9" w:rsidRDefault="001736C9" w:rsidP="001736C9">
      <w:pPr>
        <w:pStyle w:val="Corpsdetexte"/>
        <w:rPr>
          <w:lang w:val="de-CH"/>
        </w:rPr>
      </w:pPr>
      <w:r w:rsidRPr="001F6C79">
        <w:rPr>
          <w:lang w:val="de-CH"/>
        </w:rPr>
        <w:t>Angesichts der starken Aufgabenverflechtung von Kanton und Gemeinden wird das PSKF unweigerlich Auswirkungen auf die Gemeinden haben. Der in die Vernehmlassung geschickte Entwurf hat insgesamt für die Gemeinden Nettomehrausgaben von rund 22 Millionen Franken im Jahr 2026, von 13 Millionen Franken im Jahr 2027 und von 16 Millionen Franken im Jahr 2028 zur Folge. Das Plus im Bereich Einnahmen und beim Personal wird mit dem Minus aus den Massnahmen bezüglich Subventionierung sowie Projekte und Reformen mehr als neutralisiert. Die finanziellen Auswirkungen nach Massnahmen für die Gemeinden werden in Kapitel 4 jeweils aufgezeigt.</w:t>
      </w:r>
    </w:p>
    <w:p w14:paraId="0F6AB3E0" w14:textId="77777777" w:rsidR="00193D9C" w:rsidRPr="001736C9" w:rsidRDefault="00193D9C" w:rsidP="003E5B99">
      <w:pPr>
        <w:pStyle w:val="Corpsdetexte"/>
        <w:rPr>
          <w:lang w:val="de-CH"/>
        </w:rPr>
      </w:pPr>
    </w:p>
    <w:p w14:paraId="2F10AAAD" w14:textId="67A283DC" w:rsidR="00183978" w:rsidRPr="00FE3A13" w:rsidRDefault="001F52BF" w:rsidP="00183978">
      <w:pPr>
        <w:pStyle w:val="Titre2"/>
      </w:pPr>
      <w:bookmarkStart w:id="180" w:name="_Toc196226291"/>
      <w:r w:rsidRPr="001F6C79">
        <w:rPr>
          <w:lang w:val="de-CH"/>
        </w:rPr>
        <w:t>Folgen für das Staatspersonal</w:t>
      </w:r>
      <w:bookmarkEnd w:id="180"/>
    </w:p>
    <w:p w14:paraId="1AAF9F5C" w14:textId="19599F24" w:rsidR="00AB3496" w:rsidRDefault="001F52BF" w:rsidP="00AB3496">
      <w:pPr>
        <w:pStyle w:val="Corpsdetexte"/>
        <w:rPr>
          <w:lang w:val="de-CH"/>
        </w:rPr>
      </w:pPr>
      <w:r w:rsidRPr="001F6C79">
        <w:rPr>
          <w:lang w:val="de-CH"/>
        </w:rPr>
        <w:t>Die verschiedenen im Bereich Personal vorgesehenen Massnahmen, auf die in Kapitel 4.2.2 und 4.3.2 ausführlich eingegangen wird, würden die Kantonsfinanzen um rund 26,2 Millionen Franken im Jahr 2026, um 53,8 Millionen Franken im Jahr 2027 und um 42,7 Millionen Franken im Jahr 2028 entlasten. Die Gemeindefinanzen würden mit diesen Massnahmen ebenfalls netto um rund 7,4 Millionen Franken im Jahr 2026, um 17,3 Millionen Franken im Jahr 2027 und um 15,4 Millionen Franken im Jahr 2028 entlastet.</w:t>
      </w:r>
    </w:p>
    <w:p w14:paraId="2148A9D6" w14:textId="43C06DFE" w:rsidR="00026D2C" w:rsidRPr="00EA3DA8" w:rsidRDefault="00EA3DA8" w:rsidP="00AB3496">
      <w:pPr>
        <w:pStyle w:val="Corpsdetexte"/>
        <w:rPr>
          <w:lang w:val="de-CH"/>
        </w:rPr>
      </w:pPr>
      <w:r w:rsidRPr="00EB6310">
        <w:rPr>
          <w:lang w:val="de-CH"/>
        </w:rPr>
        <w:t xml:space="preserve">Wie </w:t>
      </w:r>
      <w:r w:rsidR="003D2E63">
        <w:rPr>
          <w:lang w:val="de-CH"/>
        </w:rPr>
        <w:t>schon gesagt</w:t>
      </w:r>
      <w:r w:rsidRPr="00EB6310">
        <w:rPr>
          <w:lang w:val="de-CH"/>
        </w:rPr>
        <w:t xml:space="preserve"> ist es unvermeidlich, dass das Personal vom </w:t>
      </w:r>
      <w:r w:rsidR="00402E8E">
        <w:rPr>
          <w:lang w:val="de-CH"/>
        </w:rPr>
        <w:t>PSKF</w:t>
      </w:r>
      <w:r w:rsidRPr="00EB6310">
        <w:rPr>
          <w:lang w:val="de-CH"/>
        </w:rPr>
        <w:t xml:space="preserve"> tangiert wird, da die Lohnsumme mehr als 1,5</w:t>
      </w:r>
      <w:r w:rsidR="00CA2102">
        <w:rPr>
          <w:lang w:val="de-CH"/>
        </w:rPr>
        <w:t> </w:t>
      </w:r>
      <w:r w:rsidRPr="00EB6310">
        <w:rPr>
          <w:lang w:val="de-CH"/>
        </w:rPr>
        <w:t>Milliarden Franken beträgt und fast 35</w:t>
      </w:r>
      <w:r w:rsidR="00402E8E">
        <w:rPr>
          <w:lang w:val="de-CH"/>
        </w:rPr>
        <w:t> </w:t>
      </w:r>
      <w:r w:rsidRPr="00EB6310">
        <w:rPr>
          <w:lang w:val="de-CH"/>
        </w:rPr>
        <w:t xml:space="preserve">% der Staatsausgaben ausmacht. Der Staatsrat ist sich der Qualität der </w:t>
      </w:r>
      <w:r w:rsidR="003803F7">
        <w:rPr>
          <w:lang w:val="de-CH"/>
        </w:rPr>
        <w:t>Arbeitsl</w:t>
      </w:r>
      <w:r w:rsidRPr="00EB6310">
        <w:rPr>
          <w:lang w:val="de-CH"/>
        </w:rPr>
        <w:t>eistung</w:t>
      </w:r>
      <w:r w:rsidR="003803F7">
        <w:rPr>
          <w:lang w:val="de-CH"/>
        </w:rPr>
        <w:t>,</w:t>
      </w:r>
      <w:r w:rsidRPr="00EB6310">
        <w:rPr>
          <w:lang w:val="de-CH"/>
        </w:rPr>
        <w:t xml:space="preserve"> der zunehmenden Arbeitsbelastung der Staatsangestellten und der Konkurrenz mit anderen potenziellen Arbeitgebern bewusst</w:t>
      </w:r>
      <w:r w:rsidR="003803F7">
        <w:rPr>
          <w:lang w:val="de-CH"/>
        </w:rPr>
        <w:t xml:space="preserve"> und hat </w:t>
      </w:r>
      <w:r w:rsidRPr="00EB6310">
        <w:rPr>
          <w:lang w:val="de-CH"/>
        </w:rPr>
        <w:t xml:space="preserve">darauf geachtet, </w:t>
      </w:r>
      <w:r w:rsidR="003803F7">
        <w:rPr>
          <w:lang w:val="de-CH"/>
        </w:rPr>
        <w:t>dass die</w:t>
      </w:r>
      <w:r w:rsidRPr="00EB6310">
        <w:rPr>
          <w:lang w:val="de-CH"/>
        </w:rPr>
        <w:t xml:space="preserve"> Arbeitsbedingungen</w:t>
      </w:r>
      <w:r w:rsidR="003803F7">
        <w:rPr>
          <w:lang w:val="de-CH"/>
        </w:rPr>
        <w:t xml:space="preserve"> möglichst</w:t>
      </w:r>
      <w:r w:rsidRPr="00EB6310">
        <w:rPr>
          <w:lang w:val="de-CH"/>
        </w:rPr>
        <w:t xml:space="preserve"> </w:t>
      </w:r>
      <w:r w:rsidR="003803F7">
        <w:rPr>
          <w:lang w:val="de-CH"/>
        </w:rPr>
        <w:t>wenig in Mitleidenschaft gezogen werden</w:t>
      </w:r>
      <w:r w:rsidRPr="00EB6310">
        <w:rPr>
          <w:lang w:val="de-CH"/>
        </w:rPr>
        <w:t>. Vor diesem Hintergrund zielen die vorgeschlagenen Ma</w:t>
      </w:r>
      <w:r>
        <w:rPr>
          <w:lang w:val="de-CH"/>
        </w:rPr>
        <w:t>ss</w:t>
      </w:r>
      <w:r w:rsidRPr="00EB6310">
        <w:rPr>
          <w:lang w:val="de-CH"/>
        </w:rPr>
        <w:t>nahmen im Wesentlichen darauf ab, den Anstieg der Personalkosten einzudämmen</w:t>
      </w:r>
      <w:r w:rsidR="00026D2C" w:rsidRPr="00EA3DA8">
        <w:rPr>
          <w:lang w:val="de-CH"/>
        </w:rPr>
        <w:t>.</w:t>
      </w:r>
    </w:p>
    <w:p w14:paraId="0CE7D16B" w14:textId="68265410" w:rsidR="005F68A9" w:rsidRPr="001F52BF" w:rsidRDefault="001F52BF" w:rsidP="005F68A9">
      <w:pPr>
        <w:pStyle w:val="Titre2"/>
        <w:rPr>
          <w:lang w:val="de-CH"/>
        </w:rPr>
      </w:pPr>
      <w:bookmarkStart w:id="181" w:name="_Toc196226292"/>
      <w:r w:rsidRPr="001F6C79">
        <w:rPr>
          <w:lang w:val="de-CH"/>
        </w:rPr>
        <w:lastRenderedPageBreak/>
        <w:t>Auswirkungen für die Gemeinden</w:t>
      </w:r>
      <w:bookmarkEnd w:id="181"/>
    </w:p>
    <w:p w14:paraId="6A2703A4" w14:textId="5B8D6228" w:rsidR="008B2F2A" w:rsidRDefault="001F52BF" w:rsidP="00AB3496">
      <w:pPr>
        <w:pStyle w:val="Corpsdetexte"/>
        <w:rPr>
          <w:lang w:val="de-CH"/>
        </w:rPr>
      </w:pPr>
      <w:r w:rsidRPr="001F6C79">
        <w:rPr>
          <w:lang w:val="de-CH"/>
        </w:rPr>
        <w:t>Die Auswirkungen des PSKF für die Gemeinden sind überwiegend finanzieller Natur</w:t>
      </w:r>
      <w:r w:rsidR="00EA3DA8">
        <w:rPr>
          <w:lang w:val="de-CH"/>
        </w:rPr>
        <w:t xml:space="preserve">, wie </w:t>
      </w:r>
      <w:r w:rsidRPr="001F6C79">
        <w:rPr>
          <w:lang w:val="de-CH"/>
        </w:rPr>
        <w:t xml:space="preserve">in Kapitel 7.1 </w:t>
      </w:r>
      <w:r w:rsidR="00EA3DA8">
        <w:rPr>
          <w:lang w:val="de-CH"/>
        </w:rPr>
        <w:t xml:space="preserve">beziffert und weiter unten </w:t>
      </w:r>
      <w:r w:rsidR="0006371C">
        <w:rPr>
          <w:lang w:val="de-CH"/>
        </w:rPr>
        <w:t xml:space="preserve">kurz </w:t>
      </w:r>
      <w:r w:rsidR="00EA3DA8">
        <w:rPr>
          <w:lang w:val="de-CH"/>
        </w:rPr>
        <w:t>kommentiert</w:t>
      </w:r>
      <w:r w:rsidRPr="001F6C79">
        <w:rPr>
          <w:lang w:val="de-CH"/>
        </w:rPr>
        <w:t>. Auf die allfälligen Anpassungen im Zuge von Gesetzesänderungen betreffend die Gemeinden wird in den Kommentaren in Kapitel 6 eingegangen.</w:t>
      </w:r>
    </w:p>
    <w:p w14:paraId="47733706" w14:textId="1E71BC7B" w:rsidR="00EA3DA8" w:rsidRPr="00EA3DA8" w:rsidRDefault="00EA3DA8" w:rsidP="00EA3DA8">
      <w:pPr>
        <w:pStyle w:val="Corpsdetexte"/>
        <w:rPr>
          <w:lang w:val="de-CH"/>
        </w:rPr>
      </w:pPr>
      <w:r w:rsidRPr="00EB6310">
        <w:rPr>
          <w:lang w:val="de-CH"/>
        </w:rPr>
        <w:t xml:space="preserve">Der Staatsrat </w:t>
      </w:r>
      <w:r w:rsidR="002E038C">
        <w:rPr>
          <w:lang w:val="de-CH"/>
        </w:rPr>
        <w:t>hält fest</w:t>
      </w:r>
      <w:r w:rsidRPr="00EB6310">
        <w:rPr>
          <w:lang w:val="de-CH"/>
        </w:rPr>
        <w:t>, dass die insgesamt negative Bilanz für die Gemeinden weitgehend auf die Ma</w:t>
      </w:r>
      <w:r>
        <w:rPr>
          <w:lang w:val="de-CH"/>
        </w:rPr>
        <w:t>ss</w:t>
      </w:r>
      <w:r w:rsidRPr="00EB6310">
        <w:rPr>
          <w:lang w:val="de-CH"/>
        </w:rPr>
        <w:t xml:space="preserve">nahme </w:t>
      </w:r>
      <w:r>
        <w:rPr>
          <w:lang w:val="de-CH"/>
        </w:rPr>
        <w:t xml:space="preserve">zur Beendigung der Übergangsregelung für die AHV/IV-Ergänzungsleitungen </w:t>
      </w:r>
      <w:r w:rsidRPr="00EB6310">
        <w:rPr>
          <w:lang w:val="de-CH"/>
        </w:rPr>
        <w:t xml:space="preserve">zurückzuführen ist, </w:t>
      </w:r>
      <w:r w:rsidR="003E5A50">
        <w:rPr>
          <w:lang w:val="de-CH"/>
        </w:rPr>
        <w:t>mit der</w:t>
      </w:r>
      <w:r w:rsidRPr="00EB6310">
        <w:rPr>
          <w:lang w:val="de-CH"/>
        </w:rPr>
        <w:t xml:space="preserve"> die Gemeinden 2008 von ihrem Finanzierungsanteil befreit wurden, der gemä</w:t>
      </w:r>
      <w:r>
        <w:rPr>
          <w:lang w:val="de-CH"/>
        </w:rPr>
        <w:t>ss</w:t>
      </w:r>
      <w:r w:rsidRPr="00EB6310">
        <w:rPr>
          <w:lang w:val="de-CH"/>
        </w:rPr>
        <w:t xml:space="preserve"> Art</w:t>
      </w:r>
      <w:r>
        <w:rPr>
          <w:lang w:val="de-CH"/>
        </w:rPr>
        <w:t>ikel</w:t>
      </w:r>
      <w:r w:rsidRPr="00EB6310">
        <w:rPr>
          <w:lang w:val="de-CH"/>
        </w:rPr>
        <w:t xml:space="preserve"> 15 Abs. 2 des geltenden kantonalen Gesetzes festgelegt ist (siehe Kommentare in </w:t>
      </w:r>
      <w:r>
        <w:rPr>
          <w:lang w:val="de-CH"/>
        </w:rPr>
        <w:t>Kapitel</w:t>
      </w:r>
      <w:r w:rsidRPr="00EB6310">
        <w:rPr>
          <w:lang w:val="de-CH"/>
        </w:rPr>
        <w:t xml:space="preserve"> 6.18). Ohne diese Ma</w:t>
      </w:r>
      <w:r>
        <w:rPr>
          <w:lang w:val="de-CH"/>
        </w:rPr>
        <w:t>ss</w:t>
      </w:r>
      <w:r w:rsidRPr="00EB6310">
        <w:rPr>
          <w:lang w:val="de-CH"/>
        </w:rPr>
        <w:t>nahme hätte das P</w:t>
      </w:r>
      <w:r>
        <w:rPr>
          <w:lang w:val="de-CH"/>
        </w:rPr>
        <w:t>SKF</w:t>
      </w:r>
      <w:r w:rsidRPr="00EB6310">
        <w:rPr>
          <w:lang w:val="de-CH"/>
        </w:rPr>
        <w:t xml:space="preserve"> im Jahr 2026 einen positiven Nettoeffekt für die Gemeinden in Höhe von 7 Millionen Franken, im Jahr 2027 in Höhe von 16 Millionen Franken und im Jahr 2028 in Höhe von 14 Millionen Franken</w:t>
      </w:r>
      <w:r w:rsidRPr="00EA3DA8">
        <w:rPr>
          <w:lang w:val="de-CH"/>
        </w:rPr>
        <w:t>.</w:t>
      </w:r>
    </w:p>
    <w:p w14:paraId="6711D217" w14:textId="64F590EA" w:rsidR="00EA3DA8" w:rsidRPr="008420CA" w:rsidRDefault="00EC012B" w:rsidP="00EA3DA8">
      <w:pPr>
        <w:pStyle w:val="Corpsdetexte"/>
        <w:rPr>
          <w:lang w:val="de-CH"/>
        </w:rPr>
      </w:pPr>
      <w:r w:rsidRPr="00EB6310">
        <w:rPr>
          <w:lang w:val="de-CH"/>
        </w:rPr>
        <w:t xml:space="preserve">Es sei auch </w:t>
      </w:r>
      <w:r w:rsidR="003E5A50">
        <w:rPr>
          <w:lang w:val="de-CH"/>
        </w:rPr>
        <w:t>daran erinnert</w:t>
      </w:r>
      <w:r w:rsidRPr="00EB6310">
        <w:rPr>
          <w:lang w:val="de-CH"/>
        </w:rPr>
        <w:t>, dass das Struktur- und Sparprogramm 2013</w:t>
      </w:r>
      <w:r w:rsidR="00402E8E">
        <w:rPr>
          <w:rFonts w:cstheme="minorHAnsi"/>
          <w:lang w:val="de-CH"/>
        </w:rPr>
        <w:t>–</w:t>
      </w:r>
      <w:r w:rsidRPr="00EB6310">
        <w:rPr>
          <w:lang w:val="de-CH"/>
        </w:rPr>
        <w:t>2016 insgesamt zu einer positiven Bilanz für die Gemeinden geführt hat. Die in Zusammenarbeit mit dem Freiburger Gemeindeverband (</w:t>
      </w:r>
      <w:r>
        <w:rPr>
          <w:lang w:val="de-CH"/>
        </w:rPr>
        <w:t>FGV</w:t>
      </w:r>
      <w:r w:rsidRPr="00EB6310">
        <w:rPr>
          <w:lang w:val="de-CH"/>
        </w:rPr>
        <w:t xml:space="preserve">) durchgeführte </w:t>
      </w:r>
      <w:r w:rsidRPr="00EC012B">
        <w:rPr>
          <w:lang w:val="de-CH"/>
        </w:rPr>
        <w:t xml:space="preserve">retrospektive Analyse </w:t>
      </w:r>
      <w:r w:rsidRPr="00EB6310">
        <w:rPr>
          <w:lang w:val="de-CH"/>
        </w:rPr>
        <w:t xml:space="preserve">hat nämlich gezeigt, dass </w:t>
      </w:r>
      <w:r>
        <w:rPr>
          <w:lang w:val="de-CH"/>
        </w:rPr>
        <w:t>sich die S</w:t>
      </w:r>
      <w:r w:rsidR="008420CA">
        <w:rPr>
          <w:lang w:val="de-CH"/>
        </w:rPr>
        <w:t>truktur- und Sparmassnahmen</w:t>
      </w:r>
      <w:r>
        <w:rPr>
          <w:lang w:val="de-CH"/>
        </w:rPr>
        <w:t xml:space="preserve"> insgesamt positiv für </w:t>
      </w:r>
      <w:r w:rsidRPr="00EB6310">
        <w:rPr>
          <w:lang w:val="de-CH"/>
        </w:rPr>
        <w:t xml:space="preserve">die Gemeinden </w:t>
      </w:r>
      <w:r>
        <w:rPr>
          <w:lang w:val="de-CH"/>
        </w:rPr>
        <w:t>ausgewirkt haben, 2014 mit einem Plus von</w:t>
      </w:r>
      <w:r w:rsidRPr="00EB6310">
        <w:rPr>
          <w:lang w:val="de-CH"/>
        </w:rPr>
        <w:t xml:space="preserve"> 0,8 Millionen Franken</w:t>
      </w:r>
      <w:r>
        <w:rPr>
          <w:lang w:val="de-CH"/>
        </w:rPr>
        <w:t>, 2015 mit einem Plus von</w:t>
      </w:r>
      <w:r w:rsidRPr="00EB6310">
        <w:rPr>
          <w:lang w:val="de-CH"/>
        </w:rPr>
        <w:t xml:space="preserve"> 7,2 Millionen Franken und </w:t>
      </w:r>
      <w:r>
        <w:rPr>
          <w:lang w:val="de-CH"/>
        </w:rPr>
        <w:t xml:space="preserve">2016 mit einem Plus von </w:t>
      </w:r>
      <w:r w:rsidRPr="00EB6310">
        <w:rPr>
          <w:lang w:val="de-CH"/>
        </w:rPr>
        <w:t>12,3 Millionen Franken, also insgesamt 20,3</w:t>
      </w:r>
      <w:r w:rsidR="0006371C">
        <w:rPr>
          <w:lang w:val="de-CH"/>
        </w:rPr>
        <w:t> </w:t>
      </w:r>
      <w:r w:rsidRPr="00EB6310">
        <w:rPr>
          <w:lang w:val="de-CH"/>
        </w:rPr>
        <w:t xml:space="preserve">Millionen Franken. Diese vom </w:t>
      </w:r>
      <w:r>
        <w:rPr>
          <w:lang w:val="de-CH"/>
        </w:rPr>
        <w:t>Vorstand des FGV</w:t>
      </w:r>
      <w:r w:rsidRPr="00EB6310">
        <w:rPr>
          <w:lang w:val="de-CH"/>
        </w:rPr>
        <w:t xml:space="preserve"> bestätigten Ergebnisse wurden im Februar 2018 veröffentlicht </w:t>
      </w:r>
      <w:r w:rsidR="00EA3DA8" w:rsidRPr="00EC012B">
        <w:rPr>
          <w:lang w:val="de-CH"/>
        </w:rPr>
        <w:t>(</w:t>
      </w:r>
      <w:hyperlink r:id="rId12" w:history="1">
        <w:r w:rsidR="00FC6B00" w:rsidRPr="00FC6B00">
          <w:rPr>
            <w:rStyle w:val="Lienhypertexte"/>
            <w:lang w:val="de-CH"/>
          </w:rPr>
          <w:t>Medienmitteilung über die positiven Auswirkungen de</w:t>
        </w:r>
        <w:r w:rsidR="00EB6310">
          <w:rPr>
            <w:rStyle w:val="Lienhypertexte"/>
            <w:lang w:val="de-CH"/>
          </w:rPr>
          <w:t>r</w:t>
        </w:r>
        <w:r w:rsidR="00FC6B00" w:rsidRPr="00FC6B00">
          <w:rPr>
            <w:rStyle w:val="Lienhypertexte"/>
            <w:lang w:val="de-CH"/>
          </w:rPr>
          <w:t xml:space="preserve"> SSM 2013</w:t>
        </w:r>
        <w:r w:rsidR="00EB6310">
          <w:rPr>
            <w:rStyle w:val="Lienhypertexte"/>
            <w:rFonts w:cstheme="minorHAnsi"/>
            <w:lang w:val="de-CH"/>
          </w:rPr>
          <w:t>–</w:t>
        </w:r>
        <w:r w:rsidR="00FC6B00" w:rsidRPr="00FC6B00">
          <w:rPr>
            <w:rStyle w:val="Lienhypertexte"/>
            <w:lang w:val="de-CH"/>
          </w:rPr>
          <w:t>2016 auf die Gemeinden</w:t>
        </w:r>
      </w:hyperlink>
      <w:r w:rsidR="00EA3DA8" w:rsidRPr="00EC012B">
        <w:rPr>
          <w:lang w:val="de-CH"/>
        </w:rPr>
        <w:t xml:space="preserve">). </w:t>
      </w:r>
      <w:r w:rsidRPr="008420CA">
        <w:rPr>
          <w:lang w:val="de-CH"/>
        </w:rPr>
        <w:t>Auf diese Erg</w:t>
      </w:r>
      <w:r w:rsidR="008420CA">
        <w:rPr>
          <w:lang w:val="de-CH"/>
        </w:rPr>
        <w:t>e</w:t>
      </w:r>
      <w:r w:rsidRPr="008420CA">
        <w:rPr>
          <w:lang w:val="de-CH"/>
        </w:rPr>
        <w:t xml:space="preserve">bnisse </w:t>
      </w:r>
      <w:r w:rsidR="008420CA">
        <w:rPr>
          <w:lang w:val="de-CH"/>
        </w:rPr>
        <w:t>wird</w:t>
      </w:r>
      <w:r w:rsidRPr="008420CA">
        <w:rPr>
          <w:lang w:val="de-CH"/>
        </w:rPr>
        <w:t xml:space="preserve"> </w:t>
      </w:r>
      <w:r w:rsidRPr="00EB6310">
        <w:rPr>
          <w:lang w:val="de-CH"/>
        </w:rPr>
        <w:t>im Bericht 2018-DFIN-45</w:t>
      </w:r>
      <w:r w:rsidR="008420CA" w:rsidRPr="00EB6310">
        <w:rPr>
          <w:lang w:val="de-CH"/>
        </w:rPr>
        <w:t>, mit dem direkt dem Postulat</w:t>
      </w:r>
      <w:r w:rsidR="00EA3DA8" w:rsidRPr="008420CA">
        <w:rPr>
          <w:lang w:val="de-CH"/>
        </w:rPr>
        <w:t xml:space="preserve"> 2018-GC-44</w:t>
      </w:r>
      <w:r w:rsidR="008420CA" w:rsidRPr="00EB6310">
        <w:rPr>
          <w:lang w:val="de-CH"/>
        </w:rPr>
        <w:t xml:space="preserve"> Folge geleistet w</w:t>
      </w:r>
      <w:r w:rsidR="008420CA">
        <w:rPr>
          <w:lang w:val="de-CH"/>
        </w:rPr>
        <w:t>urde</w:t>
      </w:r>
      <w:r w:rsidR="008420CA" w:rsidRPr="00EB6310">
        <w:rPr>
          <w:lang w:val="de-CH"/>
        </w:rPr>
        <w:t xml:space="preserve">, </w:t>
      </w:r>
      <w:r w:rsidR="008420CA">
        <w:rPr>
          <w:lang w:val="de-CH"/>
        </w:rPr>
        <w:t>nochmals und vertieft eingegangen</w:t>
      </w:r>
      <w:r w:rsidR="00EA3DA8" w:rsidRPr="008420CA">
        <w:rPr>
          <w:lang w:val="de-CH"/>
        </w:rPr>
        <w:t xml:space="preserve"> (</w:t>
      </w:r>
      <w:hyperlink r:id="rId13" w:history="1">
        <w:r w:rsidR="00FC6B00" w:rsidRPr="00FC6B00">
          <w:rPr>
            <w:rStyle w:val="Lienhypertexte"/>
            <w:lang w:val="de-CH"/>
          </w:rPr>
          <w:t>Bericht 2018-DFIN-45</w:t>
        </w:r>
      </w:hyperlink>
      <w:r w:rsidR="00FC6B00">
        <w:rPr>
          <w:lang w:val="de-CH"/>
        </w:rPr>
        <w:t>)</w:t>
      </w:r>
      <w:r w:rsidR="00EA3DA8" w:rsidRPr="008420CA">
        <w:rPr>
          <w:lang w:val="de-CH"/>
        </w:rPr>
        <w:t>.</w:t>
      </w:r>
    </w:p>
    <w:p w14:paraId="2437BDB3" w14:textId="1DC1066C" w:rsidR="005F68A9" w:rsidRPr="00FE3A13" w:rsidRDefault="001F52BF" w:rsidP="005F68A9">
      <w:pPr>
        <w:pStyle w:val="Titre2"/>
      </w:pPr>
      <w:bookmarkStart w:id="182" w:name="_Toc196226293"/>
      <w:r w:rsidRPr="001F6C79">
        <w:rPr>
          <w:lang w:val="de-CH"/>
        </w:rPr>
        <w:t>Weitere Auswirkungen</w:t>
      </w:r>
      <w:bookmarkEnd w:id="182"/>
    </w:p>
    <w:p w14:paraId="4EBA8880" w14:textId="346771DF" w:rsidR="00183978" w:rsidRPr="00FE3A13" w:rsidRDefault="001F52BF" w:rsidP="00183978">
      <w:pPr>
        <w:pStyle w:val="Corpsdetexte"/>
      </w:pPr>
      <w:r w:rsidRPr="001F6C79">
        <w:rPr>
          <w:lang w:val="de-CH"/>
        </w:rPr>
        <w:t>Die vorgeschlagenen Massnahmen stehen in Übereinstimmung mit dem Bundesrecht und dem europäischen Recht. Ihre Auswirkungen hinsichtlich Nachhaltigkeit sind noch nicht evaluiert worden. Der Mantelerlass erfüllt nicht die Kriterien für eine Unterstellung unter das fakultative oder obligatorische Finanzreferendum. Er untersteht hingegen dem Gesetzesreferendum</w:t>
      </w:r>
      <w:r>
        <w:rPr>
          <w:lang w:val="de-CH"/>
        </w:rPr>
        <w:t>.</w:t>
      </w:r>
    </w:p>
    <w:p w14:paraId="61364BBD" w14:textId="20340306" w:rsidR="005F68A9" w:rsidRPr="00EB6310" w:rsidRDefault="001F52BF" w:rsidP="005F68A9">
      <w:pPr>
        <w:pStyle w:val="Titre1"/>
        <w:rPr>
          <w:lang w:val="de-CH"/>
        </w:rPr>
      </w:pPr>
      <w:bookmarkStart w:id="183" w:name="_Toc196226294"/>
      <w:r w:rsidRPr="00EB6310">
        <w:rPr>
          <w:lang w:val="de-CH"/>
        </w:rPr>
        <w:t>Fazit</w:t>
      </w:r>
      <w:bookmarkEnd w:id="183"/>
    </w:p>
    <w:p w14:paraId="5886C697" w14:textId="75ED5916" w:rsidR="005F68A9" w:rsidRPr="00FE3A13" w:rsidRDefault="005F68A9" w:rsidP="005F68A9">
      <w:pPr>
        <w:pStyle w:val="Tiret"/>
      </w:pPr>
      <w:r w:rsidRPr="00FE3A13">
        <w:t>—</w:t>
      </w:r>
    </w:p>
    <w:p w14:paraId="00EC68F3" w14:textId="77777777" w:rsidR="001F52BF" w:rsidRPr="007075D9" w:rsidRDefault="001F52BF" w:rsidP="001F52BF">
      <w:pPr>
        <w:pStyle w:val="Corpsdetexte"/>
        <w:rPr>
          <w:lang w:val="de-CH"/>
        </w:rPr>
      </w:pPr>
      <w:r w:rsidRPr="007075D9">
        <w:rPr>
          <w:lang w:val="de-CH"/>
        </w:rPr>
        <w:t xml:space="preserve">Trotz der zahlreichen Abstriche und Prioritätensetzungen des Staatsrats bei der Aktualisierung der Finanzplanung zeichnet sich mittelfristig ein deutlich stärkerer Ausgaben- als Einnahmenanstieg ab, mit Aufwandüberschüssen, die ab 2026 markant ansteigen. </w:t>
      </w:r>
    </w:p>
    <w:p w14:paraId="0882CFF4" w14:textId="62E98FD5" w:rsidR="001F52BF" w:rsidRPr="007075D9" w:rsidRDefault="001F52BF" w:rsidP="001F52BF">
      <w:pPr>
        <w:pStyle w:val="Corpsdetexte"/>
        <w:rPr>
          <w:lang w:val="de-CH"/>
        </w:rPr>
      </w:pPr>
      <w:r w:rsidRPr="007075D9">
        <w:rPr>
          <w:lang w:val="de-CH"/>
        </w:rPr>
        <w:t>Diese Perspektiven werden durch das Entlastungspaket 27 des Bundes, das voraussichtlich erhebliche negative finanzielle Auswirkungen auf die Kantone haben wird, zusätzlich getrübt. Die für 2026</w:t>
      </w:r>
      <w:r w:rsidR="00CA2102">
        <w:rPr>
          <w:rFonts w:cstheme="minorHAnsi"/>
          <w:lang w:val="de-CH"/>
        </w:rPr>
        <w:t>–</w:t>
      </w:r>
      <w:r w:rsidRPr="007075D9">
        <w:rPr>
          <w:lang w:val="de-CH"/>
        </w:rPr>
        <w:t xml:space="preserve">2028 prognostizierten Ergebnisse sind nicht mit dem verfassungsrechtlich und gesetzlich vorgeschriebenen Haushaltsgleichgewicht vereinbar. </w:t>
      </w:r>
    </w:p>
    <w:p w14:paraId="1D70746C" w14:textId="1DE4CC09" w:rsidR="001F52BF" w:rsidRPr="007075D9" w:rsidRDefault="001F52BF" w:rsidP="001F52BF">
      <w:pPr>
        <w:pStyle w:val="Corpsdetexte"/>
        <w:rPr>
          <w:lang w:val="de-CH"/>
        </w:rPr>
      </w:pPr>
      <w:r w:rsidRPr="007075D9">
        <w:rPr>
          <w:lang w:val="de-CH"/>
        </w:rPr>
        <w:t xml:space="preserve">Darüber hinaus ist das </w:t>
      </w:r>
      <w:r w:rsidR="00EB6310">
        <w:rPr>
          <w:rFonts w:cstheme="minorHAnsi"/>
          <w:lang w:val="de-CH"/>
        </w:rPr>
        <w:t>–</w:t>
      </w:r>
      <w:r w:rsidR="00EB6310">
        <w:rPr>
          <w:lang w:val="de-CH"/>
        </w:rPr>
        <w:t> </w:t>
      </w:r>
      <w:r w:rsidRPr="007075D9">
        <w:rPr>
          <w:lang w:val="de-CH"/>
        </w:rPr>
        <w:t>wie bereits mehrfach erläutert</w:t>
      </w:r>
      <w:r w:rsidR="00EB6310">
        <w:rPr>
          <w:lang w:val="de-CH"/>
        </w:rPr>
        <w:t> </w:t>
      </w:r>
      <w:r w:rsidR="00EB6310">
        <w:rPr>
          <w:rFonts w:cstheme="minorHAnsi"/>
          <w:lang w:val="de-CH"/>
        </w:rPr>
        <w:t>–</w:t>
      </w:r>
      <w:r w:rsidRPr="007075D9">
        <w:rPr>
          <w:lang w:val="de-CH"/>
        </w:rPr>
        <w:t xml:space="preserve"> praktisch vollumfänglich bereits für die Finanzierung bestimmter Projekte gebundene Staatsvermögen im Rechnungsjahr 2024 stark zurückgegangen und liegt per 31.</w:t>
      </w:r>
      <w:r w:rsidR="00CA2102">
        <w:rPr>
          <w:lang w:val="de-CH"/>
        </w:rPr>
        <w:t> </w:t>
      </w:r>
      <w:r w:rsidRPr="007075D9">
        <w:rPr>
          <w:lang w:val="de-CH"/>
        </w:rPr>
        <w:t xml:space="preserve">Dezember 2024 bei 591 Millionen Franken. Es wird nicht zur Deckung des hohen Finanzierungsbedarfs des Staats in den kommenden Jahren ausreichen. </w:t>
      </w:r>
    </w:p>
    <w:p w14:paraId="0FA4476D" w14:textId="7A1C8672" w:rsidR="008420CA" w:rsidRPr="008420CA" w:rsidRDefault="001F52BF" w:rsidP="008420CA">
      <w:pPr>
        <w:pStyle w:val="Corpsdetexte"/>
        <w:rPr>
          <w:lang w:val="de-CH"/>
        </w:rPr>
      </w:pPr>
      <w:r w:rsidRPr="007075D9">
        <w:rPr>
          <w:lang w:val="de-CH"/>
        </w:rPr>
        <w:t>Vor diesem Hintergrund erscheinen entschiedene Massnahmen im Rahmen eines Programms zur Sanierung der Kantonsfinanzen unerlässlich, damit die Kantonsfinanzen unter Kontrolle gehalten und gleichzeitig die grossen Herausforderungen der kommenden Jahre bewältigt werden können</w:t>
      </w:r>
      <w:r w:rsidR="008420CA">
        <w:rPr>
          <w:lang w:val="de-CH"/>
        </w:rPr>
        <w:t xml:space="preserve">, umso mehr als die mittelfristige Entwicklung der </w:t>
      </w:r>
      <w:r w:rsidR="008420CA" w:rsidRPr="008420CA">
        <w:rPr>
          <w:lang w:val="de-CH"/>
        </w:rPr>
        <w:t>externen Staatseinnahmen sehr ungewiss ist.</w:t>
      </w:r>
    </w:p>
    <w:p w14:paraId="2C54E070" w14:textId="335EAD24" w:rsidR="008420CA" w:rsidRPr="008420CA" w:rsidRDefault="008420CA" w:rsidP="008420CA">
      <w:pPr>
        <w:pStyle w:val="Corpsdetexte"/>
        <w:rPr>
          <w:lang w:val="de-CH"/>
        </w:rPr>
      </w:pPr>
      <w:r w:rsidRPr="00EB6310">
        <w:rPr>
          <w:lang w:val="de-CH"/>
        </w:rPr>
        <w:t>Die Liste der beschlossenen Ma</w:t>
      </w:r>
      <w:r w:rsidR="00337D53">
        <w:rPr>
          <w:lang w:val="de-CH"/>
        </w:rPr>
        <w:t>ss</w:t>
      </w:r>
      <w:r w:rsidRPr="00EB6310">
        <w:rPr>
          <w:lang w:val="de-CH"/>
        </w:rPr>
        <w:t xml:space="preserve">nahmen wurde auf der Grundlage der Vorschläge der in der Kantonsverwaltung eingesetzten Arbeitsgruppen erstellt. Gemessen am aktualisierten Finanzplan </w:t>
      </w:r>
      <w:r>
        <w:rPr>
          <w:lang w:val="de-CH"/>
        </w:rPr>
        <w:t>soll der Staatshaushalt insgesamt mit</w:t>
      </w:r>
      <w:r w:rsidRPr="00EB6310">
        <w:rPr>
          <w:lang w:val="de-CH"/>
        </w:rPr>
        <w:t xml:space="preserve"> </w:t>
      </w:r>
      <w:r w:rsidRPr="00EB6310">
        <w:rPr>
          <w:lang w:val="de-CH"/>
        </w:rPr>
        <w:lastRenderedPageBreak/>
        <w:t xml:space="preserve">142 Millionen Franken im Jahr 2026, </w:t>
      </w:r>
      <w:r>
        <w:rPr>
          <w:lang w:val="de-CH"/>
        </w:rPr>
        <w:t xml:space="preserve">mit </w:t>
      </w:r>
      <w:r w:rsidRPr="00EB6310">
        <w:rPr>
          <w:lang w:val="de-CH"/>
        </w:rPr>
        <w:t xml:space="preserve">184 Millionen Franken im Jahr 2027 und </w:t>
      </w:r>
      <w:r>
        <w:rPr>
          <w:lang w:val="de-CH"/>
        </w:rPr>
        <w:t xml:space="preserve">mit </w:t>
      </w:r>
      <w:r w:rsidRPr="00EB6310">
        <w:rPr>
          <w:lang w:val="de-CH"/>
        </w:rPr>
        <w:t>166 Millionen Franken im Jahr 2028 e</w:t>
      </w:r>
      <w:r>
        <w:rPr>
          <w:lang w:val="de-CH"/>
        </w:rPr>
        <w:t>ntlastet werden</w:t>
      </w:r>
      <w:r w:rsidRPr="00EB6310">
        <w:rPr>
          <w:lang w:val="de-CH"/>
        </w:rPr>
        <w:t xml:space="preserve">, </w:t>
      </w:r>
      <w:r>
        <w:rPr>
          <w:lang w:val="de-CH"/>
        </w:rPr>
        <w:t xml:space="preserve">also mit jährlich durchschnittlich </w:t>
      </w:r>
      <w:r w:rsidRPr="00EB6310">
        <w:rPr>
          <w:lang w:val="de-CH"/>
        </w:rPr>
        <w:t>rund 164 Millionen Franken</w:t>
      </w:r>
      <w:r w:rsidRPr="008420CA">
        <w:rPr>
          <w:lang w:val="de-CH"/>
        </w:rPr>
        <w:t>.</w:t>
      </w:r>
    </w:p>
    <w:p w14:paraId="466CCB54" w14:textId="4DA44393" w:rsidR="007C5E7A" w:rsidRPr="00337D53" w:rsidRDefault="00337D53" w:rsidP="008420CA">
      <w:pPr>
        <w:pStyle w:val="Corpsdetexte"/>
        <w:rPr>
          <w:lang w:val="de-CH"/>
        </w:rPr>
      </w:pPr>
      <w:r w:rsidRPr="00EB6310">
        <w:rPr>
          <w:lang w:val="de-CH"/>
        </w:rPr>
        <w:t>Der Staatsrat ist sich bewusst, dass gro</w:t>
      </w:r>
      <w:r w:rsidR="00CA2102">
        <w:rPr>
          <w:lang w:val="de-CH"/>
        </w:rPr>
        <w:t>ss</w:t>
      </w:r>
      <w:r w:rsidRPr="00EB6310">
        <w:rPr>
          <w:lang w:val="de-CH"/>
        </w:rPr>
        <w:t xml:space="preserve">e Opfer verlangt werden und dass viele Bereiche betroffen sind. Er hat </w:t>
      </w:r>
      <w:r>
        <w:rPr>
          <w:lang w:val="de-CH"/>
        </w:rPr>
        <w:t xml:space="preserve">mit Blick auf Ausgewogenheit und gerechte Verteilung der Anstrengungen </w:t>
      </w:r>
      <w:r w:rsidRPr="00EB6310">
        <w:rPr>
          <w:lang w:val="de-CH"/>
        </w:rPr>
        <w:t xml:space="preserve">schwierige politische und wirtschaftliche Abwägungen </w:t>
      </w:r>
      <w:r>
        <w:rPr>
          <w:lang w:val="de-CH"/>
        </w:rPr>
        <w:t>getroffen</w:t>
      </w:r>
      <w:r w:rsidRPr="00EB6310">
        <w:rPr>
          <w:lang w:val="de-CH"/>
        </w:rPr>
        <w:t xml:space="preserve">. Er hofft, die notwendige Unterstützung zu erhalten, um die Staatsfinanzen nachhaltig sanieren und künftigen </w:t>
      </w:r>
      <w:r>
        <w:rPr>
          <w:lang w:val="de-CH"/>
        </w:rPr>
        <w:t>Herausforderungen</w:t>
      </w:r>
      <w:r w:rsidRPr="00EB6310">
        <w:rPr>
          <w:lang w:val="de-CH"/>
        </w:rPr>
        <w:t xml:space="preserve"> gelassen </w:t>
      </w:r>
      <w:r>
        <w:rPr>
          <w:lang w:val="de-CH"/>
        </w:rPr>
        <w:t>begegnen zu können</w:t>
      </w:r>
      <w:r w:rsidR="008420CA" w:rsidRPr="00337D53">
        <w:rPr>
          <w:lang w:val="de-CH"/>
        </w:rPr>
        <w:t>.</w:t>
      </w:r>
    </w:p>
    <w:sectPr w:rsidR="007C5E7A" w:rsidRPr="00337D53" w:rsidSect="0086240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B9A9" w14:textId="77777777" w:rsidR="008A376F" w:rsidRDefault="008A376F">
      <w:pPr>
        <w:spacing w:before="0" w:after="0" w:line="240" w:lineRule="auto"/>
      </w:pPr>
      <w:r>
        <w:separator/>
      </w:r>
    </w:p>
  </w:endnote>
  <w:endnote w:type="continuationSeparator" w:id="0">
    <w:p w14:paraId="4229DF87" w14:textId="77777777" w:rsidR="008A376F" w:rsidRDefault="008A37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FC32" w14:textId="77777777" w:rsidR="006B5C24" w:rsidRDefault="006B5C2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2511" w14:textId="77777777" w:rsidR="006B5C24" w:rsidRDefault="006B5C2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0382" w14:textId="77777777" w:rsidR="006B5C24" w:rsidRDefault="006B5C2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BF2C" w14:textId="77777777" w:rsidR="008A376F" w:rsidRDefault="008A376F" w:rsidP="00A5783C">
      <w:r>
        <w:separator/>
      </w:r>
    </w:p>
  </w:footnote>
  <w:footnote w:type="continuationSeparator" w:id="0">
    <w:p w14:paraId="3FF12289" w14:textId="77777777" w:rsidR="008A376F" w:rsidRPr="00427DDB" w:rsidRDefault="008A376F"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BBB7" w14:textId="77777777" w:rsidR="006B5C24" w:rsidRPr="00C125C0" w:rsidRDefault="006B5C2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BAA" w14:textId="77777777" w:rsidR="006B5C24" w:rsidRPr="00C125C0" w:rsidRDefault="006B5C2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CB205E" w14:paraId="51E3183A" w14:textId="77777777" w:rsidTr="00CB205E">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464E34" w14:textId="77777777" w:rsidR="006B5C24" w:rsidRPr="00FD0818" w:rsidRDefault="006B5C24" w:rsidP="00FD0818">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6BBB11E8" wp14:editId="02AAF310">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32D8CA" w14:textId="77777777" w:rsidR="006B5C24" w:rsidRPr="00FD0818" w:rsidRDefault="006B5C2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bCs/>
              <w:color w:val="auto"/>
              <w:kern w:val="32"/>
              <w:sz w:val="16"/>
              <w:szCs w:val="52"/>
            </w:rPr>
            <w:t>Conseil d’Etat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CE</w:t>
          </w:r>
        </w:p>
        <w:p w14:paraId="10B38431" w14:textId="77777777" w:rsidR="006B5C24" w:rsidRPr="00FD0818" w:rsidRDefault="006B5C2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bCs/>
              <w:color w:val="auto"/>
              <w:kern w:val="32"/>
              <w:sz w:val="16"/>
              <w:szCs w:val="52"/>
            </w:rPr>
            <w:t>Staatsrat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SR</w:t>
          </w:r>
        </w:p>
      </w:tc>
    </w:tr>
  </w:tbl>
  <w:p w14:paraId="10254D67" w14:textId="77777777" w:rsidR="006B5C24" w:rsidRDefault="006B5C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BCC8F926">
      <w:numFmt w:val="bullet"/>
      <w:lvlText w:val=""/>
      <w:lvlJc w:val="left"/>
      <w:pPr>
        <w:ind w:left="1065" w:hanging="705"/>
      </w:pPr>
      <w:rPr>
        <w:rFonts w:ascii="Wingdings" w:eastAsiaTheme="minorHAnsi" w:hAnsi="Wingdings" w:cstheme="minorBidi" w:hint="default"/>
      </w:rPr>
    </w:lvl>
    <w:lvl w:ilvl="1" w:tplc="B546B590" w:tentative="1">
      <w:start w:val="1"/>
      <w:numFmt w:val="bullet"/>
      <w:lvlText w:val="o"/>
      <w:lvlJc w:val="left"/>
      <w:pPr>
        <w:ind w:left="1440" w:hanging="360"/>
      </w:pPr>
      <w:rPr>
        <w:rFonts w:ascii="Courier New" w:hAnsi="Courier New" w:cs="Courier New" w:hint="default"/>
      </w:rPr>
    </w:lvl>
    <w:lvl w:ilvl="2" w:tplc="D1C60FDC" w:tentative="1">
      <w:start w:val="1"/>
      <w:numFmt w:val="bullet"/>
      <w:lvlText w:val=""/>
      <w:lvlJc w:val="left"/>
      <w:pPr>
        <w:ind w:left="2160" w:hanging="360"/>
      </w:pPr>
      <w:rPr>
        <w:rFonts w:ascii="Wingdings" w:hAnsi="Wingdings" w:hint="default"/>
      </w:rPr>
    </w:lvl>
    <w:lvl w:ilvl="3" w:tplc="C4BE4308" w:tentative="1">
      <w:start w:val="1"/>
      <w:numFmt w:val="bullet"/>
      <w:lvlText w:val=""/>
      <w:lvlJc w:val="left"/>
      <w:pPr>
        <w:ind w:left="2880" w:hanging="360"/>
      </w:pPr>
      <w:rPr>
        <w:rFonts w:ascii="Symbol" w:hAnsi="Symbol" w:hint="default"/>
      </w:rPr>
    </w:lvl>
    <w:lvl w:ilvl="4" w:tplc="EC7AC40A" w:tentative="1">
      <w:start w:val="1"/>
      <w:numFmt w:val="bullet"/>
      <w:lvlText w:val="o"/>
      <w:lvlJc w:val="left"/>
      <w:pPr>
        <w:ind w:left="3600" w:hanging="360"/>
      </w:pPr>
      <w:rPr>
        <w:rFonts w:ascii="Courier New" w:hAnsi="Courier New" w:cs="Courier New" w:hint="default"/>
      </w:rPr>
    </w:lvl>
    <w:lvl w:ilvl="5" w:tplc="4BAC9BAA" w:tentative="1">
      <w:start w:val="1"/>
      <w:numFmt w:val="bullet"/>
      <w:lvlText w:val=""/>
      <w:lvlJc w:val="left"/>
      <w:pPr>
        <w:ind w:left="4320" w:hanging="360"/>
      </w:pPr>
      <w:rPr>
        <w:rFonts w:ascii="Wingdings" w:hAnsi="Wingdings" w:hint="default"/>
      </w:rPr>
    </w:lvl>
    <w:lvl w:ilvl="6" w:tplc="551A36A6" w:tentative="1">
      <w:start w:val="1"/>
      <w:numFmt w:val="bullet"/>
      <w:lvlText w:val=""/>
      <w:lvlJc w:val="left"/>
      <w:pPr>
        <w:ind w:left="5040" w:hanging="360"/>
      </w:pPr>
      <w:rPr>
        <w:rFonts w:ascii="Symbol" w:hAnsi="Symbol" w:hint="default"/>
      </w:rPr>
    </w:lvl>
    <w:lvl w:ilvl="7" w:tplc="DE18ED7A" w:tentative="1">
      <w:start w:val="1"/>
      <w:numFmt w:val="bullet"/>
      <w:lvlText w:val="o"/>
      <w:lvlJc w:val="left"/>
      <w:pPr>
        <w:ind w:left="5760" w:hanging="360"/>
      </w:pPr>
      <w:rPr>
        <w:rFonts w:ascii="Courier New" w:hAnsi="Courier New" w:cs="Courier New" w:hint="default"/>
      </w:rPr>
    </w:lvl>
    <w:lvl w:ilvl="8" w:tplc="F65CB06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64E6D01"/>
    <w:multiLevelType w:val="hybridMultilevel"/>
    <w:tmpl w:val="5F3A9934"/>
    <w:lvl w:ilvl="0" w:tplc="7FE63608">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0" w15:restartNumberingAfterBreak="0">
    <w:nsid w:val="1BCA4211"/>
    <w:multiLevelType w:val="hybridMultilevel"/>
    <w:tmpl w:val="5FCEE1C4"/>
    <w:lvl w:ilvl="0" w:tplc="AAD8CB56">
      <w:start w:val="1"/>
      <w:numFmt w:val="lowerLetter"/>
      <w:pStyle w:val="Listealphabtique"/>
      <w:lvlText w:val="%1)"/>
      <w:lvlJc w:val="left"/>
      <w:pPr>
        <w:ind w:left="720" w:hanging="360"/>
      </w:pPr>
      <w:rPr>
        <w:rFonts w:hint="default"/>
      </w:rPr>
    </w:lvl>
    <w:lvl w:ilvl="1" w:tplc="196EECC8" w:tentative="1">
      <w:start w:val="1"/>
      <w:numFmt w:val="lowerLetter"/>
      <w:lvlText w:val="%2."/>
      <w:lvlJc w:val="left"/>
      <w:pPr>
        <w:ind w:left="1440" w:hanging="360"/>
      </w:pPr>
    </w:lvl>
    <w:lvl w:ilvl="2" w:tplc="54AA63CE" w:tentative="1">
      <w:start w:val="1"/>
      <w:numFmt w:val="lowerRoman"/>
      <w:lvlText w:val="%3."/>
      <w:lvlJc w:val="right"/>
      <w:pPr>
        <w:ind w:left="2160" w:hanging="180"/>
      </w:pPr>
    </w:lvl>
    <w:lvl w:ilvl="3" w:tplc="5DD09148" w:tentative="1">
      <w:start w:val="1"/>
      <w:numFmt w:val="decimal"/>
      <w:lvlText w:val="%4."/>
      <w:lvlJc w:val="left"/>
      <w:pPr>
        <w:ind w:left="2880" w:hanging="360"/>
      </w:pPr>
    </w:lvl>
    <w:lvl w:ilvl="4" w:tplc="20362D46" w:tentative="1">
      <w:start w:val="1"/>
      <w:numFmt w:val="lowerLetter"/>
      <w:lvlText w:val="%5."/>
      <w:lvlJc w:val="left"/>
      <w:pPr>
        <w:ind w:left="3600" w:hanging="360"/>
      </w:pPr>
    </w:lvl>
    <w:lvl w:ilvl="5" w:tplc="20B650EA" w:tentative="1">
      <w:start w:val="1"/>
      <w:numFmt w:val="lowerRoman"/>
      <w:lvlText w:val="%6."/>
      <w:lvlJc w:val="right"/>
      <w:pPr>
        <w:ind w:left="4320" w:hanging="180"/>
      </w:pPr>
    </w:lvl>
    <w:lvl w:ilvl="6" w:tplc="BB564366" w:tentative="1">
      <w:start w:val="1"/>
      <w:numFmt w:val="decimal"/>
      <w:lvlText w:val="%7."/>
      <w:lvlJc w:val="left"/>
      <w:pPr>
        <w:ind w:left="5040" w:hanging="360"/>
      </w:pPr>
    </w:lvl>
    <w:lvl w:ilvl="7" w:tplc="F230AC56" w:tentative="1">
      <w:start w:val="1"/>
      <w:numFmt w:val="lowerLetter"/>
      <w:lvlText w:val="%8."/>
      <w:lvlJc w:val="left"/>
      <w:pPr>
        <w:ind w:left="5760" w:hanging="360"/>
      </w:pPr>
    </w:lvl>
    <w:lvl w:ilvl="8" w:tplc="FAEA90D4" w:tentative="1">
      <w:start w:val="1"/>
      <w:numFmt w:val="lowerRoman"/>
      <w:lvlText w:val="%9."/>
      <w:lvlJc w:val="right"/>
      <w:pPr>
        <w:ind w:left="6480" w:hanging="180"/>
      </w:pPr>
    </w:lvl>
  </w:abstractNum>
  <w:abstractNum w:abstractNumId="11" w15:restartNumberingAfterBreak="0">
    <w:nsid w:val="1D045D63"/>
    <w:multiLevelType w:val="hybridMultilevel"/>
    <w:tmpl w:val="CAC44AC4"/>
    <w:lvl w:ilvl="0" w:tplc="BD087326">
      <w:start w:val="1"/>
      <w:numFmt w:val="bullet"/>
      <w:pStyle w:val="Paragraphedeliste"/>
      <w:lvlText w:val="&gt;"/>
      <w:lvlJc w:val="left"/>
      <w:pPr>
        <w:ind w:left="1117" w:hanging="360"/>
      </w:pPr>
      <w:rPr>
        <w:rFonts w:ascii="Arial" w:hAnsi="Arial" w:hint="default"/>
      </w:rPr>
    </w:lvl>
    <w:lvl w:ilvl="1" w:tplc="FDF690CE">
      <w:start w:val="1"/>
      <w:numFmt w:val="bullet"/>
      <w:lvlText w:val="o"/>
      <w:lvlJc w:val="left"/>
      <w:pPr>
        <w:ind w:left="1837" w:hanging="360"/>
      </w:pPr>
      <w:rPr>
        <w:rFonts w:ascii="Courier New" w:hAnsi="Courier New" w:cs="Courier New" w:hint="default"/>
      </w:rPr>
    </w:lvl>
    <w:lvl w:ilvl="2" w:tplc="BF687A08" w:tentative="1">
      <w:start w:val="1"/>
      <w:numFmt w:val="bullet"/>
      <w:lvlText w:val=""/>
      <w:lvlJc w:val="left"/>
      <w:pPr>
        <w:ind w:left="2557" w:hanging="360"/>
      </w:pPr>
      <w:rPr>
        <w:rFonts w:ascii="Wingdings" w:hAnsi="Wingdings" w:hint="default"/>
      </w:rPr>
    </w:lvl>
    <w:lvl w:ilvl="3" w:tplc="FFC838B0" w:tentative="1">
      <w:start w:val="1"/>
      <w:numFmt w:val="bullet"/>
      <w:lvlText w:val=""/>
      <w:lvlJc w:val="left"/>
      <w:pPr>
        <w:ind w:left="3277" w:hanging="360"/>
      </w:pPr>
      <w:rPr>
        <w:rFonts w:ascii="Symbol" w:hAnsi="Symbol" w:hint="default"/>
      </w:rPr>
    </w:lvl>
    <w:lvl w:ilvl="4" w:tplc="433CDDFA" w:tentative="1">
      <w:start w:val="1"/>
      <w:numFmt w:val="bullet"/>
      <w:lvlText w:val="o"/>
      <w:lvlJc w:val="left"/>
      <w:pPr>
        <w:ind w:left="3997" w:hanging="360"/>
      </w:pPr>
      <w:rPr>
        <w:rFonts w:ascii="Courier New" w:hAnsi="Courier New" w:cs="Courier New" w:hint="default"/>
      </w:rPr>
    </w:lvl>
    <w:lvl w:ilvl="5" w:tplc="56F6B6C8" w:tentative="1">
      <w:start w:val="1"/>
      <w:numFmt w:val="bullet"/>
      <w:lvlText w:val=""/>
      <w:lvlJc w:val="left"/>
      <w:pPr>
        <w:ind w:left="4717" w:hanging="360"/>
      </w:pPr>
      <w:rPr>
        <w:rFonts w:ascii="Wingdings" w:hAnsi="Wingdings" w:hint="default"/>
      </w:rPr>
    </w:lvl>
    <w:lvl w:ilvl="6" w:tplc="992EF7A4" w:tentative="1">
      <w:start w:val="1"/>
      <w:numFmt w:val="bullet"/>
      <w:lvlText w:val=""/>
      <w:lvlJc w:val="left"/>
      <w:pPr>
        <w:ind w:left="5437" w:hanging="360"/>
      </w:pPr>
      <w:rPr>
        <w:rFonts w:ascii="Symbol" w:hAnsi="Symbol" w:hint="default"/>
      </w:rPr>
    </w:lvl>
    <w:lvl w:ilvl="7" w:tplc="0602CFB6" w:tentative="1">
      <w:start w:val="1"/>
      <w:numFmt w:val="bullet"/>
      <w:lvlText w:val="o"/>
      <w:lvlJc w:val="left"/>
      <w:pPr>
        <w:ind w:left="6157" w:hanging="360"/>
      </w:pPr>
      <w:rPr>
        <w:rFonts w:ascii="Courier New" w:hAnsi="Courier New" w:cs="Courier New" w:hint="default"/>
      </w:rPr>
    </w:lvl>
    <w:lvl w:ilvl="8" w:tplc="F594BEAA" w:tentative="1">
      <w:start w:val="1"/>
      <w:numFmt w:val="bullet"/>
      <w:lvlText w:val=""/>
      <w:lvlJc w:val="left"/>
      <w:pPr>
        <w:ind w:left="6877" w:hanging="360"/>
      </w:pPr>
      <w:rPr>
        <w:rFonts w:ascii="Wingdings" w:hAnsi="Wingdings" w:hint="default"/>
      </w:rPr>
    </w:lvl>
  </w:abstractNum>
  <w:abstractNum w:abstractNumId="12" w15:restartNumberingAfterBreak="0">
    <w:nsid w:val="1E554843"/>
    <w:multiLevelType w:val="multilevel"/>
    <w:tmpl w:val="6E089A12"/>
    <w:name w:val="SITel Liste numérotée2"/>
    <w:numStyleLink w:val="EtatFRNumrotation"/>
  </w:abstractNum>
  <w:abstractNum w:abstractNumId="13" w15:restartNumberingAfterBreak="0">
    <w:nsid w:val="244946CA"/>
    <w:multiLevelType w:val="multilevel"/>
    <w:tmpl w:val="6E089A12"/>
    <w:name w:val="SITel Liste numérotée22"/>
    <w:numStyleLink w:val="EtatFRNumrotation"/>
  </w:abstractNum>
  <w:abstractNum w:abstractNumId="14" w15:restartNumberingAfterBreak="0">
    <w:nsid w:val="26BC24A9"/>
    <w:multiLevelType w:val="multilevel"/>
    <w:tmpl w:val="6E089A12"/>
    <w:name w:val="SITel Liste numérotée3"/>
    <w:numStyleLink w:val="EtatFRNumrotation"/>
  </w:abstractNum>
  <w:abstractNum w:abstractNumId="15"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6"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6A7442"/>
    <w:multiLevelType w:val="multilevel"/>
    <w:tmpl w:val="C812CDBA"/>
    <w:numStyleLink w:val="EtatFRPuces"/>
  </w:abstractNum>
  <w:abstractNum w:abstractNumId="18" w15:restartNumberingAfterBreak="0">
    <w:nsid w:val="3FF139E0"/>
    <w:multiLevelType w:val="multilevel"/>
    <w:tmpl w:val="6E089A12"/>
    <w:numStyleLink w:val="EtatFRNumrotation"/>
  </w:abstractNum>
  <w:abstractNum w:abstractNumId="19" w15:restartNumberingAfterBreak="0">
    <w:nsid w:val="49E65031"/>
    <w:multiLevelType w:val="hybridMultilevel"/>
    <w:tmpl w:val="A050AF72"/>
    <w:lvl w:ilvl="0" w:tplc="35A208BE">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AD33EFC"/>
    <w:multiLevelType w:val="multilevel"/>
    <w:tmpl w:val="02280202"/>
    <w:numStyleLink w:val="EtatFRNumrotationhirarchique"/>
  </w:abstractNum>
  <w:abstractNum w:abstractNumId="21"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C261A0"/>
    <w:multiLevelType w:val="hybridMultilevel"/>
    <w:tmpl w:val="D262765A"/>
    <w:lvl w:ilvl="0" w:tplc="CDCA65F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F4A0AF0"/>
    <w:multiLevelType w:val="hybridMultilevel"/>
    <w:tmpl w:val="4AE81502"/>
    <w:lvl w:ilvl="0" w:tplc="2C1A41F4">
      <w:start w:val="1"/>
      <w:numFmt w:val="lowerLetter"/>
      <w:lvlText w:val="%1)"/>
      <w:lvlJc w:val="left"/>
      <w:pPr>
        <w:ind w:left="720" w:hanging="360"/>
      </w:pPr>
      <w:rPr>
        <w:rFonts w:hint="default"/>
      </w:rPr>
    </w:lvl>
    <w:lvl w:ilvl="1" w:tplc="A85C705E" w:tentative="1">
      <w:start w:val="1"/>
      <w:numFmt w:val="lowerLetter"/>
      <w:lvlText w:val="%2."/>
      <w:lvlJc w:val="left"/>
      <w:pPr>
        <w:ind w:left="1440" w:hanging="360"/>
      </w:pPr>
    </w:lvl>
    <w:lvl w:ilvl="2" w:tplc="1FBA8EF4" w:tentative="1">
      <w:start w:val="1"/>
      <w:numFmt w:val="lowerRoman"/>
      <w:lvlText w:val="%3."/>
      <w:lvlJc w:val="right"/>
      <w:pPr>
        <w:ind w:left="2160" w:hanging="180"/>
      </w:pPr>
    </w:lvl>
    <w:lvl w:ilvl="3" w:tplc="AB241128" w:tentative="1">
      <w:start w:val="1"/>
      <w:numFmt w:val="decimal"/>
      <w:lvlText w:val="%4."/>
      <w:lvlJc w:val="left"/>
      <w:pPr>
        <w:ind w:left="2880" w:hanging="360"/>
      </w:pPr>
    </w:lvl>
    <w:lvl w:ilvl="4" w:tplc="81B8D6AA" w:tentative="1">
      <w:start w:val="1"/>
      <w:numFmt w:val="lowerLetter"/>
      <w:lvlText w:val="%5."/>
      <w:lvlJc w:val="left"/>
      <w:pPr>
        <w:ind w:left="3600" w:hanging="360"/>
      </w:pPr>
    </w:lvl>
    <w:lvl w:ilvl="5" w:tplc="F280B408" w:tentative="1">
      <w:start w:val="1"/>
      <w:numFmt w:val="lowerRoman"/>
      <w:lvlText w:val="%6."/>
      <w:lvlJc w:val="right"/>
      <w:pPr>
        <w:ind w:left="4320" w:hanging="180"/>
      </w:pPr>
    </w:lvl>
    <w:lvl w:ilvl="6" w:tplc="1A5A6054" w:tentative="1">
      <w:start w:val="1"/>
      <w:numFmt w:val="decimal"/>
      <w:lvlText w:val="%7."/>
      <w:lvlJc w:val="left"/>
      <w:pPr>
        <w:ind w:left="5040" w:hanging="360"/>
      </w:pPr>
    </w:lvl>
    <w:lvl w:ilvl="7" w:tplc="F33026AC" w:tentative="1">
      <w:start w:val="1"/>
      <w:numFmt w:val="lowerLetter"/>
      <w:lvlText w:val="%8."/>
      <w:lvlJc w:val="left"/>
      <w:pPr>
        <w:ind w:left="5760" w:hanging="360"/>
      </w:pPr>
    </w:lvl>
    <w:lvl w:ilvl="8" w:tplc="03B8E582" w:tentative="1">
      <w:start w:val="1"/>
      <w:numFmt w:val="lowerRoman"/>
      <w:lvlText w:val="%9."/>
      <w:lvlJc w:val="right"/>
      <w:pPr>
        <w:ind w:left="6480" w:hanging="180"/>
      </w:pPr>
    </w:lvl>
  </w:abstractNum>
  <w:abstractNum w:abstractNumId="24"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E3644"/>
    <w:multiLevelType w:val="multilevel"/>
    <w:tmpl w:val="C812CDBA"/>
    <w:numStyleLink w:val="EtatFRPuces"/>
  </w:abstractNum>
  <w:abstractNum w:abstractNumId="26" w15:restartNumberingAfterBreak="0">
    <w:nsid w:val="74BE68D6"/>
    <w:multiLevelType w:val="multilevel"/>
    <w:tmpl w:val="6E089A12"/>
    <w:numStyleLink w:val="EtatFRNumrotation"/>
  </w:abstractNum>
  <w:abstractNum w:abstractNumId="27" w15:restartNumberingAfterBreak="0">
    <w:nsid w:val="7A072877"/>
    <w:multiLevelType w:val="multilevel"/>
    <w:tmpl w:val="6E089A12"/>
    <w:numStyleLink w:val="EtatFRNumrotation"/>
  </w:abstractNum>
  <w:abstractNum w:abstractNumId="28" w15:restartNumberingAfterBreak="0">
    <w:nsid w:val="7B2916EA"/>
    <w:multiLevelType w:val="multilevel"/>
    <w:tmpl w:val="C812CDBA"/>
    <w:numStyleLink w:val="EtatFRPuces"/>
  </w:abstractNum>
  <w:num w:numId="1" w16cid:durableId="236090108">
    <w:abstractNumId w:val="7"/>
  </w:num>
  <w:num w:numId="2" w16cid:durableId="1623535481">
    <w:abstractNumId w:val="5"/>
  </w:num>
  <w:num w:numId="3" w16cid:durableId="1549369178">
    <w:abstractNumId w:val="11"/>
  </w:num>
  <w:num w:numId="4" w16cid:durableId="61757390">
    <w:abstractNumId w:val="15"/>
  </w:num>
  <w:num w:numId="5" w16cid:durableId="1286621264">
    <w:abstractNumId w:val="6"/>
  </w:num>
  <w:num w:numId="6" w16cid:durableId="1614315278">
    <w:abstractNumId w:val="9"/>
  </w:num>
  <w:num w:numId="7" w16cid:durableId="584152075">
    <w:abstractNumId w:val="18"/>
  </w:num>
  <w:num w:numId="8" w16cid:durableId="534929254">
    <w:abstractNumId w:val="4"/>
  </w:num>
  <w:num w:numId="9" w16cid:durableId="1819227393">
    <w:abstractNumId w:val="2"/>
  </w:num>
  <w:num w:numId="10" w16cid:durableId="1014723848">
    <w:abstractNumId w:val="1"/>
  </w:num>
  <w:num w:numId="11" w16cid:durableId="147982712">
    <w:abstractNumId w:val="20"/>
  </w:num>
  <w:num w:numId="12" w16cid:durableId="706028680">
    <w:abstractNumId w:val="27"/>
  </w:num>
  <w:num w:numId="13" w16cid:durableId="2146699834">
    <w:abstractNumId w:val="26"/>
  </w:num>
  <w:num w:numId="14" w16cid:durableId="1032849072">
    <w:abstractNumId w:val="25"/>
  </w:num>
  <w:num w:numId="15" w16cid:durableId="306322164">
    <w:abstractNumId w:val="21"/>
  </w:num>
  <w:num w:numId="16" w16cid:durableId="1072041981">
    <w:abstractNumId w:val="16"/>
  </w:num>
  <w:num w:numId="17" w16cid:durableId="1854688660">
    <w:abstractNumId w:val="17"/>
  </w:num>
  <w:num w:numId="18" w16cid:durableId="1573193922">
    <w:abstractNumId w:val="0"/>
  </w:num>
  <w:num w:numId="19" w16cid:durableId="2035569381">
    <w:abstractNumId w:val="28"/>
  </w:num>
  <w:num w:numId="20" w16cid:durableId="791435537">
    <w:abstractNumId w:val="23"/>
  </w:num>
  <w:num w:numId="21" w16cid:durableId="684207833">
    <w:abstractNumId w:val="10"/>
  </w:num>
  <w:num w:numId="22" w16cid:durableId="1787195761">
    <w:abstractNumId w:val="11"/>
  </w:num>
  <w:num w:numId="23" w16cid:durableId="135416588">
    <w:abstractNumId w:val="8"/>
  </w:num>
  <w:num w:numId="24" w16cid:durableId="243147244">
    <w:abstractNumId w:val="19"/>
  </w:num>
  <w:num w:numId="25" w16cid:durableId="1686518478">
    <w:abstractNumId w:val="10"/>
    <w:lvlOverride w:ilvl="0">
      <w:startOverride w:val="1"/>
    </w:lvlOverride>
  </w:num>
  <w:num w:numId="26" w16cid:durableId="2134128800">
    <w:abstractNumId w:val="10"/>
    <w:lvlOverride w:ilvl="0">
      <w:startOverride w:val="1"/>
    </w:lvlOverride>
  </w:num>
  <w:num w:numId="27" w16cid:durableId="1694841455">
    <w:abstractNumId w:val="10"/>
    <w:lvlOverride w:ilvl="0">
      <w:startOverride w:val="1"/>
    </w:lvlOverride>
  </w:num>
  <w:num w:numId="28" w16cid:durableId="1453941772">
    <w:abstractNumId w:val="10"/>
  </w:num>
  <w:num w:numId="29" w16cid:durableId="1962492680">
    <w:abstractNumId w:val="10"/>
  </w:num>
  <w:num w:numId="30" w16cid:durableId="1166869402">
    <w:abstractNumId w:val="10"/>
  </w:num>
  <w:num w:numId="31" w16cid:durableId="2112897574">
    <w:abstractNumId w:val="10"/>
    <w:lvlOverride w:ilvl="0">
      <w:startOverride w:val="1"/>
    </w:lvlOverride>
  </w:num>
  <w:num w:numId="32" w16cid:durableId="1271621541">
    <w:abstractNumId w:val="10"/>
  </w:num>
  <w:num w:numId="33" w16cid:durableId="868421413">
    <w:abstractNumId w:val="10"/>
    <w:lvlOverride w:ilvl="0">
      <w:startOverride w:val="4"/>
    </w:lvlOverride>
  </w:num>
  <w:num w:numId="34" w16cid:durableId="589658412">
    <w:abstractNumId w:val="10"/>
    <w:lvlOverride w:ilvl="0">
      <w:startOverride w:val="2"/>
    </w:lvlOverride>
  </w:num>
  <w:num w:numId="35" w16cid:durableId="287589733">
    <w:abstractNumId w:val="24"/>
  </w:num>
  <w:num w:numId="36" w16cid:durableId="372391053">
    <w:abstractNumId w:val="10"/>
    <w:lvlOverride w:ilvl="0">
      <w:startOverride w:val="2"/>
    </w:lvlOverride>
  </w:num>
  <w:num w:numId="37" w16cid:durableId="1995600853">
    <w:abstractNumId w:val="10"/>
    <w:lvlOverride w:ilvl="0">
      <w:startOverride w:val="1"/>
    </w:lvlOverride>
  </w:num>
  <w:num w:numId="38" w16cid:durableId="288783340">
    <w:abstractNumId w:val="22"/>
  </w:num>
  <w:num w:numId="39" w16cid:durableId="560336484">
    <w:abstractNumId w:val="10"/>
  </w:num>
  <w:num w:numId="40" w16cid:durableId="1217161355">
    <w:abstractNumId w:val="10"/>
  </w:num>
  <w:num w:numId="41" w16cid:durableId="468090540">
    <w:abstractNumId w:val="10"/>
    <w:lvlOverride w:ilvl="0">
      <w:startOverride w:val="1"/>
    </w:lvlOverride>
  </w:num>
  <w:num w:numId="42" w16cid:durableId="1917475737">
    <w:abstractNumId w:val="10"/>
  </w:num>
  <w:num w:numId="43" w16cid:durableId="1839029433">
    <w:abstractNumId w:val="10"/>
    <w:lvlOverride w:ilvl="0">
      <w:startOverride w:val="1"/>
    </w:lvlOverride>
  </w:num>
  <w:num w:numId="44" w16cid:durableId="40672725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CB205E"/>
    <w:rsid w:val="000025F8"/>
    <w:rsid w:val="0000371E"/>
    <w:rsid w:val="00004E4A"/>
    <w:rsid w:val="000100B8"/>
    <w:rsid w:val="0001197E"/>
    <w:rsid w:val="0001598C"/>
    <w:rsid w:val="00017559"/>
    <w:rsid w:val="000221B2"/>
    <w:rsid w:val="000248E4"/>
    <w:rsid w:val="00026D2C"/>
    <w:rsid w:val="00027741"/>
    <w:rsid w:val="000318A6"/>
    <w:rsid w:val="00033A00"/>
    <w:rsid w:val="00033A54"/>
    <w:rsid w:val="00037923"/>
    <w:rsid w:val="00037FA5"/>
    <w:rsid w:val="000435C3"/>
    <w:rsid w:val="000447B4"/>
    <w:rsid w:val="000479A7"/>
    <w:rsid w:val="00050DB1"/>
    <w:rsid w:val="00053248"/>
    <w:rsid w:val="0005606B"/>
    <w:rsid w:val="00060295"/>
    <w:rsid w:val="00061A3B"/>
    <w:rsid w:val="00062A3D"/>
    <w:rsid w:val="0006371C"/>
    <w:rsid w:val="00064AE2"/>
    <w:rsid w:val="00072502"/>
    <w:rsid w:val="0007496A"/>
    <w:rsid w:val="000752E9"/>
    <w:rsid w:val="0007612B"/>
    <w:rsid w:val="000772F7"/>
    <w:rsid w:val="00086338"/>
    <w:rsid w:val="0008753A"/>
    <w:rsid w:val="00091418"/>
    <w:rsid w:val="0009197A"/>
    <w:rsid w:val="000A2E1C"/>
    <w:rsid w:val="000A570B"/>
    <w:rsid w:val="000A5774"/>
    <w:rsid w:val="000B08E6"/>
    <w:rsid w:val="000B0E13"/>
    <w:rsid w:val="000B1C76"/>
    <w:rsid w:val="000B3746"/>
    <w:rsid w:val="000B44E4"/>
    <w:rsid w:val="000B56C5"/>
    <w:rsid w:val="000C5528"/>
    <w:rsid w:val="000C67FE"/>
    <w:rsid w:val="000D18BE"/>
    <w:rsid w:val="000E5A87"/>
    <w:rsid w:val="000E7434"/>
    <w:rsid w:val="000F0FDE"/>
    <w:rsid w:val="000F1734"/>
    <w:rsid w:val="000F5F83"/>
    <w:rsid w:val="000F6BF7"/>
    <w:rsid w:val="00102143"/>
    <w:rsid w:val="001040CE"/>
    <w:rsid w:val="001068E7"/>
    <w:rsid w:val="00112C99"/>
    <w:rsid w:val="0012014E"/>
    <w:rsid w:val="00121680"/>
    <w:rsid w:val="00123655"/>
    <w:rsid w:val="00124A5D"/>
    <w:rsid w:val="00126BFF"/>
    <w:rsid w:val="00126FB6"/>
    <w:rsid w:val="00132641"/>
    <w:rsid w:val="00132863"/>
    <w:rsid w:val="00133826"/>
    <w:rsid w:val="00140303"/>
    <w:rsid w:val="00144095"/>
    <w:rsid w:val="00144B31"/>
    <w:rsid w:val="00150C3B"/>
    <w:rsid w:val="001527E4"/>
    <w:rsid w:val="00152EFD"/>
    <w:rsid w:val="00153058"/>
    <w:rsid w:val="00155137"/>
    <w:rsid w:val="00156DE2"/>
    <w:rsid w:val="00156E1E"/>
    <w:rsid w:val="00172007"/>
    <w:rsid w:val="001728D0"/>
    <w:rsid w:val="00173372"/>
    <w:rsid w:val="001736C9"/>
    <w:rsid w:val="00174370"/>
    <w:rsid w:val="00174415"/>
    <w:rsid w:val="0017581D"/>
    <w:rsid w:val="0017732E"/>
    <w:rsid w:val="001803FD"/>
    <w:rsid w:val="0018088A"/>
    <w:rsid w:val="00182A74"/>
    <w:rsid w:val="00183978"/>
    <w:rsid w:val="00185385"/>
    <w:rsid w:val="00186098"/>
    <w:rsid w:val="001869DD"/>
    <w:rsid w:val="00190121"/>
    <w:rsid w:val="00191E01"/>
    <w:rsid w:val="001938A1"/>
    <w:rsid w:val="00193D9C"/>
    <w:rsid w:val="001A2391"/>
    <w:rsid w:val="001A4C7C"/>
    <w:rsid w:val="001A4F6D"/>
    <w:rsid w:val="001C2163"/>
    <w:rsid w:val="001D284A"/>
    <w:rsid w:val="001D54E7"/>
    <w:rsid w:val="001D5942"/>
    <w:rsid w:val="001E0CCF"/>
    <w:rsid w:val="001E61DA"/>
    <w:rsid w:val="001F22C0"/>
    <w:rsid w:val="001F3597"/>
    <w:rsid w:val="001F52BF"/>
    <w:rsid w:val="001F5C2A"/>
    <w:rsid w:val="001F73D7"/>
    <w:rsid w:val="00200ED6"/>
    <w:rsid w:val="00203A2D"/>
    <w:rsid w:val="0021273D"/>
    <w:rsid w:val="00213863"/>
    <w:rsid w:val="002279BE"/>
    <w:rsid w:val="0023233D"/>
    <w:rsid w:val="00240688"/>
    <w:rsid w:val="00240D73"/>
    <w:rsid w:val="002458D7"/>
    <w:rsid w:val="00250A67"/>
    <w:rsid w:val="0025191C"/>
    <w:rsid w:val="002557C3"/>
    <w:rsid w:val="00256CEF"/>
    <w:rsid w:val="00257120"/>
    <w:rsid w:val="002624CA"/>
    <w:rsid w:val="002625DC"/>
    <w:rsid w:val="00262677"/>
    <w:rsid w:val="00265216"/>
    <w:rsid w:val="00272173"/>
    <w:rsid w:val="00274D2C"/>
    <w:rsid w:val="00275651"/>
    <w:rsid w:val="002779E0"/>
    <w:rsid w:val="002817E7"/>
    <w:rsid w:val="00292920"/>
    <w:rsid w:val="00293565"/>
    <w:rsid w:val="0029480E"/>
    <w:rsid w:val="002A1E02"/>
    <w:rsid w:val="002A299D"/>
    <w:rsid w:val="002A446B"/>
    <w:rsid w:val="002A5240"/>
    <w:rsid w:val="002A67F1"/>
    <w:rsid w:val="002B2E7B"/>
    <w:rsid w:val="002B449C"/>
    <w:rsid w:val="002B6A9C"/>
    <w:rsid w:val="002C07D9"/>
    <w:rsid w:val="002C0FFD"/>
    <w:rsid w:val="002C2553"/>
    <w:rsid w:val="002C2572"/>
    <w:rsid w:val="002C3470"/>
    <w:rsid w:val="002C4525"/>
    <w:rsid w:val="002D34D0"/>
    <w:rsid w:val="002D65B1"/>
    <w:rsid w:val="002E038C"/>
    <w:rsid w:val="002E132B"/>
    <w:rsid w:val="002E25F6"/>
    <w:rsid w:val="002E2B47"/>
    <w:rsid w:val="002F318F"/>
    <w:rsid w:val="002F3D25"/>
    <w:rsid w:val="002F3E48"/>
    <w:rsid w:val="002F6238"/>
    <w:rsid w:val="002F7C28"/>
    <w:rsid w:val="00302090"/>
    <w:rsid w:val="00311B0D"/>
    <w:rsid w:val="00313DBE"/>
    <w:rsid w:val="0031546B"/>
    <w:rsid w:val="00316DDF"/>
    <w:rsid w:val="00316ED5"/>
    <w:rsid w:val="00327552"/>
    <w:rsid w:val="00327F71"/>
    <w:rsid w:val="0033649A"/>
    <w:rsid w:val="0033775D"/>
    <w:rsid w:val="00337D53"/>
    <w:rsid w:val="00343F44"/>
    <w:rsid w:val="003512EF"/>
    <w:rsid w:val="00355BC0"/>
    <w:rsid w:val="00357952"/>
    <w:rsid w:val="003626F6"/>
    <w:rsid w:val="00363534"/>
    <w:rsid w:val="0036584C"/>
    <w:rsid w:val="00367AAB"/>
    <w:rsid w:val="0037062E"/>
    <w:rsid w:val="003706CD"/>
    <w:rsid w:val="003715DA"/>
    <w:rsid w:val="00372D29"/>
    <w:rsid w:val="00373036"/>
    <w:rsid w:val="0037333A"/>
    <w:rsid w:val="00374F4A"/>
    <w:rsid w:val="0038006E"/>
    <w:rsid w:val="003803F7"/>
    <w:rsid w:val="003830BE"/>
    <w:rsid w:val="00383F24"/>
    <w:rsid w:val="00385C6D"/>
    <w:rsid w:val="00385EBB"/>
    <w:rsid w:val="00386639"/>
    <w:rsid w:val="003905FA"/>
    <w:rsid w:val="0039573E"/>
    <w:rsid w:val="00396517"/>
    <w:rsid w:val="003A7277"/>
    <w:rsid w:val="003A7954"/>
    <w:rsid w:val="003B3CC7"/>
    <w:rsid w:val="003B436E"/>
    <w:rsid w:val="003B62A0"/>
    <w:rsid w:val="003B6CF6"/>
    <w:rsid w:val="003C3C33"/>
    <w:rsid w:val="003C3F13"/>
    <w:rsid w:val="003D0E2E"/>
    <w:rsid w:val="003D287E"/>
    <w:rsid w:val="003D2E63"/>
    <w:rsid w:val="003D3DEE"/>
    <w:rsid w:val="003D4F3D"/>
    <w:rsid w:val="003D7241"/>
    <w:rsid w:val="003D7A05"/>
    <w:rsid w:val="003E0229"/>
    <w:rsid w:val="003E5A50"/>
    <w:rsid w:val="003E5B99"/>
    <w:rsid w:val="003E6890"/>
    <w:rsid w:val="003F01B8"/>
    <w:rsid w:val="003F082C"/>
    <w:rsid w:val="003F553C"/>
    <w:rsid w:val="003F782A"/>
    <w:rsid w:val="003F7B01"/>
    <w:rsid w:val="00402E8E"/>
    <w:rsid w:val="00411844"/>
    <w:rsid w:val="004148B0"/>
    <w:rsid w:val="00414EA1"/>
    <w:rsid w:val="004205DF"/>
    <w:rsid w:val="00421654"/>
    <w:rsid w:val="004217F0"/>
    <w:rsid w:val="004230AF"/>
    <w:rsid w:val="00425365"/>
    <w:rsid w:val="00425C87"/>
    <w:rsid w:val="00431C6C"/>
    <w:rsid w:val="00436C65"/>
    <w:rsid w:val="00442A67"/>
    <w:rsid w:val="004511DF"/>
    <w:rsid w:val="004522A3"/>
    <w:rsid w:val="00455B0A"/>
    <w:rsid w:val="00457F1B"/>
    <w:rsid w:val="0046088B"/>
    <w:rsid w:val="00463187"/>
    <w:rsid w:val="004634A2"/>
    <w:rsid w:val="00464CA1"/>
    <w:rsid w:val="004661C5"/>
    <w:rsid w:val="004663F2"/>
    <w:rsid w:val="00470617"/>
    <w:rsid w:val="00471EFE"/>
    <w:rsid w:val="00476663"/>
    <w:rsid w:val="004766C2"/>
    <w:rsid w:val="00477469"/>
    <w:rsid w:val="004902B7"/>
    <w:rsid w:val="00490A01"/>
    <w:rsid w:val="00491592"/>
    <w:rsid w:val="0049315A"/>
    <w:rsid w:val="004A1325"/>
    <w:rsid w:val="004A3A54"/>
    <w:rsid w:val="004A48A2"/>
    <w:rsid w:val="004A599B"/>
    <w:rsid w:val="004A7E75"/>
    <w:rsid w:val="004B10C0"/>
    <w:rsid w:val="004B2596"/>
    <w:rsid w:val="004D167E"/>
    <w:rsid w:val="004D2246"/>
    <w:rsid w:val="004D3C3E"/>
    <w:rsid w:val="004D6DF7"/>
    <w:rsid w:val="004E231D"/>
    <w:rsid w:val="004E5653"/>
    <w:rsid w:val="004E7031"/>
    <w:rsid w:val="004F026C"/>
    <w:rsid w:val="004F188F"/>
    <w:rsid w:val="004F18CD"/>
    <w:rsid w:val="004F1A2B"/>
    <w:rsid w:val="004F52A9"/>
    <w:rsid w:val="004F774F"/>
    <w:rsid w:val="00503601"/>
    <w:rsid w:val="00503BE7"/>
    <w:rsid w:val="00504A8B"/>
    <w:rsid w:val="005062B0"/>
    <w:rsid w:val="005071EA"/>
    <w:rsid w:val="005073E9"/>
    <w:rsid w:val="005167A6"/>
    <w:rsid w:val="00517F89"/>
    <w:rsid w:val="0052194F"/>
    <w:rsid w:val="00527A8C"/>
    <w:rsid w:val="0053523C"/>
    <w:rsid w:val="00536249"/>
    <w:rsid w:val="0054148C"/>
    <w:rsid w:val="005432E3"/>
    <w:rsid w:val="005440A7"/>
    <w:rsid w:val="0055038C"/>
    <w:rsid w:val="00556761"/>
    <w:rsid w:val="0056021C"/>
    <w:rsid w:val="00561083"/>
    <w:rsid w:val="005636AD"/>
    <w:rsid w:val="00566FD3"/>
    <w:rsid w:val="00567397"/>
    <w:rsid w:val="0057144E"/>
    <w:rsid w:val="00576FCE"/>
    <w:rsid w:val="005813DF"/>
    <w:rsid w:val="0058369F"/>
    <w:rsid w:val="00584881"/>
    <w:rsid w:val="005873E4"/>
    <w:rsid w:val="005904EB"/>
    <w:rsid w:val="00591D84"/>
    <w:rsid w:val="00595E1E"/>
    <w:rsid w:val="00597B1C"/>
    <w:rsid w:val="005A05E2"/>
    <w:rsid w:val="005A11ED"/>
    <w:rsid w:val="005A1237"/>
    <w:rsid w:val="005A42D8"/>
    <w:rsid w:val="005A5E57"/>
    <w:rsid w:val="005B0844"/>
    <w:rsid w:val="005B0A19"/>
    <w:rsid w:val="005B1AE2"/>
    <w:rsid w:val="005B2815"/>
    <w:rsid w:val="005B3823"/>
    <w:rsid w:val="005B4260"/>
    <w:rsid w:val="005B57D8"/>
    <w:rsid w:val="005B5BCF"/>
    <w:rsid w:val="005B5E26"/>
    <w:rsid w:val="005B6074"/>
    <w:rsid w:val="005C15B8"/>
    <w:rsid w:val="005C61F8"/>
    <w:rsid w:val="005C6CE4"/>
    <w:rsid w:val="005D308A"/>
    <w:rsid w:val="005E113B"/>
    <w:rsid w:val="005E2E4F"/>
    <w:rsid w:val="005F0368"/>
    <w:rsid w:val="005F1725"/>
    <w:rsid w:val="005F5ABE"/>
    <w:rsid w:val="005F68A9"/>
    <w:rsid w:val="005F69ED"/>
    <w:rsid w:val="006002F5"/>
    <w:rsid w:val="00601C57"/>
    <w:rsid w:val="00601D4C"/>
    <w:rsid w:val="0060347F"/>
    <w:rsid w:val="00603C02"/>
    <w:rsid w:val="006107A3"/>
    <w:rsid w:val="00614F97"/>
    <w:rsid w:val="006215BF"/>
    <w:rsid w:val="00624F13"/>
    <w:rsid w:val="00630175"/>
    <w:rsid w:val="00636DDC"/>
    <w:rsid w:val="00645834"/>
    <w:rsid w:val="0065611E"/>
    <w:rsid w:val="00656E04"/>
    <w:rsid w:val="00663552"/>
    <w:rsid w:val="00665C90"/>
    <w:rsid w:val="00667D09"/>
    <w:rsid w:val="00671573"/>
    <w:rsid w:val="006758E0"/>
    <w:rsid w:val="00675DF5"/>
    <w:rsid w:val="00676D46"/>
    <w:rsid w:val="0068105E"/>
    <w:rsid w:val="0068168E"/>
    <w:rsid w:val="00681988"/>
    <w:rsid w:val="00683FF5"/>
    <w:rsid w:val="00692365"/>
    <w:rsid w:val="00693087"/>
    <w:rsid w:val="00696214"/>
    <w:rsid w:val="00696826"/>
    <w:rsid w:val="00697233"/>
    <w:rsid w:val="006A187D"/>
    <w:rsid w:val="006A46DB"/>
    <w:rsid w:val="006A6561"/>
    <w:rsid w:val="006A7B2D"/>
    <w:rsid w:val="006A7D0A"/>
    <w:rsid w:val="006B10ED"/>
    <w:rsid w:val="006B26FD"/>
    <w:rsid w:val="006B2BF9"/>
    <w:rsid w:val="006B506E"/>
    <w:rsid w:val="006B5C24"/>
    <w:rsid w:val="006C6999"/>
    <w:rsid w:val="006C6ADA"/>
    <w:rsid w:val="006C6CA0"/>
    <w:rsid w:val="006C769B"/>
    <w:rsid w:val="006D43B8"/>
    <w:rsid w:val="006D54C6"/>
    <w:rsid w:val="006D5A40"/>
    <w:rsid w:val="006D642F"/>
    <w:rsid w:val="006E0AFD"/>
    <w:rsid w:val="006E24ED"/>
    <w:rsid w:val="006E2BA6"/>
    <w:rsid w:val="006E4392"/>
    <w:rsid w:val="006F0650"/>
    <w:rsid w:val="006F19D6"/>
    <w:rsid w:val="006F4EED"/>
    <w:rsid w:val="006F6302"/>
    <w:rsid w:val="006F6C05"/>
    <w:rsid w:val="006F75B9"/>
    <w:rsid w:val="0070305F"/>
    <w:rsid w:val="00705E8C"/>
    <w:rsid w:val="0070745A"/>
    <w:rsid w:val="00715B7D"/>
    <w:rsid w:val="0071758A"/>
    <w:rsid w:val="0072020B"/>
    <w:rsid w:val="00721D53"/>
    <w:rsid w:val="00726551"/>
    <w:rsid w:val="00733B45"/>
    <w:rsid w:val="007367A5"/>
    <w:rsid w:val="00737DF7"/>
    <w:rsid w:val="00740D66"/>
    <w:rsid w:val="00741CB7"/>
    <w:rsid w:val="007455CF"/>
    <w:rsid w:val="0074740A"/>
    <w:rsid w:val="007558EA"/>
    <w:rsid w:val="00755A2B"/>
    <w:rsid w:val="007629E3"/>
    <w:rsid w:val="00764E7C"/>
    <w:rsid w:val="007700A9"/>
    <w:rsid w:val="00770C9D"/>
    <w:rsid w:val="0077587D"/>
    <w:rsid w:val="00783FD2"/>
    <w:rsid w:val="007869AB"/>
    <w:rsid w:val="00786F6D"/>
    <w:rsid w:val="007908B0"/>
    <w:rsid w:val="007A0098"/>
    <w:rsid w:val="007A00BB"/>
    <w:rsid w:val="007A36DA"/>
    <w:rsid w:val="007A47F4"/>
    <w:rsid w:val="007A6E0D"/>
    <w:rsid w:val="007B14C3"/>
    <w:rsid w:val="007B1C9E"/>
    <w:rsid w:val="007B58F8"/>
    <w:rsid w:val="007C2AEF"/>
    <w:rsid w:val="007C5967"/>
    <w:rsid w:val="007C5E7A"/>
    <w:rsid w:val="007D065E"/>
    <w:rsid w:val="007D3F1E"/>
    <w:rsid w:val="007D58E6"/>
    <w:rsid w:val="007D7C1E"/>
    <w:rsid w:val="007D7D25"/>
    <w:rsid w:val="007E248B"/>
    <w:rsid w:val="007E6FD4"/>
    <w:rsid w:val="007E7A9E"/>
    <w:rsid w:val="007F016B"/>
    <w:rsid w:val="007F1443"/>
    <w:rsid w:val="007F2275"/>
    <w:rsid w:val="007F3311"/>
    <w:rsid w:val="008033DB"/>
    <w:rsid w:val="00803FA3"/>
    <w:rsid w:val="008040EA"/>
    <w:rsid w:val="00804DD3"/>
    <w:rsid w:val="0081245B"/>
    <w:rsid w:val="00812C70"/>
    <w:rsid w:val="0081433C"/>
    <w:rsid w:val="00821852"/>
    <w:rsid w:val="0082545E"/>
    <w:rsid w:val="00826A90"/>
    <w:rsid w:val="00826D85"/>
    <w:rsid w:val="0083156D"/>
    <w:rsid w:val="00833D12"/>
    <w:rsid w:val="008348CA"/>
    <w:rsid w:val="00836320"/>
    <w:rsid w:val="008420CA"/>
    <w:rsid w:val="00842B56"/>
    <w:rsid w:val="008457CF"/>
    <w:rsid w:val="00850E7D"/>
    <w:rsid w:val="0085259B"/>
    <w:rsid w:val="008602BF"/>
    <w:rsid w:val="00860328"/>
    <w:rsid w:val="00861B48"/>
    <w:rsid w:val="00863106"/>
    <w:rsid w:val="008635C6"/>
    <w:rsid w:val="00865AA1"/>
    <w:rsid w:val="00867FB8"/>
    <w:rsid w:val="00876355"/>
    <w:rsid w:val="00876EBD"/>
    <w:rsid w:val="00877DA7"/>
    <w:rsid w:val="008802F0"/>
    <w:rsid w:val="00882DFC"/>
    <w:rsid w:val="00882EED"/>
    <w:rsid w:val="00883994"/>
    <w:rsid w:val="00887BF8"/>
    <w:rsid w:val="00891258"/>
    <w:rsid w:val="0089570A"/>
    <w:rsid w:val="008A376F"/>
    <w:rsid w:val="008A65C3"/>
    <w:rsid w:val="008B2F2A"/>
    <w:rsid w:val="008B516A"/>
    <w:rsid w:val="008B6A21"/>
    <w:rsid w:val="008C0247"/>
    <w:rsid w:val="008C6115"/>
    <w:rsid w:val="008D148B"/>
    <w:rsid w:val="008E4FF3"/>
    <w:rsid w:val="008E5697"/>
    <w:rsid w:val="008E58F2"/>
    <w:rsid w:val="008E6136"/>
    <w:rsid w:val="008E7BE6"/>
    <w:rsid w:val="008F5361"/>
    <w:rsid w:val="0090077C"/>
    <w:rsid w:val="009032B9"/>
    <w:rsid w:val="009036CE"/>
    <w:rsid w:val="00906C70"/>
    <w:rsid w:val="009071FC"/>
    <w:rsid w:val="00912E75"/>
    <w:rsid w:val="00914C3F"/>
    <w:rsid w:val="00914C6A"/>
    <w:rsid w:val="00923A82"/>
    <w:rsid w:val="00924CB6"/>
    <w:rsid w:val="009257C3"/>
    <w:rsid w:val="009270BB"/>
    <w:rsid w:val="00927AB3"/>
    <w:rsid w:val="00927DA9"/>
    <w:rsid w:val="009312ED"/>
    <w:rsid w:val="0093507C"/>
    <w:rsid w:val="0093644D"/>
    <w:rsid w:val="009370DF"/>
    <w:rsid w:val="009551DC"/>
    <w:rsid w:val="00956249"/>
    <w:rsid w:val="00956D5C"/>
    <w:rsid w:val="00957246"/>
    <w:rsid w:val="00961A17"/>
    <w:rsid w:val="0096549C"/>
    <w:rsid w:val="00971C18"/>
    <w:rsid w:val="009729B7"/>
    <w:rsid w:val="0097544B"/>
    <w:rsid w:val="009774DF"/>
    <w:rsid w:val="00977DC6"/>
    <w:rsid w:val="009803CD"/>
    <w:rsid w:val="00985040"/>
    <w:rsid w:val="00987012"/>
    <w:rsid w:val="00987779"/>
    <w:rsid w:val="009877D1"/>
    <w:rsid w:val="0099047B"/>
    <w:rsid w:val="00990A36"/>
    <w:rsid w:val="00991567"/>
    <w:rsid w:val="009917B7"/>
    <w:rsid w:val="00992017"/>
    <w:rsid w:val="00992CA5"/>
    <w:rsid w:val="0099312E"/>
    <w:rsid w:val="009A206C"/>
    <w:rsid w:val="009A25ED"/>
    <w:rsid w:val="009A7AA9"/>
    <w:rsid w:val="009B0C2F"/>
    <w:rsid w:val="009B5D89"/>
    <w:rsid w:val="009B6686"/>
    <w:rsid w:val="009C28A1"/>
    <w:rsid w:val="009C7462"/>
    <w:rsid w:val="009C7AF6"/>
    <w:rsid w:val="009D0494"/>
    <w:rsid w:val="009D185C"/>
    <w:rsid w:val="009D1B99"/>
    <w:rsid w:val="009D291C"/>
    <w:rsid w:val="009D2BB4"/>
    <w:rsid w:val="009D38FA"/>
    <w:rsid w:val="009D77EF"/>
    <w:rsid w:val="009E2921"/>
    <w:rsid w:val="009E4505"/>
    <w:rsid w:val="009E5169"/>
    <w:rsid w:val="009E5963"/>
    <w:rsid w:val="009E6C54"/>
    <w:rsid w:val="009F0BFA"/>
    <w:rsid w:val="009F3222"/>
    <w:rsid w:val="009F33D6"/>
    <w:rsid w:val="009F7FE1"/>
    <w:rsid w:val="00A013AF"/>
    <w:rsid w:val="00A04FEC"/>
    <w:rsid w:val="00A05133"/>
    <w:rsid w:val="00A115FF"/>
    <w:rsid w:val="00A12522"/>
    <w:rsid w:val="00A130B3"/>
    <w:rsid w:val="00A13AB1"/>
    <w:rsid w:val="00A144AC"/>
    <w:rsid w:val="00A16D53"/>
    <w:rsid w:val="00A23AD9"/>
    <w:rsid w:val="00A26484"/>
    <w:rsid w:val="00A30802"/>
    <w:rsid w:val="00A30828"/>
    <w:rsid w:val="00A33B75"/>
    <w:rsid w:val="00A35533"/>
    <w:rsid w:val="00A3723C"/>
    <w:rsid w:val="00A443BB"/>
    <w:rsid w:val="00A45C1C"/>
    <w:rsid w:val="00A50BCC"/>
    <w:rsid w:val="00A54B74"/>
    <w:rsid w:val="00A5661B"/>
    <w:rsid w:val="00A56EDD"/>
    <w:rsid w:val="00A66390"/>
    <w:rsid w:val="00A70653"/>
    <w:rsid w:val="00A70686"/>
    <w:rsid w:val="00A71185"/>
    <w:rsid w:val="00A7171B"/>
    <w:rsid w:val="00A750C9"/>
    <w:rsid w:val="00A82C56"/>
    <w:rsid w:val="00A84250"/>
    <w:rsid w:val="00A85995"/>
    <w:rsid w:val="00A960D1"/>
    <w:rsid w:val="00AA27B4"/>
    <w:rsid w:val="00AA27C8"/>
    <w:rsid w:val="00AA2C58"/>
    <w:rsid w:val="00AA335D"/>
    <w:rsid w:val="00AA4AE8"/>
    <w:rsid w:val="00AA700C"/>
    <w:rsid w:val="00AB3496"/>
    <w:rsid w:val="00AB474F"/>
    <w:rsid w:val="00AC076B"/>
    <w:rsid w:val="00AC53F5"/>
    <w:rsid w:val="00AC59FB"/>
    <w:rsid w:val="00AC5AB6"/>
    <w:rsid w:val="00AD01C8"/>
    <w:rsid w:val="00AD0EA2"/>
    <w:rsid w:val="00AD52F5"/>
    <w:rsid w:val="00AD59A7"/>
    <w:rsid w:val="00AF0D63"/>
    <w:rsid w:val="00AF3A0B"/>
    <w:rsid w:val="00AF63D5"/>
    <w:rsid w:val="00B00875"/>
    <w:rsid w:val="00B0194B"/>
    <w:rsid w:val="00B05040"/>
    <w:rsid w:val="00B065E3"/>
    <w:rsid w:val="00B11785"/>
    <w:rsid w:val="00B15205"/>
    <w:rsid w:val="00B211A5"/>
    <w:rsid w:val="00B213FB"/>
    <w:rsid w:val="00B22CC2"/>
    <w:rsid w:val="00B2596C"/>
    <w:rsid w:val="00B2641F"/>
    <w:rsid w:val="00B34B01"/>
    <w:rsid w:val="00B36017"/>
    <w:rsid w:val="00B371B3"/>
    <w:rsid w:val="00B41036"/>
    <w:rsid w:val="00B43BB9"/>
    <w:rsid w:val="00B43FAE"/>
    <w:rsid w:val="00B50C29"/>
    <w:rsid w:val="00B52A66"/>
    <w:rsid w:val="00B6107F"/>
    <w:rsid w:val="00B613E8"/>
    <w:rsid w:val="00B64C9E"/>
    <w:rsid w:val="00B65A1A"/>
    <w:rsid w:val="00B67474"/>
    <w:rsid w:val="00B7031A"/>
    <w:rsid w:val="00B746D3"/>
    <w:rsid w:val="00B84E83"/>
    <w:rsid w:val="00B92569"/>
    <w:rsid w:val="00B931C7"/>
    <w:rsid w:val="00B93314"/>
    <w:rsid w:val="00B939FD"/>
    <w:rsid w:val="00B94D7C"/>
    <w:rsid w:val="00B964CE"/>
    <w:rsid w:val="00BA124F"/>
    <w:rsid w:val="00BB049B"/>
    <w:rsid w:val="00BB062F"/>
    <w:rsid w:val="00BB1749"/>
    <w:rsid w:val="00BB35B0"/>
    <w:rsid w:val="00BB51BC"/>
    <w:rsid w:val="00BB686A"/>
    <w:rsid w:val="00BC296C"/>
    <w:rsid w:val="00BC30CD"/>
    <w:rsid w:val="00BD0997"/>
    <w:rsid w:val="00BD44FB"/>
    <w:rsid w:val="00BE3954"/>
    <w:rsid w:val="00BE5E10"/>
    <w:rsid w:val="00BF04E8"/>
    <w:rsid w:val="00BF09D3"/>
    <w:rsid w:val="00BF1449"/>
    <w:rsid w:val="00BF1FF5"/>
    <w:rsid w:val="00BF40E2"/>
    <w:rsid w:val="00C00270"/>
    <w:rsid w:val="00C01746"/>
    <w:rsid w:val="00C025D6"/>
    <w:rsid w:val="00C03061"/>
    <w:rsid w:val="00C03B74"/>
    <w:rsid w:val="00C051AA"/>
    <w:rsid w:val="00C117FD"/>
    <w:rsid w:val="00C11EE0"/>
    <w:rsid w:val="00C12D74"/>
    <w:rsid w:val="00C131C3"/>
    <w:rsid w:val="00C17142"/>
    <w:rsid w:val="00C24B0A"/>
    <w:rsid w:val="00C24D74"/>
    <w:rsid w:val="00C25FB8"/>
    <w:rsid w:val="00C26695"/>
    <w:rsid w:val="00C360E5"/>
    <w:rsid w:val="00C367D4"/>
    <w:rsid w:val="00C36E34"/>
    <w:rsid w:val="00C375E1"/>
    <w:rsid w:val="00C40E4D"/>
    <w:rsid w:val="00C41C21"/>
    <w:rsid w:val="00C53327"/>
    <w:rsid w:val="00C576C8"/>
    <w:rsid w:val="00C64A74"/>
    <w:rsid w:val="00C66A1D"/>
    <w:rsid w:val="00C70653"/>
    <w:rsid w:val="00C7067C"/>
    <w:rsid w:val="00C70EFC"/>
    <w:rsid w:val="00C7297E"/>
    <w:rsid w:val="00C73B23"/>
    <w:rsid w:val="00C80005"/>
    <w:rsid w:val="00C804AE"/>
    <w:rsid w:val="00C818AC"/>
    <w:rsid w:val="00C81E7C"/>
    <w:rsid w:val="00C87535"/>
    <w:rsid w:val="00C91ECF"/>
    <w:rsid w:val="00C94F29"/>
    <w:rsid w:val="00CA1341"/>
    <w:rsid w:val="00CA2102"/>
    <w:rsid w:val="00CA5513"/>
    <w:rsid w:val="00CA56FB"/>
    <w:rsid w:val="00CA7EDD"/>
    <w:rsid w:val="00CB0B66"/>
    <w:rsid w:val="00CB205E"/>
    <w:rsid w:val="00CB35B5"/>
    <w:rsid w:val="00CB63F6"/>
    <w:rsid w:val="00CC17E8"/>
    <w:rsid w:val="00CC2F9C"/>
    <w:rsid w:val="00CC5DED"/>
    <w:rsid w:val="00CC7F8D"/>
    <w:rsid w:val="00CD2CEC"/>
    <w:rsid w:val="00CD51D0"/>
    <w:rsid w:val="00CD5ED1"/>
    <w:rsid w:val="00CE338E"/>
    <w:rsid w:val="00CE68D3"/>
    <w:rsid w:val="00CE698F"/>
    <w:rsid w:val="00CF1C32"/>
    <w:rsid w:val="00CF5F82"/>
    <w:rsid w:val="00CF6F37"/>
    <w:rsid w:val="00D005E4"/>
    <w:rsid w:val="00D10024"/>
    <w:rsid w:val="00D10723"/>
    <w:rsid w:val="00D139F9"/>
    <w:rsid w:val="00D20417"/>
    <w:rsid w:val="00D22F8D"/>
    <w:rsid w:val="00D2385F"/>
    <w:rsid w:val="00D26A30"/>
    <w:rsid w:val="00D278D6"/>
    <w:rsid w:val="00D30951"/>
    <w:rsid w:val="00D310FE"/>
    <w:rsid w:val="00D31DD5"/>
    <w:rsid w:val="00D34E40"/>
    <w:rsid w:val="00D350C8"/>
    <w:rsid w:val="00D37038"/>
    <w:rsid w:val="00D41F3F"/>
    <w:rsid w:val="00D43D7B"/>
    <w:rsid w:val="00D43D8A"/>
    <w:rsid w:val="00D53085"/>
    <w:rsid w:val="00D55352"/>
    <w:rsid w:val="00D557D4"/>
    <w:rsid w:val="00D5590A"/>
    <w:rsid w:val="00D56F8E"/>
    <w:rsid w:val="00D5733E"/>
    <w:rsid w:val="00D607B3"/>
    <w:rsid w:val="00D61C98"/>
    <w:rsid w:val="00D64407"/>
    <w:rsid w:val="00D67FAA"/>
    <w:rsid w:val="00D714E0"/>
    <w:rsid w:val="00D7196F"/>
    <w:rsid w:val="00D72444"/>
    <w:rsid w:val="00D8010F"/>
    <w:rsid w:val="00D80865"/>
    <w:rsid w:val="00D81EB3"/>
    <w:rsid w:val="00D87F8C"/>
    <w:rsid w:val="00DA2455"/>
    <w:rsid w:val="00DA64F4"/>
    <w:rsid w:val="00DB0ADA"/>
    <w:rsid w:val="00DB116C"/>
    <w:rsid w:val="00DB489E"/>
    <w:rsid w:val="00DB5C9D"/>
    <w:rsid w:val="00DC0DF8"/>
    <w:rsid w:val="00DC38AD"/>
    <w:rsid w:val="00DC3C5B"/>
    <w:rsid w:val="00DC3E79"/>
    <w:rsid w:val="00DC4790"/>
    <w:rsid w:val="00DC5C04"/>
    <w:rsid w:val="00DD1A16"/>
    <w:rsid w:val="00DD31DF"/>
    <w:rsid w:val="00DD59EE"/>
    <w:rsid w:val="00DE120F"/>
    <w:rsid w:val="00DE2BC2"/>
    <w:rsid w:val="00DE5ADB"/>
    <w:rsid w:val="00DE79CE"/>
    <w:rsid w:val="00DF52DA"/>
    <w:rsid w:val="00DF5C96"/>
    <w:rsid w:val="00DF612B"/>
    <w:rsid w:val="00E00127"/>
    <w:rsid w:val="00E0042C"/>
    <w:rsid w:val="00E038FE"/>
    <w:rsid w:val="00E125DD"/>
    <w:rsid w:val="00E12A1C"/>
    <w:rsid w:val="00E12E7E"/>
    <w:rsid w:val="00E17883"/>
    <w:rsid w:val="00E2023F"/>
    <w:rsid w:val="00E21FED"/>
    <w:rsid w:val="00E22220"/>
    <w:rsid w:val="00E24FA4"/>
    <w:rsid w:val="00E25AC1"/>
    <w:rsid w:val="00E25F0C"/>
    <w:rsid w:val="00E26DBC"/>
    <w:rsid w:val="00E27C25"/>
    <w:rsid w:val="00E4328A"/>
    <w:rsid w:val="00E52162"/>
    <w:rsid w:val="00E54B3C"/>
    <w:rsid w:val="00E66DD8"/>
    <w:rsid w:val="00E72EA2"/>
    <w:rsid w:val="00E7506B"/>
    <w:rsid w:val="00E81A5A"/>
    <w:rsid w:val="00E8391A"/>
    <w:rsid w:val="00E8479E"/>
    <w:rsid w:val="00E9134B"/>
    <w:rsid w:val="00E92B4B"/>
    <w:rsid w:val="00E93958"/>
    <w:rsid w:val="00E93FAF"/>
    <w:rsid w:val="00E9412D"/>
    <w:rsid w:val="00E959C2"/>
    <w:rsid w:val="00EA3619"/>
    <w:rsid w:val="00EA38FF"/>
    <w:rsid w:val="00EA3DA8"/>
    <w:rsid w:val="00EA4A8E"/>
    <w:rsid w:val="00EA7B5E"/>
    <w:rsid w:val="00EB1325"/>
    <w:rsid w:val="00EB1E17"/>
    <w:rsid w:val="00EB4CCE"/>
    <w:rsid w:val="00EB55E3"/>
    <w:rsid w:val="00EB6310"/>
    <w:rsid w:val="00EB7308"/>
    <w:rsid w:val="00EC012B"/>
    <w:rsid w:val="00EC3DA7"/>
    <w:rsid w:val="00EC5084"/>
    <w:rsid w:val="00EC5779"/>
    <w:rsid w:val="00EC6275"/>
    <w:rsid w:val="00EC7716"/>
    <w:rsid w:val="00ED1646"/>
    <w:rsid w:val="00ED4DC9"/>
    <w:rsid w:val="00EE1562"/>
    <w:rsid w:val="00EF0424"/>
    <w:rsid w:val="00EF380A"/>
    <w:rsid w:val="00F0258D"/>
    <w:rsid w:val="00F02A8B"/>
    <w:rsid w:val="00F035EE"/>
    <w:rsid w:val="00F037E9"/>
    <w:rsid w:val="00F03A91"/>
    <w:rsid w:val="00F139D3"/>
    <w:rsid w:val="00F146D2"/>
    <w:rsid w:val="00F14C3F"/>
    <w:rsid w:val="00F1556B"/>
    <w:rsid w:val="00F17C21"/>
    <w:rsid w:val="00F201B2"/>
    <w:rsid w:val="00F2209E"/>
    <w:rsid w:val="00F27273"/>
    <w:rsid w:val="00F27FB5"/>
    <w:rsid w:val="00F338BB"/>
    <w:rsid w:val="00F35DDD"/>
    <w:rsid w:val="00F36E51"/>
    <w:rsid w:val="00F378A3"/>
    <w:rsid w:val="00F45885"/>
    <w:rsid w:val="00F46ECB"/>
    <w:rsid w:val="00F52818"/>
    <w:rsid w:val="00F53B78"/>
    <w:rsid w:val="00F55CEA"/>
    <w:rsid w:val="00F61E92"/>
    <w:rsid w:val="00F660AE"/>
    <w:rsid w:val="00F70408"/>
    <w:rsid w:val="00F70727"/>
    <w:rsid w:val="00F73E6F"/>
    <w:rsid w:val="00F7499C"/>
    <w:rsid w:val="00F75612"/>
    <w:rsid w:val="00F8104B"/>
    <w:rsid w:val="00F819CE"/>
    <w:rsid w:val="00F81A53"/>
    <w:rsid w:val="00F943C1"/>
    <w:rsid w:val="00FA195F"/>
    <w:rsid w:val="00FA6454"/>
    <w:rsid w:val="00FB0AC7"/>
    <w:rsid w:val="00FC01B9"/>
    <w:rsid w:val="00FC09BA"/>
    <w:rsid w:val="00FC31C6"/>
    <w:rsid w:val="00FC6B00"/>
    <w:rsid w:val="00FD0537"/>
    <w:rsid w:val="00FD6EF3"/>
    <w:rsid w:val="00FE311A"/>
    <w:rsid w:val="00FE3A13"/>
    <w:rsid w:val="00FE4F36"/>
    <w:rsid w:val="00FE6E10"/>
    <w:rsid w:val="00FF056E"/>
    <w:rsid w:val="00FF17AD"/>
    <w:rsid w:val="00FF6B72"/>
    <w:rsid w:val="00FF713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5BDA"/>
  <w15:docId w15:val="{4F7CB3F7-7222-4A16-8831-2372D418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4205DF"/>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19"/>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39"/>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39"/>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39"/>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39"/>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39"/>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39"/>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paragraph" w:customStyle="1" w:styleId="NIVtableau">
    <w:name w:val="NIV_tableau"/>
    <w:link w:val="NIVtableauCar"/>
    <w:qFormat/>
    <w:rsid w:val="00826D85"/>
    <w:pPr>
      <w:spacing w:before="0" w:after="0" w:line="240" w:lineRule="auto"/>
    </w:pPr>
    <w:rPr>
      <w:rFonts w:ascii="Arial" w:hAnsi="Arial" w:cs="Arial"/>
      <w:bCs/>
      <w:color w:val="000000" w:themeColor="text1"/>
      <w:sz w:val="18"/>
      <w:szCs w:val="20"/>
    </w:rPr>
  </w:style>
  <w:style w:type="character" w:customStyle="1" w:styleId="NIVtableauCar">
    <w:name w:val="NIV_tableau Car"/>
    <w:basedOn w:val="Policepardfaut"/>
    <w:link w:val="NIVtableau"/>
    <w:rsid w:val="00826D85"/>
    <w:rPr>
      <w:rFonts w:ascii="Arial" w:hAnsi="Arial" w:cs="Arial"/>
      <w:bCs/>
      <w:color w:val="000000" w:themeColor="text1"/>
      <w:sz w:val="18"/>
      <w:szCs w:val="20"/>
    </w:rPr>
  </w:style>
  <w:style w:type="paragraph" w:customStyle="1" w:styleId="FRNIVTableauSoustitre">
    <w:name w:val="FR_NIV_Tableau_Soustitre"/>
    <w:basedOn w:val="Normal"/>
    <w:qFormat/>
    <w:rsid w:val="00826D85"/>
    <w:pPr>
      <w:spacing w:before="0" w:after="0" w:line="240" w:lineRule="auto"/>
    </w:pPr>
    <w:rPr>
      <w:rFonts w:ascii="Arial" w:hAnsi="Arial" w:cs="Arial"/>
      <w:bCs/>
      <w:color w:val="777777" w:themeColor="text2"/>
      <w:sz w:val="20"/>
      <w:szCs w:val="20"/>
    </w:rPr>
  </w:style>
  <w:style w:type="table" w:customStyle="1" w:styleId="EtatFribourg">
    <w:name w:val="Etat Fribourg"/>
    <w:basedOn w:val="TableauNormal"/>
    <w:uiPriority w:val="99"/>
    <w:rsid w:val="00826D85"/>
    <w:pPr>
      <w:spacing w:before="0" w:after="0" w:line="240" w:lineRule="auto"/>
    </w:pPr>
    <w:rPr>
      <w:rFonts w:ascii="Arial" w:eastAsia="Times New Roman" w:hAnsi="Arial" w:cs="Times New Roman"/>
      <w:sz w:val="18"/>
      <w:szCs w:val="20"/>
      <w:lang w:eastAsia="fr-CH"/>
    </w:rPr>
    <w:tblPr>
      <w:tblBorders>
        <w:top w:val="single" w:sz="4" w:space="0" w:color="CCEAE6" w:themeColor="accent1"/>
        <w:bottom w:val="single" w:sz="4" w:space="0" w:color="CCEAE6" w:themeColor="accent1"/>
        <w:insideH w:val="single" w:sz="4" w:space="0" w:color="CCEAE6" w:themeColor="accent1"/>
      </w:tblBorders>
    </w:tblPr>
    <w:tblStylePr w:type="firstRow">
      <w:rPr>
        <w:rFonts w:ascii="Arial" w:hAnsi="Arial"/>
        <w:b/>
        <w:i w:val="0"/>
        <w:color w:val="777777" w:themeColor="text2"/>
        <w:sz w:val="20"/>
      </w:rPr>
    </w:tblStylePr>
    <w:tblStylePr w:type="lastRow">
      <w:rPr>
        <w:rFonts w:ascii="Arial" w:hAnsi="Arial"/>
        <w:color w:val="777777" w:themeColor="text2"/>
        <w:sz w:val="20"/>
      </w:rPr>
    </w:tblStylePr>
  </w:style>
  <w:style w:type="paragraph" w:customStyle="1" w:styleId="NIVtableauSoustitrealigndroite">
    <w:name w:val="NIV_tableau_Soustitre_aligné_droite"/>
    <w:basedOn w:val="FRNIVTableauSoustitre"/>
    <w:qFormat/>
    <w:rsid w:val="00826D85"/>
    <w:pPr>
      <w:ind w:right="57"/>
      <w:jc w:val="right"/>
    </w:pPr>
    <w:rPr>
      <w:lang w:eastAsia="fr-CH"/>
    </w:rPr>
  </w:style>
  <w:style w:type="paragraph" w:customStyle="1" w:styleId="NIVtableauchiffres">
    <w:name w:val="NIV_tableau_chiffres"/>
    <w:basedOn w:val="NIVtableau"/>
    <w:qFormat/>
    <w:rsid w:val="00826D85"/>
    <w:pPr>
      <w:ind w:right="57"/>
      <w:jc w:val="right"/>
    </w:pPr>
  </w:style>
  <w:style w:type="paragraph" w:customStyle="1" w:styleId="NIVtableauunits">
    <w:name w:val="NIV_tableau_unités"/>
    <w:basedOn w:val="NIVtableau"/>
    <w:qFormat/>
    <w:rsid w:val="00826D85"/>
    <w:pPr>
      <w:ind w:right="57"/>
      <w:jc w:val="right"/>
    </w:pPr>
    <w:rPr>
      <w:color w:val="777777" w:themeColor="text2"/>
    </w:rPr>
  </w:style>
  <w:style w:type="paragraph" w:customStyle="1" w:styleId="Default">
    <w:name w:val="Default"/>
    <w:rsid w:val="00144B31"/>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DecimalAligned">
    <w:name w:val="Decimal Aligned"/>
    <w:basedOn w:val="Normal"/>
    <w:uiPriority w:val="40"/>
    <w:qFormat/>
    <w:rsid w:val="00D005E4"/>
    <w:pPr>
      <w:tabs>
        <w:tab w:val="decimal" w:pos="360"/>
      </w:tabs>
      <w:spacing w:before="0" w:after="200" w:line="276" w:lineRule="auto"/>
    </w:pPr>
    <w:rPr>
      <w:rFonts w:eastAsiaTheme="minorEastAsia" w:cs="Times New Roman"/>
      <w:sz w:val="22"/>
      <w:szCs w:val="22"/>
      <w:lang w:eastAsia="fr-CH"/>
    </w:rPr>
  </w:style>
  <w:style w:type="table" w:styleId="Tramemoyenne2-Accent5">
    <w:name w:val="Medium Shading 2 Accent 5"/>
    <w:basedOn w:val="TableauNormal"/>
    <w:uiPriority w:val="64"/>
    <w:rsid w:val="00D005E4"/>
    <w:pPr>
      <w:spacing w:before="0" w:after="0" w:line="240" w:lineRule="auto"/>
    </w:pPr>
    <w:rPr>
      <w:rFonts w:eastAsiaTheme="minorEastAsia"/>
      <w:sz w:val="22"/>
      <w:szCs w:val="22"/>
      <w:lang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1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1A" w:themeFill="accent5"/>
      </w:tcPr>
    </w:tblStylePr>
    <w:tblStylePr w:type="lastCol">
      <w:rPr>
        <w:b/>
        <w:bCs/>
        <w:color w:val="FFFFFF" w:themeColor="background1"/>
      </w:rPr>
      <w:tblPr/>
      <w:tcPr>
        <w:tcBorders>
          <w:left w:val="nil"/>
          <w:right w:val="nil"/>
          <w:insideH w:val="nil"/>
          <w:insideV w:val="nil"/>
        </w:tcBorders>
        <w:shd w:val="clear" w:color="auto" w:fill="001E1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laire-Accent1">
    <w:name w:val="Light Shading Accent 1"/>
    <w:basedOn w:val="TableauNormal"/>
    <w:uiPriority w:val="60"/>
    <w:rsid w:val="00D005E4"/>
    <w:pPr>
      <w:spacing w:before="0" w:after="0" w:line="240" w:lineRule="auto"/>
    </w:pPr>
    <w:rPr>
      <w:rFonts w:eastAsiaTheme="minorEastAsia"/>
      <w:color w:val="7ECABF" w:themeColor="accent1" w:themeShade="BF"/>
      <w:sz w:val="22"/>
      <w:szCs w:val="22"/>
      <w:lang w:eastAsia="fr-CH"/>
    </w:rPr>
    <w:tblPr>
      <w:tblStyleRowBandSize w:val="1"/>
      <w:tblStyleColBandSize w:val="1"/>
      <w:tblBorders>
        <w:top w:val="single" w:sz="8" w:space="0" w:color="CCEAE6" w:themeColor="accent1"/>
        <w:bottom w:val="single" w:sz="8" w:space="0" w:color="CCEAE6" w:themeColor="accent1"/>
      </w:tblBorders>
    </w:tblPr>
    <w:tblStylePr w:type="firstRow">
      <w:pPr>
        <w:spacing w:before="0" w:after="0" w:line="240" w:lineRule="auto"/>
      </w:pPr>
      <w:rPr>
        <w:b/>
        <w:bCs/>
      </w:rPr>
      <w:tblPr/>
      <w:tcPr>
        <w:tcBorders>
          <w:top w:val="single" w:sz="8" w:space="0" w:color="CCEAE6" w:themeColor="accent1"/>
          <w:left w:val="nil"/>
          <w:bottom w:val="single" w:sz="8" w:space="0" w:color="CCEAE6" w:themeColor="accent1"/>
          <w:right w:val="nil"/>
          <w:insideH w:val="nil"/>
          <w:insideV w:val="nil"/>
        </w:tcBorders>
      </w:tcPr>
    </w:tblStylePr>
    <w:tblStylePr w:type="lastRow">
      <w:pPr>
        <w:spacing w:before="0" w:after="0" w:line="240" w:lineRule="auto"/>
      </w:pPr>
      <w:rPr>
        <w:b/>
        <w:bCs/>
      </w:rPr>
      <w:tblPr/>
      <w:tcPr>
        <w:tcBorders>
          <w:top w:val="single" w:sz="8" w:space="0" w:color="CCEAE6" w:themeColor="accent1"/>
          <w:left w:val="nil"/>
          <w:bottom w:val="single" w:sz="8" w:space="0" w:color="CCEAE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8" w:themeFill="accent1" w:themeFillTint="3F"/>
      </w:tcPr>
    </w:tblStylePr>
    <w:tblStylePr w:type="band1Horz">
      <w:tblPr/>
      <w:tcPr>
        <w:tcBorders>
          <w:left w:val="nil"/>
          <w:right w:val="nil"/>
          <w:insideH w:val="nil"/>
          <w:insideV w:val="nil"/>
        </w:tcBorders>
        <w:shd w:val="clear" w:color="auto" w:fill="F2F9F8" w:themeFill="accent1" w:themeFillTint="3F"/>
      </w:tcPr>
    </w:tblStylePr>
  </w:style>
  <w:style w:type="paragraph" w:customStyle="1" w:styleId="08puces">
    <w:name w:val="08_puces"/>
    <w:qFormat/>
    <w:rsid w:val="001527E4"/>
    <w:pPr>
      <w:numPr>
        <w:numId w:val="35"/>
      </w:numPr>
      <w:spacing w:before="0" w:after="0" w:line="280" w:lineRule="exact"/>
      <w:ind w:left="227" w:hanging="227"/>
    </w:pPr>
    <w:rPr>
      <w:rFonts w:ascii="Times New Roman" w:eastAsia="Times New Roman" w:hAnsi="Times New Roman" w:cs="Times New Roman"/>
      <w:sz w:val="24"/>
      <w:szCs w:val="24"/>
      <w:lang w:eastAsia="fr-FR"/>
    </w:rPr>
  </w:style>
  <w:style w:type="paragraph" w:customStyle="1" w:styleId="07atexteprincipal">
    <w:name w:val="07a_texte_principal"/>
    <w:qFormat/>
    <w:rsid w:val="0008753A"/>
    <w:pPr>
      <w:spacing w:before="0" w:after="180" w:line="280" w:lineRule="exact"/>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unhideWhenUsed/>
    <w:rsid w:val="007D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1117">
      <w:bodyDiv w:val="1"/>
      <w:marLeft w:val="0"/>
      <w:marRight w:val="0"/>
      <w:marTop w:val="0"/>
      <w:marBottom w:val="0"/>
      <w:divBdr>
        <w:top w:val="none" w:sz="0" w:space="0" w:color="auto"/>
        <w:left w:val="none" w:sz="0" w:space="0" w:color="auto"/>
        <w:bottom w:val="none" w:sz="0" w:space="0" w:color="auto"/>
        <w:right w:val="none" w:sz="0" w:space="0" w:color="auto"/>
      </w:divBdr>
    </w:div>
    <w:div w:id="567616187">
      <w:bodyDiv w:val="1"/>
      <w:marLeft w:val="0"/>
      <w:marRight w:val="0"/>
      <w:marTop w:val="0"/>
      <w:marBottom w:val="0"/>
      <w:divBdr>
        <w:top w:val="none" w:sz="0" w:space="0" w:color="auto"/>
        <w:left w:val="none" w:sz="0" w:space="0" w:color="auto"/>
        <w:bottom w:val="none" w:sz="0" w:space="0" w:color="auto"/>
        <w:right w:val="none" w:sz="0" w:space="0" w:color="auto"/>
      </w:divBdr>
    </w:div>
    <w:div w:id="974335351">
      <w:bodyDiv w:val="1"/>
      <w:marLeft w:val="0"/>
      <w:marRight w:val="0"/>
      <w:marTop w:val="0"/>
      <w:marBottom w:val="0"/>
      <w:divBdr>
        <w:top w:val="none" w:sz="0" w:space="0" w:color="auto"/>
        <w:left w:val="none" w:sz="0" w:space="0" w:color="auto"/>
        <w:bottom w:val="none" w:sz="0" w:space="0" w:color="auto"/>
        <w:right w:val="none" w:sz="0" w:space="0" w:color="auto"/>
      </w:divBdr>
    </w:div>
    <w:div w:id="1286690191">
      <w:bodyDiv w:val="1"/>
      <w:marLeft w:val="0"/>
      <w:marRight w:val="0"/>
      <w:marTop w:val="0"/>
      <w:marBottom w:val="0"/>
      <w:divBdr>
        <w:top w:val="none" w:sz="0" w:space="0" w:color="auto"/>
        <w:left w:val="none" w:sz="0" w:space="0" w:color="auto"/>
        <w:bottom w:val="none" w:sz="0" w:space="0" w:color="auto"/>
        <w:right w:val="none" w:sz="0" w:space="0" w:color="auto"/>
      </w:divBdr>
    </w:div>
    <w:div w:id="1394112005">
      <w:bodyDiv w:val="1"/>
      <w:marLeft w:val="0"/>
      <w:marRight w:val="0"/>
      <w:marTop w:val="0"/>
      <w:marBottom w:val="0"/>
      <w:divBdr>
        <w:top w:val="none" w:sz="0" w:space="0" w:color="auto"/>
        <w:left w:val="none" w:sz="0" w:space="0" w:color="auto"/>
        <w:bottom w:val="none" w:sz="0" w:space="0" w:color="auto"/>
        <w:right w:val="none" w:sz="0" w:space="0" w:color="auto"/>
      </w:divBdr>
    </w:div>
    <w:div w:id="1502116322">
      <w:bodyDiv w:val="1"/>
      <w:marLeft w:val="0"/>
      <w:marRight w:val="0"/>
      <w:marTop w:val="0"/>
      <w:marBottom w:val="0"/>
      <w:divBdr>
        <w:top w:val="none" w:sz="0" w:space="0" w:color="auto"/>
        <w:left w:val="none" w:sz="0" w:space="0" w:color="auto"/>
        <w:bottom w:val="none" w:sz="0" w:space="0" w:color="auto"/>
        <w:right w:val="none" w:sz="0" w:space="0" w:color="auto"/>
      </w:divBdr>
    </w:div>
    <w:div w:id="17049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info.fr.ch/dl.php/de/ax-65a94316cbb44/de_RGC_2018-DFIN-4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r.ch/de/find/news/positive-auswirkungen-des-kantonalen-struktur-und-sparmassnahmenprogramms-2013-2016-auf-die-gemeinden-bestaetigen-si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389042918931E-2"/>
          <c:y val="5.1579855334984534E-2"/>
          <c:w val="0.83368055555555565"/>
          <c:h val="0.80808080808080829"/>
        </c:manualLayout>
      </c:layout>
      <c:lineChart>
        <c:grouping val="standard"/>
        <c:varyColors val="0"/>
        <c:ser>
          <c:idx val="0"/>
          <c:order val="0"/>
          <c:tx>
            <c:strRef>
              <c:f>'Données 1'!$A$24</c:f>
              <c:strCache>
                <c:ptCount val="1"/>
                <c:pt idx="0">
                  <c:v>Aufwand</c:v>
                </c:pt>
              </c:strCache>
            </c:strRef>
          </c:tx>
          <c:spPr>
            <a:ln w="25400">
              <a:solidFill>
                <a:srgbClr val="B299DF"/>
              </a:solidFill>
              <a:prstDash val="solid"/>
            </a:ln>
          </c:spPr>
          <c:marker>
            <c:symbol val="diamond"/>
            <c:size val="7"/>
            <c:spPr>
              <a:solidFill>
                <a:srgbClr val="B299DF"/>
              </a:solidFill>
              <a:ln>
                <a:solidFill>
                  <a:srgbClr val="B299DF"/>
                </a:solidFill>
                <a:prstDash val="solid"/>
              </a:ln>
            </c:spPr>
          </c:marker>
          <c:dLbls>
            <c:dLbl>
              <c:idx val="0"/>
              <c:layout>
                <c:manualLayout>
                  <c:x val="-1.3588074676149352E-2"/>
                  <c:y val="-9.8217498518330365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0-C8CE-4F29-8CE1-D748AE2EA6CF}"/>
                </c:ext>
              </c:extLst>
            </c:dLbl>
            <c:dLbl>
              <c:idx val="1"/>
              <c:layout>
                <c:manualLayout>
                  <c:x val="-6.6293973837947717E-2"/>
                  <c:y val="-3.9558197866395792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1-C8CE-4F29-8CE1-D748AE2EA6CF}"/>
                </c:ext>
              </c:extLst>
            </c:dLbl>
            <c:dLbl>
              <c:idx val="2"/>
              <c:layout>
                <c:manualLayout>
                  <c:x val="-5.3724150678348306E-2"/>
                  <c:y val="-4.034675243059406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2-C8CE-4F29-8CE1-D748AE2EA6CF}"/>
                </c:ext>
              </c:extLst>
            </c:dLbl>
            <c:dLbl>
              <c:idx val="3"/>
              <c:layout>
                <c:manualLayout>
                  <c:x val="-5.3179993345902184E-2"/>
                  <c:y val="-3.8663019235271649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3-C8CE-4F29-8CE1-D748AE2EA6CF}"/>
                </c:ext>
              </c:extLst>
            </c:dLbl>
            <c:dLbl>
              <c:idx val="4"/>
              <c:layout>
                <c:manualLayout>
                  <c:x val="8.2510812908949757E-5"/>
                  <c:y val="-2.7836309193745149E-3"/>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4-C8CE-4F29-8CE1-D748AE2EA6CF}"/>
                </c:ext>
              </c:extLst>
            </c:dLbl>
            <c:numFmt formatCode="0.0" sourceLinked="0"/>
            <c:spPr>
              <a:noFill/>
              <a:ln w="25400">
                <a:noFill/>
              </a:ln>
            </c:spPr>
            <c:txPr>
              <a:bodyPr/>
              <a:lstStyle/>
              <a:p>
                <a:pPr>
                  <a:defRPr sz="800" b="0" i="0" u="none" strike="noStrike" baseline="0">
                    <a:solidFill>
                      <a:srgbClr val="000000"/>
                    </a:solidFill>
                    <a:latin typeface="Arial"/>
                    <a:ea typeface="Arial"/>
                    <a:cs typeface="Arial"/>
                  </a:defRPr>
                </a:pPr>
                <a:endParaRPr lang="fr-FR"/>
              </a:p>
            </c:txPr>
            <c:showLegendKey val="0"/>
            <c:showVal val="1"/>
            <c:showCatName val="0"/>
            <c:showSerName val="0"/>
            <c:showPercent val="0"/>
            <c:showBubbleSize val="0"/>
            <c:showLeaderLines val="0"/>
            <c:extLst xmlns:star_td="http://www.star-group.net/schemas/transit/filters/textdata">
              <c:ext xmlns:c15="http://schemas.microsoft.com/office/drawing/2012/chart" uri="{CE6537A1-D6FC-4f65-9D91-7224C49458BB}">
                <c15:showLeaderLines val="0"/>
              </c:ext>
            </c:extLst>
          </c:dLbls>
          <c:cat>
            <c:strRef>
              <c:f>'Données 1'!$C$22:$F$22</c:f>
              <c:strCache>
                <c:ptCount val="4"/>
                <c:pt idx="0">
                  <c:v>V25</c:v>
                </c:pt>
                <c:pt idx="1">
                  <c:v>FP26</c:v>
                </c:pt>
                <c:pt idx="2">
                  <c:v>FP27</c:v>
                </c:pt>
                <c:pt idx="3">
                  <c:v>FP28</c:v>
                </c:pt>
              </c:strCache>
            </c:strRef>
          </c:cat>
          <c:val>
            <c:numRef>
              <c:f>'Données 1'!$C$24:$F$24</c:f>
              <c:numCache>
                <c:formatCode>0.0</c:formatCode>
                <c:ptCount val="4"/>
                <c:pt idx="0">
                  <c:v>4326.1000000000004</c:v>
                </c:pt>
                <c:pt idx="1">
                  <c:v>4556.5</c:v>
                </c:pt>
                <c:pt idx="2">
                  <c:v>4740.8999999999996</c:v>
                </c:pt>
                <c:pt idx="3">
                  <c:v>4790.3999999999996</c:v>
                </c:pt>
              </c:numCache>
            </c:numRef>
          </c:val>
          <c:smooth val="0"/>
          <c:extLst xmlns:star_td="http://www.star-group.net/schemas/transit/filters/textdata">
            <c:ext xmlns:c16="http://schemas.microsoft.com/office/drawing/2014/chart" uri="{C3380CC4-5D6E-409C-BE32-E72D297353CC}">
              <c16:uniqueId val="{00000005-C8CE-4F29-8CE1-D748AE2EA6CF}"/>
            </c:ext>
          </c:extLst>
        </c:ser>
        <c:ser>
          <c:idx val="1"/>
          <c:order val="1"/>
          <c:tx>
            <c:strRef>
              <c:f>'Données 1'!$A$25</c:f>
              <c:strCache>
                <c:ptCount val="1"/>
                <c:pt idx="0">
                  <c:v>Ertrag</c:v>
                </c:pt>
              </c:strCache>
            </c:strRef>
          </c:tx>
          <c:spPr>
            <a:ln w="25400">
              <a:solidFill>
                <a:srgbClr val="6639B7"/>
              </a:solidFill>
              <a:prstDash val="solid"/>
            </a:ln>
          </c:spPr>
          <c:marker>
            <c:symbol val="square"/>
            <c:size val="7"/>
            <c:spPr>
              <a:solidFill>
                <a:srgbClr val="6639B7"/>
              </a:solidFill>
              <a:ln>
                <a:solidFill>
                  <a:srgbClr val="6639B7"/>
                </a:solidFill>
                <a:prstDash val="solid"/>
              </a:ln>
            </c:spPr>
          </c:marker>
          <c:dLbls>
            <c:dLbl>
              <c:idx val="0"/>
              <c:layout>
                <c:manualLayout>
                  <c:x val="2.2535211267605635E-2"/>
                  <c:y val="9.3896713615023476E-3"/>
                </c:manualLayout>
              </c:layout>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6-C8CE-4F29-8CE1-D748AE2EA6CF}"/>
                </c:ext>
              </c:extLst>
            </c:dLbl>
            <c:dLbl>
              <c:idx val="1"/>
              <c:layout>
                <c:manualLayout>
                  <c:x val="-6.4505175260350558E-2"/>
                  <c:y val="-4.0993300736601471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7-C8CE-4F29-8CE1-D748AE2EA6CF}"/>
                </c:ext>
              </c:extLst>
            </c:dLbl>
            <c:dLbl>
              <c:idx val="2"/>
              <c:layout>
                <c:manualLayout>
                  <c:x val="-2.5885179845477061E-2"/>
                  <c:y val="4.2739023819205753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8-C8CE-4F29-8CE1-D748AE2EA6CF}"/>
                </c:ext>
              </c:extLst>
            </c:dLbl>
            <c:dLbl>
              <c:idx val="3"/>
              <c:layout>
                <c:manualLayout>
                  <c:x val="-3.2211896048205242E-2"/>
                  <c:y val="4.1994504208100747E-2"/>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9-C8CE-4F29-8CE1-D748AE2EA6CF}"/>
                </c:ext>
              </c:extLst>
            </c:dLbl>
            <c:dLbl>
              <c:idx val="4"/>
              <c:layout>
                <c:manualLayout>
                  <c:x val="-1.1888654763225019E-4"/>
                  <c:y val="2.1174817936490333E-3"/>
                </c:manualLayout>
              </c:layout>
              <c:dLblPos val="r"/>
              <c:showLegendKey val="0"/>
              <c:showVal val="1"/>
              <c:showCatName val="0"/>
              <c:showSerName val="0"/>
              <c:showPercent val="0"/>
              <c:showBubbleSize val="0"/>
              <c:extLst xmlns:star_td="http://www.star-group.net/schemas/transit/filters/textdata">
                <c:ext xmlns:c15="http://schemas.microsoft.com/office/drawing/2012/chart" uri="{CE6537A1-D6FC-4f65-9D91-7224C49458BB}"/>
                <c:ext xmlns:c16="http://schemas.microsoft.com/office/drawing/2014/chart" uri="{C3380CC4-5D6E-409C-BE32-E72D297353CC}">
                  <c16:uniqueId val="{0000000A-C8CE-4F29-8CE1-D748AE2EA6CF}"/>
                </c:ext>
              </c:extLst>
            </c:dLbl>
            <c:numFmt formatCode="0.0" sourceLinked="0"/>
            <c:spPr>
              <a:solidFill>
                <a:sysClr val="window" lastClr="FFFFFF"/>
              </a:solidFill>
              <a:ln w="25400">
                <a:noFill/>
              </a:ln>
              <a:effectLst/>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fr-FR"/>
              </a:p>
            </c:txPr>
            <c:showLegendKey val="0"/>
            <c:showVal val="1"/>
            <c:showCatName val="0"/>
            <c:showSerName val="0"/>
            <c:showPercent val="0"/>
            <c:showBubbleSize val="0"/>
            <c:showLeaderLines val="0"/>
            <c:extLst xmlns:star_td="http://www.star-group.net/schemas/transit/filters/textdata">
              <c:ext xmlns:c15="http://schemas.microsoft.com/office/drawing/2012/chart" uri="{CE6537A1-D6FC-4f65-9D91-7224C49458BB}">
                <c15:showLeaderLines val="0"/>
              </c:ext>
            </c:extLst>
          </c:dLbls>
          <c:cat>
            <c:strRef>
              <c:f>'Données 1'!$C$22:$F$22</c:f>
              <c:strCache>
                <c:ptCount val="4"/>
                <c:pt idx="0">
                  <c:v>B25</c:v>
                </c:pt>
                <c:pt idx="1">
                  <c:v>PF26</c:v>
                </c:pt>
                <c:pt idx="2">
                  <c:v>PF27</c:v>
                </c:pt>
                <c:pt idx="3">
                  <c:v>PF28</c:v>
                </c:pt>
              </c:strCache>
            </c:strRef>
          </c:cat>
          <c:val>
            <c:numRef>
              <c:f>'Données 1'!$C$25:$F$25</c:f>
              <c:numCache>
                <c:formatCode>0.0</c:formatCode>
                <c:ptCount val="4"/>
                <c:pt idx="0">
                  <c:v>4326.8</c:v>
                </c:pt>
                <c:pt idx="1">
                  <c:v>4409.3999999999996</c:v>
                </c:pt>
                <c:pt idx="2">
                  <c:v>4590.3999999999996</c:v>
                </c:pt>
                <c:pt idx="3">
                  <c:v>4651.3999999999996</c:v>
                </c:pt>
              </c:numCache>
            </c:numRef>
          </c:val>
          <c:smooth val="0"/>
          <c:extLst xmlns:star_td="http://www.star-group.net/schemas/transit/filters/textdata">
            <c:ext xmlns:c16="http://schemas.microsoft.com/office/drawing/2014/chart" uri="{C3380CC4-5D6E-409C-BE32-E72D297353CC}">
              <c16:uniqueId val="{0000000B-C8CE-4F29-8CE1-D748AE2EA6CF}"/>
            </c:ext>
          </c:extLst>
        </c:ser>
        <c:dLbls>
          <c:showLegendKey val="0"/>
          <c:showVal val="0"/>
          <c:showCatName val="0"/>
          <c:showSerName val="0"/>
          <c:showPercent val="0"/>
          <c:showBubbleSize val="0"/>
        </c:dLbls>
        <c:marker val="1"/>
        <c:smooth val="0"/>
        <c:axId val="153489792"/>
        <c:axId val="153491328"/>
      </c:lineChart>
      <c:catAx>
        <c:axId val="153489792"/>
        <c:scaling>
          <c:orientation val="minMax"/>
        </c:scaling>
        <c:delete val="0"/>
        <c:axPos val="b"/>
        <c:numFmt formatCode="General" sourceLinked="1"/>
        <c:majorTickMark val="none"/>
        <c:minorTickMark val="none"/>
        <c:tickLblPos val="low"/>
        <c:spPr>
          <a:ln w="12700">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fr-FR"/>
          </a:p>
        </c:txPr>
        <c:crossAx val="153491328"/>
        <c:crosses val="autoZero"/>
        <c:auto val="1"/>
        <c:lblAlgn val="ctr"/>
        <c:lblOffset val="100"/>
        <c:tickLblSkip val="1"/>
        <c:tickMarkSkip val="1"/>
        <c:noMultiLvlLbl val="0"/>
      </c:catAx>
      <c:valAx>
        <c:axId val="153491328"/>
        <c:scaling>
          <c:orientation val="minMax"/>
          <c:max val="4800"/>
          <c:min val="4300"/>
        </c:scaling>
        <c:delete val="0"/>
        <c:axPos val="l"/>
        <c:majorGridlines>
          <c:spPr>
            <a:ln w="3175">
              <a:solidFill>
                <a:schemeClr val="bg1">
                  <a:lumMod val="75000"/>
                </a:schemeClr>
              </a:solidFill>
              <a:prstDash val="solid"/>
            </a:ln>
          </c:spPr>
        </c:majorGridlines>
        <c:numFmt formatCode="0" sourceLinked="0"/>
        <c:majorTickMark val="out"/>
        <c:minorTickMark val="none"/>
        <c:tickLblPos val="nextTo"/>
        <c:spPr>
          <a:ln w="9525">
            <a:noFill/>
          </a:ln>
        </c:spPr>
        <c:txPr>
          <a:bodyPr rot="0" vert="horz"/>
          <a:lstStyle/>
          <a:p>
            <a:pPr>
              <a:defRPr sz="800" b="0" i="0" u="none" strike="noStrike" baseline="0">
                <a:solidFill>
                  <a:srgbClr val="000000"/>
                </a:solidFill>
                <a:latin typeface="Arial"/>
                <a:ea typeface="Arial"/>
                <a:cs typeface="Arial"/>
              </a:defRPr>
            </a:pPr>
            <a:endParaRPr lang="fr-FR"/>
          </a:p>
        </c:txPr>
        <c:crossAx val="153489792"/>
        <c:crosses val="autoZero"/>
        <c:crossBetween val="midCat"/>
        <c:majorUnit val="50"/>
      </c:valAx>
      <c:spPr>
        <a:noFill/>
        <a:ln w="25400">
          <a:noFill/>
        </a:ln>
      </c:spPr>
    </c:plotArea>
    <c:legend>
      <c:legendPos val="b"/>
      <c:layout>
        <c:manualLayout>
          <c:xMode val="edge"/>
          <c:yMode val="edge"/>
          <c:x val="0.14119581531181841"/>
          <c:y val="0.92278067354256776"/>
          <c:w val="0.62558959003364012"/>
          <c:h val="6.6470247557083528E-2"/>
        </c:manualLayout>
      </c:layout>
      <c:overlay val="0"/>
      <c:spPr>
        <a:solidFill>
          <a:srgbClr val="FFFFFF"/>
        </a:solidFill>
        <a:ln w="25400">
          <a:noFill/>
        </a:ln>
      </c:spPr>
      <c:txPr>
        <a:bodyPr/>
        <a:lstStyle/>
        <a:p>
          <a:pPr>
            <a:defRPr sz="845" b="0" i="0" u="none" strike="noStrike" baseline="0">
              <a:solidFill>
                <a:srgbClr val="000000"/>
              </a:solidFill>
              <a:latin typeface="Arial"/>
              <a:ea typeface="Arial"/>
              <a:cs typeface="Arial"/>
            </a:defRPr>
          </a:pPr>
          <a:endParaRPr lang="fr-FR"/>
        </a:p>
      </c:txPr>
    </c:legend>
    <c:plotVisOnly val="1"/>
    <c:dispBlanksAs val="gap"/>
    <c:showDLblsOverMax val="0"/>
  </c:chart>
  <c:spPr>
    <a:solidFill>
      <a:schemeClr val="bg1"/>
    </a:solidFill>
    <a:ln w="9525">
      <a:noFill/>
    </a:ln>
  </c:spPr>
  <c:txPr>
    <a:bodyPr/>
    <a:lstStyle/>
    <a:p>
      <a:pPr>
        <a:defRPr sz="1000" b="0" i="0" u="none" strike="noStrike" baseline="0">
          <a:solidFill>
            <a:srgbClr val="000000"/>
          </a:solidFill>
          <a:latin typeface="Arial"/>
          <a:ea typeface="Arial"/>
          <a:cs typeface="Arial"/>
        </a:defRPr>
      </a:pPr>
      <a:endParaRPr lang="fr-F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0.05758</cdr:x>
      <cdr:y>0.01147</cdr:y>
    </cdr:from>
    <cdr:to>
      <cdr:x>0.12676</cdr:x>
      <cdr:y>0.0446</cdr:y>
    </cdr:to>
    <cdr:sp macro="" textlink="">
      <cdr:nvSpPr>
        <cdr:cNvPr id="2049" name="Text Box 1"/>
        <cdr:cNvSpPr txBox="1">
          <a:spLocks xmlns:a="http://schemas.openxmlformats.org/drawingml/2006/main" noChangeArrowheads="1"/>
        </cdr:cNvSpPr>
      </cdr:nvSpPr>
      <cdr:spPr bwMode="auto">
        <a:xfrm xmlns:a="http://schemas.openxmlformats.org/drawingml/2006/main">
          <a:off x="389409" y="46534"/>
          <a:ext cx="467841" cy="13444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fr-CH" sz="700" b="0" i="0" u="none" strike="noStrike" baseline="0">
              <a:solidFill>
                <a:srgbClr val="000000"/>
              </a:solidFill>
              <a:latin typeface="Arial"/>
              <a:cs typeface="Arial"/>
            </a:rPr>
            <a:t>mios/Mio.</a:t>
          </a:r>
        </a:p>
      </cdr:txBody>
    </cdr:sp>
  </cdr:relSizeAnchor>
</c:userShape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customXml/itemProps3.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A3EE88-7075-4E1A-9F93-9539ABA9D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fr_RGC_</Template>
  <TotalTime>0</TotalTime>
  <Pages>64</Pages>
  <Words>30156</Words>
  <Characters>165863</Characters>
  <Application>Microsoft Office Word</Application>
  <DocSecurity>0</DocSecurity>
  <Lines>1382</Lines>
  <Paragraphs>391</Paragraphs>
  <ScaleCrop>false</ScaleCrop>
  <HeadingPairs>
    <vt:vector size="4" baseType="variant">
      <vt:variant>
        <vt:lpstr>Titre</vt:lpstr>
      </vt:variant>
      <vt:variant>
        <vt:i4>1</vt:i4>
      </vt:variant>
      <vt:variant>
        <vt:lpstr>Titres</vt:lpstr>
      </vt:variant>
      <vt:variant>
        <vt:i4>27</vt:i4>
      </vt:variant>
    </vt:vector>
  </HeadingPairs>
  <TitlesOfParts>
    <vt:vector size="28" baseType="lpstr">
      <vt:lpstr/>
      <vt:lpstr>Einleitung</vt:lpstr>
      <vt:lpstr>Warum braucht es ein PSKF?</vt:lpstr>
      <vt:lpstr>    Vorgeschriebenes Haushaltsgleichgewicht</vt:lpstr>
      <vt:lpstr>    Ergebnis des aktualisierten Finanzplans</vt:lpstr>
      <vt:lpstr>    Ungewissheit über die Entwicklung der externen Einnahmen</vt:lpstr>
      <vt:lpstr>    Auswirkungen des Entlastungspakets 2027 des Bundes</vt:lpstr>
      <vt:lpstr>Strategie und Ziele des Staatsrats</vt:lpstr>
      <vt:lpstr>    Partizipatives Verfahren</vt:lpstr>
      <vt:lpstr>        Massnahmenvorschläge</vt:lpstr>
      <vt:lpstr>        Die Arbeitsgruppen</vt:lpstr>
      <vt:lpstr>        Wahl der Massnahmen</vt:lpstr>
      <vt:lpstr>    Zielsetzungen</vt:lpstr>
      <vt:lpstr>    Fallengelassene oder zurückgestellte Massnahmen</vt:lpstr>
      <vt:lpstr>        Fallengelassene Massnahmen</vt:lpstr>
      <vt:lpstr>        Zurückgestellte Massnahmen</vt:lpstr>
      <vt:lpstr>        Weitergehende Prüfung</vt:lpstr>
      <vt:lpstr>Massnahmenprogramm</vt:lpstr>
      <vt:lpstr>    Zahlen</vt:lpstr>
      <vt:lpstr>    Massnahmen in der Zuständigkeit des Grossen Rates</vt:lpstr>
      <vt:lpstr>        Einnahmen</vt:lpstr>
      <vt:lpstr>        Personal</vt:lpstr>
      <vt:lpstr>        Subventionierung</vt:lpstr>
      <vt:lpstr>        Projekte und Reformen</vt:lpstr>
      <vt:lpstr>    Massnahmen in der Zuständigkeit des Staatsrates</vt:lpstr>
      <vt:lpstr>        Einnahmen</vt:lpstr>
      <vt:lpstr>        Personal</vt:lpstr>
      <vt:lpstr>        Subventionierung</vt:lpstr>
    </vt:vector>
  </TitlesOfParts>
  <Company>Etat de Fribourg</Company>
  <LinksUpToDate>false</LinksUpToDate>
  <CharactersWithSpaces>195628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Gaudiano Fabrice</cp:lastModifiedBy>
  <cp:revision>3</cp:revision>
  <cp:lastPrinted>2025-04-03T08:13:00Z</cp:lastPrinted>
  <dcterms:created xsi:type="dcterms:W3CDTF">2025-04-29T11:06:00Z</dcterms:created>
  <dcterms:modified xsi:type="dcterms:W3CDTF">2025-04-29T11:06:00Z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