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EE02D" w14:textId="77777777" w:rsidR="00C4522B" w:rsidRDefault="007218F7">
      <w:pPr>
        <w:pStyle w:val="berschrift1"/>
        <w:spacing w:before="73"/>
        <w:ind w:right="130"/>
      </w:pPr>
      <w:r>
        <w:t xml:space="preserve">Musterreglement zum Reglement über </w:t>
      </w:r>
      <w:r w:rsidR="00C3241E">
        <w:t xml:space="preserve">die </w:t>
      </w:r>
      <w:r w:rsidR="00FE4FED">
        <w:t>G</w:t>
      </w:r>
      <w:r>
        <w:t>ebühren und Ersatzabgaben im Raumplanungs- und Bauwesen</w:t>
      </w:r>
    </w:p>
    <w:p w14:paraId="4BBB00A7" w14:textId="77777777" w:rsidR="00C4522B" w:rsidRPr="000D5D21" w:rsidRDefault="004B6FC8">
      <w:pPr>
        <w:spacing w:before="2"/>
        <w:ind w:left="138" w:right="130"/>
        <w:rPr>
          <w:i/>
        </w:rPr>
      </w:pPr>
      <w:r w:rsidRPr="000D5D21">
        <w:rPr>
          <w:i/>
          <w:spacing w:val="-3"/>
        </w:rPr>
        <w:t>Kommentar</w:t>
      </w:r>
    </w:p>
    <w:p w14:paraId="1DC19835" w14:textId="77777777" w:rsidR="00C4522B" w:rsidRPr="00BE325D" w:rsidRDefault="00C4522B" w:rsidP="000D5D21">
      <w:pPr>
        <w:pStyle w:val="Textkrper"/>
        <w:spacing w:before="8"/>
        <w:rPr>
          <w:i/>
          <w:sz w:val="14"/>
          <w:szCs w:val="14"/>
          <w:lang w:eastAsia="fr-CH" w:bidi="fr-CH"/>
        </w:rPr>
      </w:pPr>
    </w:p>
    <w:p w14:paraId="26F8FB74" w14:textId="77777777" w:rsidR="00C4522B" w:rsidRPr="000D5D21" w:rsidRDefault="007218F7">
      <w:pPr>
        <w:pStyle w:val="berschrift1"/>
        <w:spacing w:before="1"/>
      </w:pPr>
      <w:r w:rsidRPr="000D5D21">
        <w:rPr>
          <w:spacing w:val="-3"/>
        </w:rPr>
        <w:t>Artikel</w:t>
      </w:r>
      <w:r w:rsidRPr="000D5D21">
        <w:rPr>
          <w:spacing w:val="1"/>
        </w:rPr>
        <w:t xml:space="preserve"> </w:t>
      </w:r>
      <w:r w:rsidRPr="000D5D21">
        <w:t>1</w:t>
      </w:r>
    </w:p>
    <w:p w14:paraId="38D34E95" w14:textId="77777777" w:rsidR="00AB15BF" w:rsidRPr="00DA3607" w:rsidRDefault="00AB15BF" w:rsidP="00AB15BF">
      <w:pPr>
        <w:pStyle w:val="Textkrper"/>
        <w:spacing w:before="3"/>
        <w:ind w:left="138" w:right="130"/>
      </w:pPr>
      <w:r w:rsidRPr="00DA3607">
        <w:t>Abs. 1: Die Rechtsgrundlagen für die Erhebung der Gebühren und Ersatzabgaben sind Art. 61 und 135a RPBG.</w:t>
      </w:r>
    </w:p>
    <w:p w14:paraId="1D7A81DF" w14:textId="77777777" w:rsidR="00AB15BF" w:rsidRPr="00DA3607" w:rsidRDefault="00AB15BF" w:rsidP="00AB15BF">
      <w:pPr>
        <w:pStyle w:val="Textkrper"/>
        <w:spacing w:before="3"/>
        <w:ind w:left="138" w:right="130"/>
      </w:pPr>
      <w:r w:rsidRPr="00DA3607">
        <w:t xml:space="preserve">Abs. 2: Die Zuständigkeit, die Beträge festzulegen, kann </w:t>
      </w:r>
      <w:r w:rsidR="00DA3607">
        <w:t>dem</w:t>
      </w:r>
      <w:r w:rsidRPr="00DA3607">
        <w:t xml:space="preserve"> Gemeinderat übertragen werden. In diesem Fall müssen die Artikel, mit denen die Gebühren und Ersatzabgaben festgelegt werden, dies unter Angabe des zulässigen </w:t>
      </w:r>
      <w:r w:rsidR="00DA3607" w:rsidRPr="00DA3607">
        <w:t>Höchstbetrags</w:t>
      </w:r>
      <w:r w:rsidRPr="00DA3607">
        <w:t xml:space="preserve"> präzisieren.</w:t>
      </w:r>
    </w:p>
    <w:p w14:paraId="7FD51662" w14:textId="77777777" w:rsidR="00C4522B" w:rsidRPr="00BE325D" w:rsidRDefault="00C4522B" w:rsidP="000D5D21">
      <w:pPr>
        <w:pStyle w:val="Textkrper"/>
        <w:spacing w:before="8"/>
        <w:rPr>
          <w:i/>
          <w:sz w:val="14"/>
          <w:szCs w:val="14"/>
          <w:lang w:eastAsia="fr-CH" w:bidi="fr-CH"/>
        </w:rPr>
      </w:pPr>
    </w:p>
    <w:p w14:paraId="2CC8ADA8" w14:textId="77777777" w:rsidR="00C4522B" w:rsidRDefault="007218F7">
      <w:pPr>
        <w:pStyle w:val="berschrift1"/>
        <w:spacing w:before="1"/>
      </w:pPr>
      <w:r>
        <w:t>Artikel 3</w:t>
      </w:r>
    </w:p>
    <w:p w14:paraId="29BAC9D8" w14:textId="27AD3F0A" w:rsidR="00C4522B" w:rsidRDefault="007218F7">
      <w:pPr>
        <w:pStyle w:val="Textkrper"/>
        <w:spacing w:before="3"/>
        <w:ind w:left="138" w:right="130"/>
      </w:pPr>
      <w:r>
        <w:t>Die Zuständigkeit zur Kontrolle der Arbeiten und zur Erteilung der Bezugsbewilligung ergibt sich aus Art. 165 Abs. 1 RPBG und 110 RPBR, beziehungsweise Art. 168 RPBG.</w:t>
      </w:r>
      <w:r w:rsidR="00417ABF">
        <w:t xml:space="preserve"> </w:t>
      </w:r>
      <w:r w:rsidR="00417ABF" w:rsidRPr="00417ABF">
        <w:t xml:space="preserve">Die Zuständigkeit </w:t>
      </w:r>
      <w:r w:rsidR="00FC1060">
        <w:t xml:space="preserve">und die Anforderungen </w:t>
      </w:r>
      <w:r w:rsidR="00417ABF" w:rsidRPr="00417ABF">
        <w:t>zur Erfassung von Baugesuchen für Gesuchsteller durch die Gemeinde ergibt sich aus Art.</w:t>
      </w:r>
      <w:r w:rsidR="00417ABF">
        <w:t> </w:t>
      </w:r>
      <w:r w:rsidR="00417ABF" w:rsidRPr="00417ABF">
        <w:t xml:space="preserve">135a Abs. 3 RPBG </w:t>
      </w:r>
      <w:r w:rsidR="00FC1060">
        <w:t>und</w:t>
      </w:r>
      <w:r w:rsidR="00417ABF" w:rsidRPr="00417ABF">
        <w:t xml:space="preserve"> Art. 89a RPBR.</w:t>
      </w:r>
    </w:p>
    <w:p w14:paraId="282234E1" w14:textId="2795670F" w:rsidR="000D5D21" w:rsidRPr="00947DA1" w:rsidRDefault="000D5D21">
      <w:pPr>
        <w:pStyle w:val="Textkrper"/>
        <w:spacing w:before="3"/>
        <w:ind w:left="138" w:right="130"/>
      </w:pPr>
      <w:r w:rsidRPr="00947DA1">
        <w:t>In Anwendung von Art. 42 Abs. 4 KGVG, der am 1. Juli 2021 in Kraft getreten ist, können die Gemeinden im Bereich der Gebäudekontrolle und weiterer Tätigkeiten für die Sicherheit im Sinne der Gesetzgebung im Bereich de</w:t>
      </w:r>
      <w:r w:rsidR="00386329" w:rsidRPr="00947DA1">
        <w:t xml:space="preserve">r Prävention gegen Brand und Naturgefahren </w:t>
      </w:r>
      <w:r w:rsidRPr="00947DA1">
        <w:t>Gebühren erheben; dazu braucht es als Grundlage ein Reglement, das gemäss der Gesetzgebung über die Gemeinden erlassen wird. Insoweit diese Art der Kontrolle auch in die Zuständigkeit der Baupolizei fällt, erscheint es sinnvoll, diese Bestimmung des kantonalen Rechts im Rahmen des vorliegenden Reglements zu konkretisieren, und zwar in Bst. e von seinem Artikel 3.</w:t>
      </w:r>
    </w:p>
    <w:p w14:paraId="7DDE25B4" w14:textId="77777777" w:rsidR="00C4522B" w:rsidRPr="00BE325D" w:rsidRDefault="00C4522B" w:rsidP="000D5D21">
      <w:pPr>
        <w:pStyle w:val="Textkrper"/>
        <w:spacing w:before="8"/>
        <w:rPr>
          <w:i/>
          <w:sz w:val="14"/>
          <w:szCs w:val="14"/>
          <w:lang w:eastAsia="fr-CH" w:bidi="fr-CH"/>
        </w:rPr>
      </w:pPr>
    </w:p>
    <w:p w14:paraId="4E595A1C" w14:textId="77777777" w:rsidR="00C4522B" w:rsidRDefault="007218F7">
      <w:pPr>
        <w:pStyle w:val="berschrift1"/>
      </w:pPr>
      <w:r>
        <w:t>Artikel 4</w:t>
      </w:r>
    </w:p>
    <w:p w14:paraId="54E2B76B" w14:textId="77777777" w:rsidR="00C4522B" w:rsidRDefault="007218F7">
      <w:pPr>
        <w:pStyle w:val="Textkrper"/>
        <w:spacing w:before="1"/>
        <w:ind w:left="138" w:right="131"/>
        <w:jc w:val="both"/>
      </w:pPr>
      <w:r>
        <w:rPr>
          <w:spacing w:val="-3"/>
        </w:rPr>
        <w:t xml:space="preserve">Der Stundenansatz ist einheitlich </w:t>
      </w:r>
      <w:r>
        <w:t xml:space="preserve">und gemischt, </w:t>
      </w:r>
      <w:r>
        <w:rPr>
          <w:spacing w:val="-3"/>
        </w:rPr>
        <w:t xml:space="preserve">was bedeutet, dass </w:t>
      </w:r>
      <w:r>
        <w:t xml:space="preserve">es </w:t>
      </w:r>
      <w:r>
        <w:rPr>
          <w:spacing w:val="-3"/>
        </w:rPr>
        <w:t xml:space="preserve">nicht </w:t>
      </w:r>
      <w:r>
        <w:t xml:space="preserve">nur </w:t>
      </w:r>
      <w:r>
        <w:rPr>
          <w:spacing w:val="-3"/>
        </w:rPr>
        <w:t xml:space="preserve">einen anwendbaren </w:t>
      </w:r>
      <w:r>
        <w:t xml:space="preserve">Tarif für </w:t>
      </w:r>
      <w:r>
        <w:rPr>
          <w:spacing w:val="-3"/>
        </w:rPr>
        <w:t xml:space="preserve">die Dienstleistungen </w:t>
      </w:r>
      <w:r>
        <w:t xml:space="preserve">der </w:t>
      </w:r>
      <w:r>
        <w:rPr>
          <w:spacing w:val="-3"/>
        </w:rPr>
        <w:t xml:space="preserve">Gemeindeverwaltung, unabhängig davon, </w:t>
      </w:r>
      <w:r>
        <w:t xml:space="preserve">ob </w:t>
      </w:r>
      <w:r>
        <w:rPr>
          <w:spacing w:val="-3"/>
        </w:rPr>
        <w:t xml:space="preserve">die Leistung von einer Einzelperson oder </w:t>
      </w:r>
      <w:r w:rsidR="00A6014D">
        <w:t>einem</w:t>
      </w:r>
      <w:r>
        <w:t xml:space="preserve"> </w:t>
      </w:r>
      <w:r>
        <w:rPr>
          <w:spacing w:val="-3"/>
        </w:rPr>
        <w:t xml:space="preserve">Kollektivorgan erbracht wurde, </w:t>
      </w:r>
      <w:r>
        <w:t xml:space="preserve">gibt. </w:t>
      </w:r>
      <w:r>
        <w:rPr>
          <w:spacing w:val="-3"/>
        </w:rPr>
        <w:t xml:space="preserve">Der Tarif ist </w:t>
      </w:r>
      <w:r>
        <w:t xml:space="preserve">in </w:t>
      </w:r>
      <w:r>
        <w:rPr>
          <w:spacing w:val="-3"/>
        </w:rPr>
        <w:t xml:space="preserve">diesem Sinne gemischt, als dieser </w:t>
      </w:r>
      <w:r>
        <w:t xml:space="preserve">aus </w:t>
      </w:r>
      <w:r>
        <w:rPr>
          <w:spacing w:val="-3"/>
        </w:rPr>
        <w:t xml:space="preserve">einem Mittel </w:t>
      </w:r>
      <w:r>
        <w:t xml:space="preserve">der </w:t>
      </w:r>
      <w:r>
        <w:rPr>
          <w:spacing w:val="-3"/>
        </w:rPr>
        <w:t xml:space="preserve">betreffenden Gemeindepersonalgehälter </w:t>
      </w:r>
      <w:r>
        <w:t xml:space="preserve">und der </w:t>
      </w:r>
      <w:r>
        <w:rPr>
          <w:spacing w:val="-3"/>
        </w:rPr>
        <w:t xml:space="preserve">Kosten </w:t>
      </w:r>
      <w:r>
        <w:t xml:space="preserve">für den </w:t>
      </w:r>
      <w:r>
        <w:rPr>
          <w:spacing w:val="-3"/>
        </w:rPr>
        <w:t xml:space="preserve">erbrachten Zeitaufwand zusammengesetzt </w:t>
      </w:r>
      <w:r>
        <w:t xml:space="preserve">ist. </w:t>
      </w:r>
      <w:r>
        <w:rPr>
          <w:spacing w:val="-3"/>
        </w:rPr>
        <w:t xml:space="preserve">Allerdings </w:t>
      </w:r>
      <w:r>
        <w:t xml:space="preserve">können </w:t>
      </w:r>
      <w:r>
        <w:rPr>
          <w:spacing w:val="-3"/>
        </w:rPr>
        <w:t xml:space="preserve">die Gemeindeorgane </w:t>
      </w:r>
      <w:r>
        <w:rPr>
          <w:spacing w:val="-2"/>
        </w:rPr>
        <w:t xml:space="preserve">mit </w:t>
      </w:r>
      <w:r>
        <w:rPr>
          <w:spacing w:val="-3"/>
        </w:rPr>
        <w:t xml:space="preserve">einem Dossier konfrontiert werden, dessen technische Komplexität den Beizug eines Ingenieurs oder eines Raumplaners erfordert. Das Gemeindereglement </w:t>
      </w:r>
      <w:r>
        <w:t xml:space="preserve">legt </w:t>
      </w:r>
      <w:r>
        <w:rPr>
          <w:spacing w:val="-5"/>
        </w:rPr>
        <w:t xml:space="preserve">für </w:t>
      </w:r>
      <w:r>
        <w:rPr>
          <w:spacing w:val="-3"/>
        </w:rPr>
        <w:t xml:space="preserve">solche Dienstleistungen einen Stundenansatz, </w:t>
      </w:r>
      <w:r>
        <w:t xml:space="preserve">der </w:t>
      </w:r>
      <w:r>
        <w:rPr>
          <w:spacing w:val="-3"/>
        </w:rPr>
        <w:t xml:space="preserve">demjenigen </w:t>
      </w:r>
      <w:r>
        <w:t xml:space="preserve">der SIA </w:t>
      </w:r>
      <w:r>
        <w:rPr>
          <w:spacing w:val="-3"/>
        </w:rPr>
        <w:t xml:space="preserve">entspricht, </w:t>
      </w:r>
      <w:r>
        <w:t>fest.</w:t>
      </w:r>
    </w:p>
    <w:p w14:paraId="18A35625" w14:textId="77777777" w:rsidR="00C4522B" w:rsidRPr="00BE325D" w:rsidRDefault="00C4522B" w:rsidP="000D5D21">
      <w:pPr>
        <w:pStyle w:val="Textkrper"/>
        <w:spacing w:before="8"/>
        <w:rPr>
          <w:i/>
          <w:sz w:val="14"/>
          <w:szCs w:val="14"/>
          <w:lang w:eastAsia="fr-CH" w:bidi="fr-CH"/>
        </w:rPr>
      </w:pPr>
    </w:p>
    <w:p w14:paraId="4D2C8DDA" w14:textId="77777777" w:rsidR="00C4522B" w:rsidRDefault="007218F7">
      <w:pPr>
        <w:spacing w:before="1"/>
        <w:ind w:left="138" w:right="133" w:firstLine="708"/>
        <w:jc w:val="both"/>
        <w:rPr>
          <w:sz w:val="20"/>
        </w:rPr>
      </w:pPr>
      <w:r>
        <w:rPr>
          <w:position w:val="10"/>
          <w:sz w:val="13"/>
        </w:rPr>
        <w:t>3</w:t>
      </w:r>
      <w:r w:rsidR="00A6014D">
        <w:rPr>
          <w:position w:val="10"/>
          <w:sz w:val="13"/>
        </w:rPr>
        <w:t xml:space="preserve"> </w:t>
      </w:r>
      <w:r>
        <w:rPr>
          <w:sz w:val="20"/>
        </w:rPr>
        <w:t>Die proportionale Gebühr beträgt Fr. …. Wenn die technische Komplexität eines Dossiers den Beizug eines Ingenieurs oder eines Raumplaners erfordert, wird für die Leistungen der Fachperson der Stundenansatz gemäss SIA angewandt.</w:t>
      </w:r>
    </w:p>
    <w:p w14:paraId="414AB7D1" w14:textId="77777777" w:rsidR="00C4522B" w:rsidRPr="00BE325D" w:rsidRDefault="00C4522B" w:rsidP="000D5D21">
      <w:pPr>
        <w:pStyle w:val="Textkrper"/>
        <w:spacing w:before="8"/>
        <w:rPr>
          <w:i/>
          <w:sz w:val="14"/>
          <w:szCs w:val="14"/>
          <w:lang w:eastAsia="fr-CH" w:bidi="fr-CH"/>
        </w:rPr>
      </w:pPr>
    </w:p>
    <w:p w14:paraId="6A7A9BAC" w14:textId="77777777" w:rsidR="00C4522B" w:rsidRDefault="007218F7">
      <w:pPr>
        <w:spacing w:line="252" w:lineRule="exact"/>
        <w:ind w:left="138"/>
        <w:rPr>
          <w:i/>
        </w:rPr>
      </w:pPr>
      <w:r>
        <w:rPr>
          <w:i/>
        </w:rPr>
        <w:t>Bemerkung:</w:t>
      </w:r>
    </w:p>
    <w:p w14:paraId="7CB31203" w14:textId="77777777" w:rsidR="00C4522B" w:rsidRDefault="007218F7">
      <w:pPr>
        <w:pStyle w:val="Textkrper"/>
        <w:ind w:left="137" w:right="126"/>
        <w:jc w:val="both"/>
      </w:pPr>
      <w:r>
        <w:rPr>
          <w:spacing w:val="-3"/>
        </w:rPr>
        <w:t xml:space="preserve">Eine Ergänzung </w:t>
      </w:r>
      <w:r>
        <w:t xml:space="preserve">im </w:t>
      </w:r>
      <w:r>
        <w:rPr>
          <w:spacing w:val="-3"/>
        </w:rPr>
        <w:t xml:space="preserve">Sinne von Abs. </w:t>
      </w:r>
      <w:r>
        <w:t xml:space="preserve">3 kann </w:t>
      </w:r>
      <w:r>
        <w:rPr>
          <w:spacing w:val="-3"/>
        </w:rPr>
        <w:t xml:space="preserve">nur </w:t>
      </w:r>
      <w:r>
        <w:t xml:space="preserve">in </w:t>
      </w:r>
      <w:r>
        <w:rPr>
          <w:spacing w:val="-3"/>
        </w:rPr>
        <w:t xml:space="preserve">Anspruch genommen werden </w:t>
      </w:r>
      <w:r>
        <w:t xml:space="preserve">für </w:t>
      </w:r>
      <w:r>
        <w:rPr>
          <w:spacing w:val="-3"/>
        </w:rPr>
        <w:t>die</w:t>
      </w:r>
      <w:r>
        <w:rPr>
          <w:spacing w:val="55"/>
        </w:rPr>
        <w:t xml:space="preserve"> </w:t>
      </w:r>
      <w:r>
        <w:rPr>
          <w:spacing w:val="-3"/>
        </w:rPr>
        <w:t xml:space="preserve">Überprüfung </w:t>
      </w:r>
      <w:r>
        <w:t xml:space="preserve">der </w:t>
      </w:r>
      <w:r>
        <w:rPr>
          <w:spacing w:val="-3"/>
        </w:rPr>
        <w:t xml:space="preserve">technischen Belange eines Dossiers. Hingegen </w:t>
      </w:r>
      <w:r>
        <w:t xml:space="preserve">kann </w:t>
      </w:r>
      <w:r>
        <w:rPr>
          <w:spacing w:val="-3"/>
        </w:rPr>
        <w:t xml:space="preserve">die Gemeinde die Kosten </w:t>
      </w:r>
      <w:r>
        <w:t xml:space="preserve">für </w:t>
      </w:r>
      <w:r>
        <w:rPr>
          <w:spacing w:val="-3"/>
        </w:rPr>
        <w:t xml:space="preserve">die Mandatierung </w:t>
      </w:r>
      <w:r>
        <w:t xml:space="preserve">eines </w:t>
      </w:r>
      <w:r>
        <w:rPr>
          <w:spacing w:val="-3"/>
        </w:rPr>
        <w:t xml:space="preserve">Anwalts nicht </w:t>
      </w:r>
      <w:r>
        <w:t xml:space="preserve">den </w:t>
      </w:r>
      <w:r>
        <w:rPr>
          <w:spacing w:val="-3"/>
        </w:rPr>
        <w:t xml:space="preserve">Gesuchstellern überbinden. </w:t>
      </w:r>
      <w:r>
        <w:t xml:space="preserve">Im </w:t>
      </w:r>
      <w:r>
        <w:rPr>
          <w:spacing w:val="-3"/>
        </w:rPr>
        <w:t xml:space="preserve">Rahmen </w:t>
      </w:r>
      <w:r>
        <w:t xml:space="preserve">der </w:t>
      </w:r>
      <w:r>
        <w:rPr>
          <w:spacing w:val="-4"/>
        </w:rPr>
        <w:t xml:space="preserve">vom </w:t>
      </w:r>
      <w:r>
        <w:rPr>
          <w:spacing w:val="-3"/>
        </w:rPr>
        <w:t xml:space="preserve">RPBG übertragenen </w:t>
      </w:r>
      <w:r>
        <w:rPr>
          <w:spacing w:val="-4"/>
        </w:rPr>
        <w:t xml:space="preserve">Kompetenzen </w:t>
      </w:r>
      <w:r>
        <w:t xml:space="preserve">muss der </w:t>
      </w:r>
      <w:r>
        <w:rPr>
          <w:spacing w:val="-3"/>
        </w:rPr>
        <w:t xml:space="preserve">Gemeinderat </w:t>
      </w:r>
      <w:r>
        <w:t xml:space="preserve">fähig </w:t>
      </w:r>
      <w:r>
        <w:rPr>
          <w:spacing w:val="-3"/>
        </w:rPr>
        <w:t xml:space="preserve">sein, </w:t>
      </w:r>
      <w:r>
        <w:rPr>
          <w:spacing w:val="-4"/>
        </w:rPr>
        <w:t xml:space="preserve">die </w:t>
      </w:r>
      <w:r>
        <w:rPr>
          <w:spacing w:val="-3"/>
        </w:rPr>
        <w:t xml:space="preserve">juristischen Aspekte eines Baubewilligungs- oder DBP-Dossiers selber </w:t>
      </w:r>
      <w:r>
        <w:t xml:space="preserve">zu </w:t>
      </w:r>
      <w:r>
        <w:rPr>
          <w:spacing w:val="-3"/>
        </w:rPr>
        <w:t xml:space="preserve">behandeln. </w:t>
      </w:r>
      <w:r>
        <w:t xml:space="preserve">Es </w:t>
      </w:r>
      <w:r>
        <w:rPr>
          <w:spacing w:val="-3"/>
        </w:rPr>
        <w:t xml:space="preserve">ist hervorzuheben, dass den Gemeinden hinsichtlich </w:t>
      </w:r>
      <w:r>
        <w:t xml:space="preserve">der </w:t>
      </w:r>
      <w:r>
        <w:rPr>
          <w:spacing w:val="-3"/>
        </w:rPr>
        <w:t xml:space="preserve">Baubewilligungsdossiers, die </w:t>
      </w:r>
      <w:r>
        <w:t xml:space="preserve">im </w:t>
      </w:r>
      <w:r>
        <w:rPr>
          <w:spacing w:val="-3"/>
        </w:rPr>
        <w:t xml:space="preserve">ordentlichen Verfahren behandelt werden (insbesondere </w:t>
      </w:r>
      <w:r>
        <w:t xml:space="preserve">in </w:t>
      </w:r>
      <w:r>
        <w:rPr>
          <w:spacing w:val="-3"/>
        </w:rPr>
        <w:t xml:space="preserve">diesem Verfahren </w:t>
      </w:r>
      <w:r>
        <w:t xml:space="preserve">können </w:t>
      </w:r>
      <w:r>
        <w:rPr>
          <w:spacing w:val="-3"/>
        </w:rPr>
        <w:t xml:space="preserve">die Dossiers einen gewissen  Komplexitätsgrad aufweisen), </w:t>
      </w:r>
      <w:r>
        <w:t xml:space="preserve">keine </w:t>
      </w:r>
      <w:r>
        <w:rPr>
          <w:spacing w:val="-3"/>
        </w:rPr>
        <w:t xml:space="preserve">Entscheidungskompetenz zukommt </w:t>
      </w:r>
      <w:r>
        <w:t xml:space="preserve">– </w:t>
      </w:r>
      <w:r>
        <w:rPr>
          <w:spacing w:val="-3"/>
        </w:rPr>
        <w:t xml:space="preserve">ausser </w:t>
      </w:r>
      <w:r>
        <w:t xml:space="preserve">für </w:t>
      </w:r>
      <w:r>
        <w:rPr>
          <w:spacing w:val="-3"/>
        </w:rPr>
        <w:t xml:space="preserve">einige Ausnahmen (vereinfachtes Verfahren) </w:t>
      </w:r>
      <w:r>
        <w:t xml:space="preserve">–, </w:t>
      </w:r>
      <w:r>
        <w:rPr>
          <w:spacing w:val="-3"/>
        </w:rPr>
        <w:t xml:space="preserve">sondern </w:t>
      </w:r>
      <w:r w:rsidR="00A6014D">
        <w:rPr>
          <w:spacing w:val="-3"/>
        </w:rPr>
        <w:t xml:space="preserve">dass </w:t>
      </w:r>
      <w:r>
        <w:rPr>
          <w:spacing w:val="-3"/>
        </w:rPr>
        <w:t xml:space="preserve">diese </w:t>
      </w:r>
      <w:r>
        <w:t xml:space="preserve">nur ein </w:t>
      </w:r>
      <w:r>
        <w:rPr>
          <w:spacing w:val="-3"/>
        </w:rPr>
        <w:t xml:space="preserve">Gutachten zu erstellen </w:t>
      </w:r>
      <w:r>
        <w:t xml:space="preserve">haben </w:t>
      </w:r>
      <w:r>
        <w:rPr>
          <w:spacing w:val="-3"/>
        </w:rPr>
        <w:t xml:space="preserve">und zu </w:t>
      </w:r>
      <w:r>
        <w:t xml:space="preserve">den </w:t>
      </w:r>
      <w:r>
        <w:rPr>
          <w:spacing w:val="-3"/>
        </w:rPr>
        <w:t xml:space="preserve">Einsprachen </w:t>
      </w:r>
      <w:r>
        <w:t xml:space="preserve">eine </w:t>
      </w:r>
      <w:r>
        <w:rPr>
          <w:spacing w:val="-3"/>
        </w:rPr>
        <w:t xml:space="preserve">Stellungnahme abgeben können. </w:t>
      </w:r>
      <w:r>
        <w:rPr>
          <w:spacing w:val="-4"/>
        </w:rPr>
        <w:t xml:space="preserve">Soweit </w:t>
      </w:r>
      <w:r>
        <w:t xml:space="preserve">es </w:t>
      </w:r>
      <w:r>
        <w:rPr>
          <w:spacing w:val="-3"/>
        </w:rPr>
        <w:t xml:space="preserve">sich </w:t>
      </w:r>
      <w:r>
        <w:t xml:space="preserve">um </w:t>
      </w:r>
      <w:r>
        <w:rPr>
          <w:spacing w:val="-3"/>
        </w:rPr>
        <w:t xml:space="preserve">DBP handelt, kann daran erinnert werden, dass </w:t>
      </w:r>
      <w:r>
        <w:t xml:space="preserve">der </w:t>
      </w:r>
      <w:r>
        <w:rPr>
          <w:spacing w:val="-3"/>
        </w:rPr>
        <w:t xml:space="preserve">Gemeinderat </w:t>
      </w:r>
      <w:r>
        <w:t xml:space="preserve">für </w:t>
      </w:r>
      <w:r>
        <w:rPr>
          <w:spacing w:val="-3"/>
        </w:rPr>
        <w:t xml:space="preserve">seine Ortsplanung zuständig ist </w:t>
      </w:r>
      <w:r>
        <w:t xml:space="preserve">und </w:t>
      </w:r>
      <w:r>
        <w:rPr>
          <w:spacing w:val="-4"/>
        </w:rPr>
        <w:t>die</w:t>
      </w:r>
      <w:r>
        <w:rPr>
          <w:spacing w:val="53"/>
        </w:rPr>
        <w:t xml:space="preserve"> </w:t>
      </w:r>
      <w:r>
        <w:rPr>
          <w:spacing w:val="-3"/>
        </w:rPr>
        <w:t xml:space="preserve">Einsprachen als Behörde „erster Instanz“, hingegen aber nicht </w:t>
      </w:r>
      <w:r>
        <w:t xml:space="preserve">als </w:t>
      </w:r>
      <w:r>
        <w:rPr>
          <w:spacing w:val="-3"/>
        </w:rPr>
        <w:t xml:space="preserve">Beschwerdeinstanz </w:t>
      </w:r>
      <w:r>
        <w:t xml:space="preserve">(es </w:t>
      </w:r>
      <w:r>
        <w:rPr>
          <w:spacing w:val="-3"/>
        </w:rPr>
        <w:t xml:space="preserve">stehen </w:t>
      </w:r>
      <w:r>
        <w:t xml:space="preserve">auf </w:t>
      </w:r>
      <w:r>
        <w:rPr>
          <w:spacing w:val="-3"/>
        </w:rPr>
        <w:t xml:space="preserve">kantonaler Ebene zwei Beschwerdeinstanzen zur Verfügung) behandelt. </w:t>
      </w:r>
      <w:r>
        <w:t xml:space="preserve">Wenn </w:t>
      </w:r>
      <w:r>
        <w:rPr>
          <w:spacing w:val="-3"/>
        </w:rPr>
        <w:t xml:space="preserve">sich die Gemeinde demnach entschliesst, </w:t>
      </w:r>
      <w:r>
        <w:t xml:space="preserve">für </w:t>
      </w:r>
      <w:r>
        <w:rPr>
          <w:spacing w:val="-3"/>
        </w:rPr>
        <w:t xml:space="preserve">ein komplexes Dossier </w:t>
      </w:r>
      <w:r>
        <w:t xml:space="preserve">eine </w:t>
      </w:r>
      <w:r>
        <w:rPr>
          <w:spacing w:val="-3"/>
        </w:rPr>
        <w:t xml:space="preserve">juristische Beratung </w:t>
      </w:r>
      <w:r>
        <w:t xml:space="preserve">in </w:t>
      </w:r>
      <w:r>
        <w:rPr>
          <w:spacing w:val="-3"/>
        </w:rPr>
        <w:t xml:space="preserve">Anspruch zu nehmen, </w:t>
      </w:r>
      <w:r>
        <w:t xml:space="preserve">hat </w:t>
      </w:r>
      <w:r>
        <w:rPr>
          <w:spacing w:val="-3"/>
        </w:rPr>
        <w:t xml:space="preserve">sie auch die daraus entstehenden Kosten zu </w:t>
      </w:r>
      <w:r>
        <w:t xml:space="preserve">tragen. </w:t>
      </w:r>
      <w:r>
        <w:rPr>
          <w:spacing w:val="-3"/>
        </w:rPr>
        <w:t xml:space="preserve">Selbstverständlich ist aber </w:t>
      </w:r>
      <w:r>
        <w:t xml:space="preserve">der </w:t>
      </w:r>
      <w:r>
        <w:rPr>
          <w:spacing w:val="-3"/>
        </w:rPr>
        <w:t>Ausgang eines allfälligen strittigen Verfahrens (Parteientschädigung)</w:t>
      </w:r>
      <w:r>
        <w:rPr>
          <w:spacing w:val="2"/>
        </w:rPr>
        <w:t xml:space="preserve"> </w:t>
      </w:r>
      <w:r>
        <w:rPr>
          <w:spacing w:val="-4"/>
        </w:rPr>
        <w:t>vorbehalten.</w:t>
      </w:r>
    </w:p>
    <w:p w14:paraId="78493F7E" w14:textId="3B989FE5" w:rsidR="00C4522B" w:rsidRDefault="007218F7">
      <w:pPr>
        <w:pStyle w:val="berschrift1"/>
        <w:ind w:left="137"/>
      </w:pPr>
      <w:r>
        <w:lastRenderedPageBreak/>
        <w:t>Artikel</w:t>
      </w:r>
      <w:r w:rsidR="00384A09">
        <w:t xml:space="preserve"> 4 und 7</w:t>
      </w:r>
    </w:p>
    <w:p w14:paraId="360CDE06" w14:textId="2A0EEF84" w:rsidR="005C181A" w:rsidRDefault="00384A09" w:rsidP="005C181A">
      <w:pPr>
        <w:pStyle w:val="Textkrper"/>
        <w:spacing w:before="1"/>
        <w:ind w:left="137" w:right="130"/>
      </w:pPr>
      <w:r w:rsidRPr="00384A09">
        <w:t xml:space="preserve">Will die Gemeinde in </w:t>
      </w:r>
      <w:r>
        <w:t>ihrem Reglement</w:t>
      </w:r>
      <w:r w:rsidRPr="00384A09">
        <w:t xml:space="preserve"> Höchstbeträge festlegen, müssen diese je nach </w:t>
      </w:r>
      <w:r w:rsidR="005C181A">
        <w:t xml:space="preserve">Natur des Gesuches </w:t>
      </w:r>
      <w:r w:rsidRPr="00384A09">
        <w:t xml:space="preserve">(Detailbebauungsplan, Baubewilligung, </w:t>
      </w:r>
      <w:r w:rsidR="005C181A">
        <w:t>Bezugsbewilligung</w:t>
      </w:r>
      <w:r w:rsidRPr="00384A09">
        <w:t xml:space="preserve"> </w:t>
      </w:r>
      <w:r w:rsidR="005C181A">
        <w:t>usw</w:t>
      </w:r>
      <w:r w:rsidRPr="00384A09">
        <w:t>.) festgelegt werden. Darüber hinaus kann</w:t>
      </w:r>
      <w:r w:rsidR="005C181A" w:rsidRPr="005C181A">
        <w:t xml:space="preserve"> </w:t>
      </w:r>
      <w:r w:rsidR="005C181A">
        <w:t>d</w:t>
      </w:r>
      <w:r w:rsidR="005C181A" w:rsidRPr="005C181A">
        <w:t>ie Gemeindeversammlung</w:t>
      </w:r>
      <w:r w:rsidR="005C181A">
        <w:t xml:space="preserve"> oder der Generalrat</w:t>
      </w:r>
      <w:r w:rsidR="005C181A" w:rsidRPr="005C181A">
        <w:t xml:space="preserve"> dem Gemeinderat die Befugnis übertragen, den Tarif der </w:t>
      </w:r>
      <w:r w:rsidR="005C181A">
        <w:t>Gebühren und Ersatzabgaben</w:t>
      </w:r>
      <w:r w:rsidR="005C181A" w:rsidRPr="005C181A">
        <w:t xml:space="preserve"> festzusetzen, </w:t>
      </w:r>
      <w:r w:rsidR="005C181A">
        <w:t>sofern</w:t>
      </w:r>
      <w:r w:rsidR="005C181A" w:rsidRPr="005C181A">
        <w:t xml:space="preserve"> sie dabei den</w:t>
      </w:r>
      <w:r w:rsidR="005C181A">
        <w:t xml:space="preserve"> anwendbaren</w:t>
      </w:r>
      <w:r w:rsidR="005C181A" w:rsidRPr="005C181A">
        <w:t xml:space="preserve"> Höchstbetrag </w:t>
      </w:r>
      <w:r w:rsidR="005C181A">
        <w:t>entsprechend den vorgenannten Bedingungen</w:t>
      </w:r>
      <w:r w:rsidR="005C181A" w:rsidRPr="005C181A">
        <w:t xml:space="preserve"> </w:t>
      </w:r>
      <w:r w:rsidR="005C181A">
        <w:t xml:space="preserve">im Reglement </w:t>
      </w:r>
      <w:r w:rsidR="005C181A" w:rsidRPr="005C181A">
        <w:t>fest</w:t>
      </w:r>
      <w:r w:rsidR="005C181A">
        <w:t>legt (vgl. Art. 67 Abs. 3 GFHG)</w:t>
      </w:r>
      <w:r w:rsidR="005C181A" w:rsidRPr="005C181A">
        <w:t>.</w:t>
      </w:r>
    </w:p>
    <w:p w14:paraId="09DD72E4" w14:textId="77777777" w:rsidR="005C181A" w:rsidRDefault="005C181A" w:rsidP="005C181A">
      <w:pPr>
        <w:pStyle w:val="Textkrper"/>
        <w:spacing w:before="1"/>
        <w:ind w:left="137" w:right="130"/>
      </w:pPr>
    </w:p>
    <w:p w14:paraId="7EEBE7FB" w14:textId="598FE708" w:rsidR="001A6057" w:rsidRDefault="005C181A" w:rsidP="005C181A">
      <w:pPr>
        <w:pStyle w:val="berschrift1"/>
        <w:ind w:left="137"/>
      </w:pPr>
      <w:r>
        <w:t>Artikel 10</w:t>
      </w:r>
    </w:p>
    <w:p w14:paraId="009EF31B" w14:textId="4DED5EB7" w:rsidR="005C181A" w:rsidRDefault="005C181A" w:rsidP="001A6057">
      <w:pPr>
        <w:pStyle w:val="Textkrper"/>
        <w:spacing w:before="1"/>
        <w:ind w:left="135" w:right="661"/>
      </w:pPr>
      <w:r w:rsidRPr="005C181A">
        <w:t>An dieser Stelle ist das Datum der Gemeindeversammlung / de</w:t>
      </w:r>
      <w:r>
        <w:t>r Sitzung des</w:t>
      </w:r>
      <w:r w:rsidRPr="005C181A">
        <w:t xml:space="preserve"> Generalrates anzugeben, </w:t>
      </w:r>
      <w:r>
        <w:t xml:space="preserve">an dem </w:t>
      </w:r>
      <w:r w:rsidRPr="005C181A">
        <w:t>d</w:t>
      </w:r>
      <w:r>
        <w:t xml:space="preserve">as Reglement </w:t>
      </w:r>
      <w:r w:rsidRPr="005C181A">
        <w:t xml:space="preserve">angenommen </w:t>
      </w:r>
      <w:r>
        <w:t>worden ist</w:t>
      </w:r>
      <w:r w:rsidRPr="005C181A">
        <w:t>, und nicht das Datum der Genehmigung durch die zuständige Direktion</w:t>
      </w:r>
      <w:r>
        <w:t>.</w:t>
      </w:r>
    </w:p>
    <w:p w14:paraId="0DF2AC40" w14:textId="77777777" w:rsidR="005C181A" w:rsidRPr="00FA5A86" w:rsidRDefault="005C181A" w:rsidP="001A6057">
      <w:pPr>
        <w:pStyle w:val="Textkrper"/>
        <w:spacing w:before="1"/>
        <w:ind w:left="135" w:right="661"/>
        <w:rPr>
          <w:highlight w:val="cyan"/>
        </w:rPr>
      </w:pPr>
    </w:p>
    <w:p w14:paraId="3B2F8923" w14:textId="650764A4" w:rsidR="001A6057" w:rsidRPr="00FA5A86" w:rsidRDefault="00FA5A86" w:rsidP="001A6057">
      <w:pPr>
        <w:pStyle w:val="berschrift1"/>
      </w:pPr>
      <w:r w:rsidRPr="00FA5A86">
        <w:t xml:space="preserve">Vorgängige Anhörung des </w:t>
      </w:r>
      <w:proofErr w:type="spellStart"/>
      <w:r w:rsidRPr="00FA5A86">
        <w:t>Preisüberwachers</w:t>
      </w:r>
      <w:proofErr w:type="spellEnd"/>
      <w:r w:rsidR="001A6057" w:rsidRPr="00FA5A86">
        <w:t xml:space="preserve">: </w:t>
      </w:r>
    </w:p>
    <w:p w14:paraId="73381E47" w14:textId="2FD18AE5" w:rsidR="00C305CD" w:rsidRPr="00FA5A86" w:rsidRDefault="00C305CD" w:rsidP="001A6057">
      <w:pPr>
        <w:pStyle w:val="Textkrper"/>
        <w:spacing w:before="2"/>
        <w:ind w:left="134" w:right="134" w:firstLine="1"/>
        <w:jc w:val="both"/>
        <w:rPr>
          <w:highlight w:val="yellow"/>
        </w:rPr>
      </w:pPr>
      <w:r w:rsidRPr="00FA5A86">
        <w:t xml:space="preserve">Vor jeder Annahme oder Änderung der in diesem Reglement vorgesehenen Gebühren sind die Gemeinden verpflichtet, </w:t>
      </w:r>
      <w:r w:rsidR="00FA5A86" w:rsidRPr="00FA5A86">
        <w:t>den Preisüberwacher</w:t>
      </w:r>
      <w:r w:rsidRPr="00FA5A86">
        <w:t xml:space="preserve"> </w:t>
      </w:r>
      <w:r w:rsidR="00FA5A86" w:rsidRPr="00FA5A86">
        <w:t>vorgängig</w:t>
      </w:r>
      <w:r w:rsidRPr="00FA5A86">
        <w:t xml:space="preserve"> zu konsultieren (Art. 14 </w:t>
      </w:r>
      <w:proofErr w:type="spellStart"/>
      <w:r w:rsidR="00FA5A86" w:rsidRPr="00FA5A86">
        <w:t>PüG</w:t>
      </w:r>
      <w:proofErr w:type="spellEnd"/>
      <w:r w:rsidR="00FA5A86">
        <w:t xml:space="preserve">; vgl. </w:t>
      </w:r>
      <w:hyperlink r:id="rId7" w:history="1">
        <w:r w:rsidR="00FA5A86" w:rsidRPr="00576E65">
          <w:rPr>
            <w:rStyle w:val="Hyperlink"/>
          </w:rPr>
          <w:t>https://www.fr.ch/sites/default/files/2021-10/info-gema-232021--gemeindereglemente-und-statuten-der-gemeindeverbande.pdf</w:t>
        </w:r>
      </w:hyperlink>
      <w:r w:rsidR="00FA5A86">
        <w:t xml:space="preserve"> und </w:t>
      </w:r>
      <w:hyperlink r:id="rId8" w:history="1">
        <w:r w:rsidR="00FA5A86" w:rsidRPr="00576E65">
          <w:rPr>
            <w:rStyle w:val="Hyperlink"/>
          </w:rPr>
          <w:t>https://www.fr.ch/sites/default/files/2021-10/beilage-3--pflicht-die-preisuberwachung-zu-konsultieren.pdf</w:t>
        </w:r>
      </w:hyperlink>
      <w:r w:rsidRPr="00FA5A86">
        <w:t>).</w:t>
      </w:r>
    </w:p>
    <w:sectPr w:rsidR="00C305CD" w:rsidRPr="00FA5A86" w:rsidSect="00385EAB">
      <w:footerReference w:type="default" r:id="rId9"/>
      <w:type w:val="continuous"/>
      <w:pgSz w:w="11910" w:h="16850"/>
      <w:pgMar w:top="1134"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D020E" w14:textId="77777777" w:rsidR="00385EAB" w:rsidRDefault="00385EAB" w:rsidP="00385EAB">
      <w:r>
        <w:separator/>
      </w:r>
    </w:p>
  </w:endnote>
  <w:endnote w:type="continuationSeparator" w:id="0">
    <w:p w14:paraId="7A4F2691" w14:textId="77777777" w:rsidR="00385EAB" w:rsidRDefault="00385EAB" w:rsidP="0038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BC58" w14:textId="77777777" w:rsidR="00385EAB" w:rsidRPr="001A6057" w:rsidRDefault="00947DA1" w:rsidP="00385EAB">
    <w:pPr>
      <w:pStyle w:val="Textkrper"/>
      <w:spacing w:before="1"/>
      <w:rPr>
        <w:sz w:val="21"/>
        <w:lang w:val="fr-FR"/>
      </w:rPr>
    </w:pPr>
    <w:bookmarkStart w:id="0" w:name="_Hlk92892542"/>
    <w:bookmarkStart w:id="1" w:name="_Hlk92892543"/>
    <w:r>
      <w:pict w14:anchorId="25CA0154">
        <v:line id="_x0000_s2049" style="position:absolute;z-index:-251658752;mso-wrap-distance-left:0;mso-wrap-distance-right:0;mso-position-horizontal-relative:page" from="69.5pt,14.35pt" to="540.1pt,14.35pt" strokeweight=".48pt">
          <w10:wrap type="topAndBottom" anchorx="page"/>
        </v:line>
      </w:pict>
    </w:r>
  </w:p>
  <w:p w14:paraId="67F9A042" w14:textId="20E747D1" w:rsidR="00385EAB" w:rsidRPr="00385EAB" w:rsidRDefault="00385EAB" w:rsidP="00385EAB">
    <w:pPr>
      <w:ind w:left="138"/>
      <w:rPr>
        <w:rFonts w:ascii="Cambria" w:hAnsi="Cambria"/>
        <w:sz w:val="20"/>
      </w:rPr>
    </w:pPr>
    <w:r w:rsidRPr="00947DA1">
      <w:rPr>
        <w:rFonts w:ascii="Cambria" w:hAnsi="Cambria"/>
        <w:sz w:val="20"/>
      </w:rPr>
      <w:t xml:space="preserve">Nachführung vom </w:t>
    </w:r>
    <w:r w:rsidR="00947DA1" w:rsidRPr="00947DA1">
      <w:rPr>
        <w:rFonts w:ascii="Cambria" w:hAnsi="Cambria"/>
        <w:sz w:val="20"/>
      </w:rPr>
      <w:t>31</w:t>
    </w:r>
    <w:r w:rsidRPr="00947DA1">
      <w:rPr>
        <w:rFonts w:ascii="Cambria" w:hAnsi="Cambria"/>
        <w:sz w:val="20"/>
      </w:rPr>
      <w:t xml:space="preserve">. </w:t>
    </w:r>
    <w:r w:rsidR="00947DA1" w:rsidRPr="00947DA1">
      <w:rPr>
        <w:rFonts w:ascii="Cambria" w:hAnsi="Cambria"/>
        <w:sz w:val="20"/>
      </w:rPr>
      <w:t>Mai</w:t>
    </w:r>
    <w:r w:rsidRPr="00947DA1">
      <w:rPr>
        <w:rFonts w:ascii="Cambria" w:hAnsi="Cambria"/>
        <w:sz w:val="20"/>
      </w:rPr>
      <w:t xml:space="preserve"> 202</w:t>
    </w:r>
    <w:bookmarkEnd w:id="0"/>
    <w:bookmarkEnd w:id="1"/>
    <w:r w:rsidR="00947DA1" w:rsidRPr="00947DA1">
      <w:rPr>
        <w:rFonts w:ascii="Cambria" w:hAnsi="Cambria"/>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49B37" w14:textId="77777777" w:rsidR="00385EAB" w:rsidRDefault="00385EAB" w:rsidP="00385EAB">
      <w:r>
        <w:separator/>
      </w:r>
    </w:p>
  </w:footnote>
  <w:footnote w:type="continuationSeparator" w:id="0">
    <w:p w14:paraId="7860251C" w14:textId="77777777" w:rsidR="00385EAB" w:rsidRDefault="00385EAB" w:rsidP="00385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4522B"/>
    <w:rsid w:val="00004382"/>
    <w:rsid w:val="0008660A"/>
    <w:rsid w:val="000D5D21"/>
    <w:rsid w:val="001A6057"/>
    <w:rsid w:val="00384A09"/>
    <w:rsid w:val="00385EAB"/>
    <w:rsid w:val="00386329"/>
    <w:rsid w:val="00417ABF"/>
    <w:rsid w:val="004B6FC8"/>
    <w:rsid w:val="005C181A"/>
    <w:rsid w:val="0066225C"/>
    <w:rsid w:val="007218F7"/>
    <w:rsid w:val="00947DA1"/>
    <w:rsid w:val="00A6014D"/>
    <w:rsid w:val="00AB15BF"/>
    <w:rsid w:val="00BE325D"/>
    <w:rsid w:val="00C305CD"/>
    <w:rsid w:val="00C3241E"/>
    <w:rsid w:val="00C4522B"/>
    <w:rsid w:val="00DA3607"/>
    <w:rsid w:val="00FA5A86"/>
    <w:rsid w:val="00FC1060"/>
    <w:rsid w:val="00FE4F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DD9484"/>
  <w15:docId w15:val="{07BDB21F-A993-45F0-9E1F-1250A57E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CH" w:eastAsia="de-CH" w:bidi="de-CH"/>
    </w:rPr>
  </w:style>
  <w:style w:type="paragraph" w:styleId="berschrift1">
    <w:name w:val="heading 1"/>
    <w:basedOn w:val="Standard"/>
    <w:uiPriority w:val="1"/>
    <w:qFormat/>
    <w:pPr>
      <w:ind w:left="138"/>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customStyle="1" w:styleId="TextkrperZchn">
    <w:name w:val="Textkörper Zchn"/>
    <w:basedOn w:val="Absatz-Standardschriftart"/>
    <w:link w:val="Textkrper"/>
    <w:uiPriority w:val="1"/>
    <w:rsid w:val="000D5D21"/>
    <w:rPr>
      <w:rFonts w:ascii="Arial" w:eastAsia="Arial" w:hAnsi="Arial" w:cs="Arial"/>
      <w:lang w:val="de-CH" w:eastAsia="de-CH" w:bidi="de-CH"/>
    </w:rPr>
  </w:style>
  <w:style w:type="paragraph" w:styleId="Kopfzeile">
    <w:name w:val="header"/>
    <w:basedOn w:val="Standard"/>
    <w:link w:val="KopfzeileZchn"/>
    <w:uiPriority w:val="99"/>
    <w:unhideWhenUsed/>
    <w:rsid w:val="00385EAB"/>
    <w:pPr>
      <w:tabs>
        <w:tab w:val="center" w:pos="4536"/>
        <w:tab w:val="right" w:pos="9072"/>
      </w:tabs>
    </w:pPr>
  </w:style>
  <w:style w:type="character" w:customStyle="1" w:styleId="KopfzeileZchn">
    <w:name w:val="Kopfzeile Zchn"/>
    <w:basedOn w:val="Absatz-Standardschriftart"/>
    <w:link w:val="Kopfzeile"/>
    <w:uiPriority w:val="99"/>
    <w:rsid w:val="00385EAB"/>
    <w:rPr>
      <w:rFonts w:ascii="Arial" w:eastAsia="Arial" w:hAnsi="Arial" w:cs="Arial"/>
      <w:lang w:val="de-CH" w:eastAsia="de-CH" w:bidi="de-CH"/>
    </w:rPr>
  </w:style>
  <w:style w:type="paragraph" w:styleId="Fuzeile">
    <w:name w:val="footer"/>
    <w:basedOn w:val="Standard"/>
    <w:link w:val="FuzeileZchn"/>
    <w:uiPriority w:val="99"/>
    <w:unhideWhenUsed/>
    <w:rsid w:val="00385EAB"/>
    <w:pPr>
      <w:tabs>
        <w:tab w:val="center" w:pos="4536"/>
        <w:tab w:val="right" w:pos="9072"/>
      </w:tabs>
    </w:pPr>
  </w:style>
  <w:style w:type="character" w:customStyle="1" w:styleId="FuzeileZchn">
    <w:name w:val="Fußzeile Zchn"/>
    <w:basedOn w:val="Absatz-Standardschriftart"/>
    <w:link w:val="Fuzeile"/>
    <w:uiPriority w:val="99"/>
    <w:rsid w:val="00385EAB"/>
    <w:rPr>
      <w:rFonts w:ascii="Arial" w:eastAsia="Arial" w:hAnsi="Arial" w:cs="Arial"/>
      <w:lang w:val="de-CH" w:eastAsia="de-CH" w:bidi="de-CH"/>
    </w:rPr>
  </w:style>
  <w:style w:type="character" w:styleId="Hyperlink">
    <w:name w:val="Hyperlink"/>
    <w:basedOn w:val="Absatz-Standardschriftart"/>
    <w:uiPriority w:val="99"/>
    <w:unhideWhenUsed/>
    <w:rsid w:val="00FA5A86"/>
    <w:rPr>
      <w:color w:val="0000FF" w:themeColor="hyperlink"/>
      <w:u w:val="single"/>
    </w:rPr>
  </w:style>
  <w:style w:type="character" w:styleId="NichtaufgelsteErwhnung">
    <w:name w:val="Unresolved Mention"/>
    <w:basedOn w:val="Absatz-Standardschriftart"/>
    <w:uiPriority w:val="99"/>
    <w:semiHidden/>
    <w:unhideWhenUsed/>
    <w:rsid w:val="00FA5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188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r.ch/sites/default/files/2021-10/beilage-3--pflicht-die-preisuberwachung-zu-konsultieren.pdf" TargetMode="External"/><Relationship Id="rId3" Type="http://schemas.openxmlformats.org/officeDocument/2006/relationships/settings" Target="settings.xml"/><Relationship Id="rId7" Type="http://schemas.openxmlformats.org/officeDocument/2006/relationships/hyperlink" Target="https://www.fr.ch/sites/default/files/2021-10/info-gema-232021--gemeindereglemente-und-statuten-der-gemeindeverbande.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1DC4-530F-4B01-A224-B4C022E6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4548</Characters>
  <Application>Microsoft Office Word</Application>
  <DocSecurity>0</DocSecurity>
  <Lines>37</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Planungs- und Baureglement (PBR)</vt:lpstr>
      <vt:lpstr>Planungs- und Baureglement (PBR)</vt:lpstr>
    </vt:vector>
  </TitlesOfParts>
  <Company>Etat de Fribourg</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Planungs- und Baureglement (PBR)</dc:title>
  <dc:creator>Hagi Sarah</dc:creator>
  <cp:lastModifiedBy>Sterren Marianne</cp:lastModifiedBy>
  <cp:revision>11</cp:revision>
  <dcterms:created xsi:type="dcterms:W3CDTF">2021-09-03T08:37:00Z</dcterms:created>
  <dcterms:modified xsi:type="dcterms:W3CDTF">2023-05-31T12:16:00Z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2016-01-21T00:00:00Z</vt:filetime>
  </property>
  <property fmtid="{D5CDD505-2E9C-101B-9397-08002B2CF9AE}" pid="3" name="Creator">
    <vt:lpwstr>Acrobat PDFMaker 11 pour Word</vt:lpwstr>
  </property>
  <property fmtid="{D5CDD505-2E9C-101B-9397-08002B2CF9AE}" pid="4" name="LastSaved">
    <vt:filetime>2019-06-03T00:00:00Z</vt:filetime>
  </property>
</Properties>
</file>