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1E0" w:firstRow="1" w:lastRow="1" w:firstColumn="1" w:lastColumn="1" w:noHBand="0" w:noVBand="0"/>
      </w:tblPr>
      <w:tblGrid>
        <w:gridCol w:w="9606"/>
      </w:tblGrid>
      <w:tr w:rsidR="00A65E20" w:rsidRPr="00033FA6" w14:paraId="5705E5D2" w14:textId="77777777" w:rsidTr="00033FA6">
        <w:tc>
          <w:tcPr>
            <w:tcW w:w="9606" w:type="dxa"/>
            <w:tcBorders>
              <w:bottom w:val="single" w:sz="8" w:space="0" w:color="auto"/>
            </w:tcBorders>
          </w:tcPr>
          <w:p w14:paraId="122CAD6D" w14:textId="77777777" w:rsidR="00E40BFF" w:rsidRPr="00E40BFF" w:rsidRDefault="00750D60" w:rsidP="00E40BFF">
            <w:pPr>
              <w:pStyle w:val="berschrift1"/>
              <w:ind w:right="-573"/>
              <w:jc w:val="left"/>
              <w:rPr>
                <w:b w:val="0"/>
                <w:caps/>
                <w:sz w:val="32"/>
                <w:szCs w:val="32"/>
                <w:lang w:val="fr-CH"/>
              </w:rPr>
            </w:pPr>
            <w:r w:rsidRPr="00033FA6">
              <w:rPr>
                <w:b w:val="0"/>
                <w:caps/>
                <w:sz w:val="32"/>
                <w:szCs w:val="32"/>
                <w:lang w:val="fr-CH"/>
              </w:rPr>
              <w:t>gemeinde</w:t>
            </w:r>
            <w:r w:rsidR="00A65E20" w:rsidRPr="00033FA6">
              <w:rPr>
                <w:b w:val="0"/>
                <w:caps/>
                <w:sz w:val="32"/>
                <w:szCs w:val="32"/>
                <w:lang w:val="fr-CH"/>
              </w:rPr>
              <w:t>:</w:t>
            </w:r>
          </w:p>
        </w:tc>
      </w:tr>
    </w:tbl>
    <w:p w14:paraId="184E7E1C" w14:textId="77777777" w:rsidR="00FC12A5" w:rsidRDefault="00FC12A5" w:rsidP="00A65E20">
      <w:pPr>
        <w:jc w:val="left"/>
        <w:sectPr w:rsidR="00FC12A5" w:rsidSect="00BC3D34">
          <w:headerReference w:type="even" r:id="rId8"/>
          <w:headerReference w:type="default" r:id="rId9"/>
          <w:footerReference w:type="default" r:id="rId10"/>
          <w:footerReference w:type="first" r:id="rId11"/>
          <w:pgSz w:w="11907" w:h="16840" w:code="9"/>
          <w:pgMar w:top="1418" w:right="1134" w:bottom="709" w:left="1418" w:header="1134" w:footer="476" w:gutter="0"/>
          <w:cols w:space="720"/>
          <w:noEndnote/>
          <w:titlePg/>
        </w:sectPr>
      </w:pPr>
    </w:p>
    <w:tbl>
      <w:tblPr>
        <w:tblW w:w="9614" w:type="dxa"/>
        <w:tblLayout w:type="fixed"/>
        <w:tblLook w:val="01E0" w:firstRow="1" w:lastRow="1" w:firstColumn="1" w:lastColumn="1" w:noHBand="0" w:noVBand="0"/>
      </w:tblPr>
      <w:tblGrid>
        <w:gridCol w:w="1809"/>
        <w:gridCol w:w="236"/>
        <w:gridCol w:w="7569"/>
      </w:tblGrid>
      <w:tr w:rsidR="00A65E20" w:rsidRPr="00C733A8" w14:paraId="15021F4A" w14:textId="77777777" w:rsidTr="00B14DED">
        <w:tc>
          <w:tcPr>
            <w:tcW w:w="1809" w:type="dxa"/>
            <w:tcBorders>
              <w:top w:val="single" w:sz="8" w:space="0" w:color="auto"/>
            </w:tcBorders>
          </w:tcPr>
          <w:p w14:paraId="1648C354" w14:textId="77777777" w:rsidR="00A65E20" w:rsidRDefault="00A65E20" w:rsidP="00033FA6">
            <w:pPr>
              <w:jc w:val="left"/>
            </w:pPr>
          </w:p>
        </w:tc>
        <w:tc>
          <w:tcPr>
            <w:tcW w:w="236" w:type="dxa"/>
            <w:tcBorders>
              <w:top w:val="single" w:sz="8" w:space="0" w:color="auto"/>
            </w:tcBorders>
          </w:tcPr>
          <w:p w14:paraId="007A281D" w14:textId="77777777" w:rsidR="00A65E20" w:rsidRDefault="00A65E20" w:rsidP="00D84A94"/>
        </w:tc>
        <w:tc>
          <w:tcPr>
            <w:tcW w:w="7569" w:type="dxa"/>
            <w:tcBorders>
              <w:top w:val="single" w:sz="8" w:space="0" w:color="auto"/>
            </w:tcBorders>
          </w:tcPr>
          <w:p w14:paraId="696195A8" w14:textId="372626CE" w:rsidR="00E40BFF" w:rsidRDefault="00E40BFF" w:rsidP="00033FA6">
            <w:pPr>
              <w:pStyle w:val="berschrift3"/>
              <w:spacing w:before="0" w:after="0"/>
              <w:rPr>
                <w:lang w:val="de-CH"/>
              </w:rPr>
            </w:pPr>
          </w:p>
          <w:p w14:paraId="4DAB6BA0" w14:textId="77777777" w:rsidR="00293FD3" w:rsidRPr="00293FD3" w:rsidRDefault="00293FD3" w:rsidP="00293FD3">
            <w:pPr>
              <w:pStyle w:val="berschrift3"/>
              <w:spacing w:before="0" w:after="0"/>
              <w:rPr>
                <w:lang w:val="de-CH"/>
              </w:rPr>
            </w:pPr>
          </w:p>
          <w:p w14:paraId="5FB745EB" w14:textId="121298D6" w:rsidR="00293FD3" w:rsidRPr="00293FD3" w:rsidRDefault="00537D93" w:rsidP="00836318">
            <w:pPr>
              <w:pStyle w:val="berschrift3"/>
              <w:spacing w:before="0" w:after="0"/>
              <w:jc w:val="left"/>
              <w:rPr>
                <w:lang w:val="de-CH"/>
              </w:rPr>
            </w:pPr>
            <w:r w:rsidRPr="00C733A8">
              <w:rPr>
                <w:bCs w:val="0"/>
                <w:caps/>
                <w:color w:val="000000"/>
                <w:spacing w:val="0"/>
                <w:sz w:val="22"/>
                <w:szCs w:val="22"/>
              </w:rPr>
              <w:t xml:space="preserve">Reglement </w:t>
            </w:r>
            <w:r w:rsidR="005C637B" w:rsidRPr="00C733A8">
              <w:rPr>
                <w:bCs w:val="0"/>
                <w:caps/>
                <w:color w:val="000000"/>
                <w:spacing w:val="0"/>
                <w:sz w:val="22"/>
                <w:szCs w:val="22"/>
              </w:rPr>
              <w:t>über die</w:t>
            </w:r>
            <w:r w:rsidRPr="00C733A8">
              <w:rPr>
                <w:bCs w:val="0"/>
                <w:caps/>
                <w:color w:val="000000"/>
                <w:spacing w:val="0"/>
                <w:sz w:val="22"/>
                <w:szCs w:val="22"/>
              </w:rPr>
              <w:t xml:space="preserve"> </w:t>
            </w:r>
            <w:r w:rsidR="00F8375D" w:rsidRPr="00C733A8">
              <w:rPr>
                <w:bCs w:val="0"/>
                <w:caps/>
                <w:color w:val="000000"/>
                <w:spacing w:val="0"/>
                <w:sz w:val="22"/>
                <w:szCs w:val="22"/>
              </w:rPr>
              <w:t>G</w:t>
            </w:r>
            <w:r w:rsidR="00750D60" w:rsidRPr="00C733A8">
              <w:rPr>
                <w:bCs w:val="0"/>
                <w:caps/>
                <w:color w:val="000000"/>
                <w:spacing w:val="0"/>
                <w:sz w:val="22"/>
                <w:szCs w:val="22"/>
              </w:rPr>
              <w:t>ebühren und Ersatzabgaben im Raumplanungs- und Bauwesen</w:t>
            </w:r>
          </w:p>
        </w:tc>
      </w:tr>
      <w:tr w:rsidR="00A65E20" w14:paraId="509517A5" w14:textId="77777777" w:rsidTr="00B14DED">
        <w:tc>
          <w:tcPr>
            <w:tcW w:w="1809" w:type="dxa"/>
          </w:tcPr>
          <w:p w14:paraId="0D772856" w14:textId="77777777" w:rsidR="00A65E20" w:rsidRPr="00033FA6" w:rsidRDefault="00A65E20" w:rsidP="00033FA6">
            <w:pPr>
              <w:jc w:val="left"/>
              <w:rPr>
                <w:lang w:val="de-CH"/>
              </w:rPr>
            </w:pPr>
          </w:p>
        </w:tc>
        <w:tc>
          <w:tcPr>
            <w:tcW w:w="236" w:type="dxa"/>
          </w:tcPr>
          <w:p w14:paraId="2F53258A" w14:textId="77777777" w:rsidR="00A65E20" w:rsidRPr="00033FA6" w:rsidRDefault="00A65E20" w:rsidP="00D84A94">
            <w:pPr>
              <w:rPr>
                <w:lang w:val="de-CH"/>
              </w:rPr>
            </w:pPr>
          </w:p>
        </w:tc>
        <w:tc>
          <w:tcPr>
            <w:tcW w:w="7569" w:type="dxa"/>
          </w:tcPr>
          <w:p w14:paraId="23D3DEC0" w14:textId="77777777" w:rsidR="00750D60" w:rsidRPr="00033FA6" w:rsidRDefault="00E40BFF" w:rsidP="006D418E">
            <w:pPr>
              <w:pStyle w:val="berschrift3"/>
              <w:spacing w:before="440" w:after="400"/>
              <w:jc w:val="left"/>
              <w:rPr>
                <w:b w:val="0"/>
                <w:sz w:val="22"/>
                <w:szCs w:val="22"/>
                <w:lang w:val="de-CH"/>
              </w:rPr>
            </w:pPr>
            <w:r>
              <w:rPr>
                <w:b w:val="0"/>
                <w:sz w:val="22"/>
                <w:szCs w:val="22"/>
                <w:lang w:val="de-CH"/>
              </w:rPr>
              <w:t>Die Gemeindeversammlung / Der Generalrat</w:t>
            </w:r>
          </w:p>
          <w:p w14:paraId="12152765" w14:textId="77777777" w:rsidR="00A65E20" w:rsidRPr="001A6C19" w:rsidRDefault="00A65E20" w:rsidP="00033FA6">
            <w:pPr>
              <w:spacing w:after="400"/>
              <w:jc w:val="center"/>
              <w:rPr>
                <w:sz w:val="2"/>
                <w:szCs w:val="2"/>
                <w:lang w:val="de-CH"/>
              </w:rPr>
            </w:pPr>
          </w:p>
        </w:tc>
      </w:tr>
      <w:tr w:rsidR="00A65E20" w:rsidRPr="00C733A8" w14:paraId="29E75400" w14:textId="77777777" w:rsidTr="00B14DED">
        <w:tc>
          <w:tcPr>
            <w:tcW w:w="1809" w:type="dxa"/>
          </w:tcPr>
          <w:p w14:paraId="02B8F980" w14:textId="77777777" w:rsidR="00A65E20" w:rsidRDefault="00A65E20" w:rsidP="00033FA6">
            <w:pPr>
              <w:jc w:val="left"/>
            </w:pPr>
          </w:p>
        </w:tc>
        <w:tc>
          <w:tcPr>
            <w:tcW w:w="236" w:type="dxa"/>
          </w:tcPr>
          <w:p w14:paraId="0D484DD7" w14:textId="77777777" w:rsidR="00A65E20" w:rsidRDefault="00A65E20" w:rsidP="00D84A94"/>
        </w:tc>
        <w:tc>
          <w:tcPr>
            <w:tcW w:w="7569" w:type="dxa"/>
          </w:tcPr>
          <w:p w14:paraId="29DED646" w14:textId="58D1D380" w:rsidR="00F8375D" w:rsidRPr="00C733A8" w:rsidRDefault="00F8375D" w:rsidP="006D418E">
            <w:pPr>
              <w:pStyle w:val="Textkrper-Einzug2"/>
              <w:spacing w:line="240" w:lineRule="auto"/>
              <w:ind w:left="232" w:hanging="232"/>
              <w:jc w:val="left"/>
              <w:rPr>
                <w:lang w:val="de-CH"/>
              </w:rPr>
            </w:pPr>
            <w:r w:rsidRPr="00C733A8">
              <w:rPr>
                <w:lang w:val="de-CH"/>
              </w:rPr>
              <w:t>-</w:t>
            </w:r>
            <w:r w:rsidRPr="00C733A8">
              <w:rPr>
                <w:lang w:val="de-CH"/>
              </w:rPr>
              <w:tab/>
              <w:t>gestützt</w:t>
            </w:r>
            <w:r w:rsidR="00293FD3" w:rsidRPr="00C733A8">
              <w:rPr>
                <w:lang w:val="de-CH"/>
              </w:rPr>
              <w:t xml:space="preserve"> auf die Artikel 61 und 135a Abs. 3 des</w:t>
            </w:r>
            <w:r w:rsidRPr="00C733A8">
              <w:rPr>
                <w:lang w:val="de-CH"/>
              </w:rPr>
              <w:t xml:space="preserve"> Raumplanungs- und Baugesetz</w:t>
            </w:r>
            <w:r w:rsidR="00293FD3" w:rsidRPr="00C733A8">
              <w:rPr>
                <w:lang w:val="de-CH"/>
              </w:rPr>
              <w:t>es</w:t>
            </w:r>
            <w:r w:rsidRPr="00C733A8">
              <w:rPr>
                <w:lang w:val="de-CH"/>
              </w:rPr>
              <w:t xml:space="preserve"> vom 2. Dezember 2008 (RPBG</w:t>
            </w:r>
            <w:r w:rsidR="006D418E" w:rsidRPr="00C733A8">
              <w:rPr>
                <w:lang w:val="de-CH"/>
              </w:rPr>
              <w:t>;</w:t>
            </w:r>
            <w:r w:rsidRPr="00C733A8">
              <w:rPr>
                <w:lang w:val="de-CH"/>
              </w:rPr>
              <w:t xml:space="preserve"> </w:t>
            </w:r>
            <w:r w:rsidRPr="00C733A8">
              <w:rPr>
                <w:lang w:val="de-DE"/>
              </w:rPr>
              <w:t>SGF 710</w:t>
            </w:r>
            <w:r w:rsidRPr="00C733A8">
              <w:rPr>
                <w:lang w:val="de-CH"/>
              </w:rPr>
              <w:t>.1);</w:t>
            </w:r>
          </w:p>
          <w:p w14:paraId="1246318B" w14:textId="4303B74F" w:rsidR="00A65E20" w:rsidRPr="00C733A8" w:rsidRDefault="00DA577F" w:rsidP="00293FD3">
            <w:pPr>
              <w:pStyle w:val="Textkrper-Zeileneinzug"/>
              <w:spacing w:after="120"/>
              <w:jc w:val="left"/>
              <w:rPr>
                <w:lang w:val="de-CH"/>
              </w:rPr>
            </w:pPr>
            <w:r w:rsidRPr="00C733A8">
              <w:rPr>
                <w:lang w:val="de-CH"/>
              </w:rPr>
              <w:t>-</w:t>
            </w:r>
            <w:r w:rsidRPr="00C733A8">
              <w:rPr>
                <w:lang w:val="de-CH"/>
              </w:rPr>
              <w:tab/>
            </w:r>
            <w:r w:rsidR="00293FD3" w:rsidRPr="00C733A8">
              <w:rPr>
                <w:lang w:val="de-CH"/>
              </w:rPr>
              <w:t>g</w:t>
            </w:r>
            <w:r w:rsidRPr="00C733A8">
              <w:rPr>
                <w:lang w:val="de-CH"/>
              </w:rPr>
              <w:t xml:space="preserve">estützt auf </w:t>
            </w:r>
            <w:r w:rsidR="00293FD3" w:rsidRPr="00C733A8">
              <w:rPr>
                <w:lang w:val="de-CH"/>
              </w:rPr>
              <w:t>Artikel 42 Abs. 4 des</w:t>
            </w:r>
            <w:r w:rsidRPr="00C733A8">
              <w:rPr>
                <w:lang w:val="de-CH"/>
              </w:rPr>
              <w:t xml:space="preserve"> Gesetz</w:t>
            </w:r>
            <w:r w:rsidR="00293FD3" w:rsidRPr="00C733A8">
              <w:rPr>
                <w:lang w:val="de-CH"/>
              </w:rPr>
              <w:t>es</w:t>
            </w:r>
            <w:r w:rsidRPr="00C733A8">
              <w:rPr>
                <w:lang w:val="de-CH"/>
              </w:rPr>
              <w:t xml:space="preserve"> vom 9. September 2016 über die Gebäudeversicherung, die Prävention und die Hilfeleistungen bei Brand und Elementarschäden (KGVG; SGF 732.1.1)</w:t>
            </w:r>
            <w:r w:rsidR="00293FD3" w:rsidRPr="00C733A8">
              <w:rPr>
                <w:lang w:val="de-CH"/>
              </w:rPr>
              <w:t>,</w:t>
            </w:r>
          </w:p>
        </w:tc>
      </w:tr>
      <w:tr w:rsidR="00A65E20" w14:paraId="06D5ED31" w14:textId="77777777" w:rsidTr="00B14DED">
        <w:tc>
          <w:tcPr>
            <w:tcW w:w="1809" w:type="dxa"/>
          </w:tcPr>
          <w:p w14:paraId="2A8E47D0" w14:textId="77777777" w:rsidR="00A65E20" w:rsidRPr="00033FA6" w:rsidRDefault="00A65E20" w:rsidP="00033FA6">
            <w:pPr>
              <w:jc w:val="left"/>
              <w:rPr>
                <w:lang w:val="de-CH"/>
              </w:rPr>
            </w:pPr>
          </w:p>
        </w:tc>
        <w:tc>
          <w:tcPr>
            <w:tcW w:w="236" w:type="dxa"/>
          </w:tcPr>
          <w:p w14:paraId="2F65B8CD" w14:textId="77777777" w:rsidR="00A65E20" w:rsidRPr="00033FA6" w:rsidRDefault="00A65E20" w:rsidP="00D84A94">
            <w:pPr>
              <w:rPr>
                <w:lang w:val="de-CH"/>
              </w:rPr>
            </w:pPr>
          </w:p>
        </w:tc>
        <w:tc>
          <w:tcPr>
            <w:tcW w:w="7569" w:type="dxa"/>
          </w:tcPr>
          <w:p w14:paraId="6C6F59D3" w14:textId="7F92FD95" w:rsidR="00A65E20" w:rsidRPr="00033FA6" w:rsidRDefault="00293FD3" w:rsidP="00033FA6">
            <w:pPr>
              <w:spacing w:before="440" w:after="440"/>
              <w:jc w:val="center"/>
              <w:rPr>
                <w:lang w:val="de-CH"/>
              </w:rPr>
            </w:pPr>
            <w:r>
              <w:rPr>
                <w:lang w:val="de-CH"/>
              </w:rPr>
              <w:t>e</w:t>
            </w:r>
            <w:r w:rsidR="00750D60" w:rsidRPr="00033FA6">
              <w:rPr>
                <w:lang w:val="de-CH"/>
              </w:rPr>
              <w:t>rlässt</w:t>
            </w:r>
            <w:r w:rsidR="00AF7A73" w:rsidRPr="00033FA6">
              <w:rPr>
                <w:lang w:val="de-CH"/>
              </w:rPr>
              <w:t>:</w:t>
            </w:r>
          </w:p>
        </w:tc>
      </w:tr>
      <w:tr w:rsidR="00A65E20" w14:paraId="73AB420E" w14:textId="77777777" w:rsidTr="00B14DED">
        <w:tc>
          <w:tcPr>
            <w:tcW w:w="1809" w:type="dxa"/>
          </w:tcPr>
          <w:p w14:paraId="57F915E4" w14:textId="77777777" w:rsidR="00A65E20" w:rsidRDefault="00A65E20" w:rsidP="00033FA6">
            <w:pPr>
              <w:jc w:val="left"/>
            </w:pPr>
          </w:p>
        </w:tc>
        <w:tc>
          <w:tcPr>
            <w:tcW w:w="236" w:type="dxa"/>
          </w:tcPr>
          <w:p w14:paraId="09C9A24D" w14:textId="77777777" w:rsidR="00A65E20" w:rsidRDefault="00A65E20" w:rsidP="00D84A94"/>
        </w:tc>
        <w:tc>
          <w:tcPr>
            <w:tcW w:w="7569" w:type="dxa"/>
          </w:tcPr>
          <w:p w14:paraId="1764089E" w14:textId="77777777" w:rsidR="00A65E20" w:rsidRPr="00033FA6" w:rsidRDefault="00750D60" w:rsidP="00033FA6">
            <w:pPr>
              <w:pStyle w:val="berschrift1"/>
              <w:spacing w:after="240"/>
              <w:ind w:left="374" w:hanging="374"/>
              <w:jc w:val="left"/>
              <w:rPr>
                <w:sz w:val="22"/>
                <w:szCs w:val="22"/>
                <w:lang w:val="de-CH"/>
              </w:rPr>
            </w:pPr>
            <w:r w:rsidRPr="00033FA6">
              <w:rPr>
                <w:sz w:val="22"/>
                <w:szCs w:val="22"/>
              </w:rPr>
              <w:t>I.</w:t>
            </w:r>
            <w:r w:rsidRPr="00033FA6">
              <w:rPr>
                <w:sz w:val="22"/>
                <w:szCs w:val="22"/>
              </w:rPr>
              <w:tab/>
              <w:t>ALLGEMEINE BESTIMMUNGEN</w:t>
            </w:r>
          </w:p>
        </w:tc>
      </w:tr>
      <w:tr w:rsidR="00A65E20" w:rsidRPr="00C733A8" w14:paraId="6BA57418" w14:textId="77777777" w:rsidTr="00B14DED">
        <w:tc>
          <w:tcPr>
            <w:tcW w:w="1809" w:type="dxa"/>
          </w:tcPr>
          <w:p w14:paraId="0C11F6D2" w14:textId="77777777" w:rsidR="00A65E20" w:rsidRDefault="00750D60" w:rsidP="00033FA6">
            <w:pPr>
              <w:jc w:val="left"/>
            </w:pPr>
            <w:r w:rsidRPr="00033FA6">
              <w:rPr>
                <w:lang w:val="de-CH"/>
              </w:rPr>
              <w:t>Gegenstand</w:t>
            </w:r>
          </w:p>
        </w:tc>
        <w:tc>
          <w:tcPr>
            <w:tcW w:w="236" w:type="dxa"/>
          </w:tcPr>
          <w:p w14:paraId="283680C6" w14:textId="77777777" w:rsidR="00A65E20" w:rsidRDefault="00A65E20" w:rsidP="00D84A94"/>
        </w:tc>
        <w:tc>
          <w:tcPr>
            <w:tcW w:w="7569" w:type="dxa"/>
          </w:tcPr>
          <w:p w14:paraId="4DF70565" w14:textId="77777777" w:rsidR="00750D60" w:rsidRPr="00033FA6" w:rsidRDefault="00806356" w:rsidP="00033FA6">
            <w:pPr>
              <w:tabs>
                <w:tab w:val="left" w:pos="940"/>
                <w:tab w:val="left" w:pos="1098"/>
              </w:tabs>
              <w:spacing w:after="240"/>
              <w:rPr>
                <w:lang w:val="de-CH"/>
              </w:rPr>
            </w:pPr>
            <w:r w:rsidRPr="00033FA6">
              <w:rPr>
                <w:b/>
                <w:lang w:val="de-CH"/>
              </w:rPr>
              <w:t>Art.</w:t>
            </w:r>
            <w:r w:rsidR="00750D60" w:rsidRPr="00033FA6">
              <w:rPr>
                <w:b/>
                <w:lang w:val="de-CH"/>
              </w:rPr>
              <w:t xml:space="preserve"> 1</w:t>
            </w:r>
            <w:r w:rsidR="005D3138" w:rsidRPr="006D418E">
              <w:rPr>
                <w:b/>
                <w:lang w:val="de-CH"/>
              </w:rPr>
              <w:t>.</w:t>
            </w:r>
            <w:r w:rsidR="005D3138" w:rsidRPr="00033FA6">
              <w:rPr>
                <w:lang w:val="de-CH"/>
              </w:rPr>
              <w:tab/>
            </w:r>
            <w:r w:rsidR="00750D60" w:rsidRPr="00033FA6">
              <w:rPr>
                <w:vertAlign w:val="superscript"/>
                <w:lang w:val="de-CH"/>
              </w:rPr>
              <w:t>1</w:t>
            </w:r>
            <w:r w:rsidR="009E3B14">
              <w:rPr>
                <w:lang w:val="de-CH"/>
              </w:rPr>
              <w:t xml:space="preserve"> </w:t>
            </w:r>
            <w:r w:rsidR="00750D60" w:rsidRPr="00033FA6">
              <w:rPr>
                <w:lang w:val="de-CH"/>
              </w:rPr>
              <w:t xml:space="preserve">Gegenstand des vorliegenden Reglements ist die Erhebung von </w:t>
            </w:r>
            <w:r w:rsidR="00D65BD6">
              <w:rPr>
                <w:lang w:val="de-CH"/>
              </w:rPr>
              <w:t>G</w:t>
            </w:r>
            <w:r w:rsidR="00750D60" w:rsidRPr="00033FA6">
              <w:rPr>
                <w:lang w:val="de-CH"/>
              </w:rPr>
              <w:t>ebühr</w:t>
            </w:r>
            <w:r w:rsidR="00B14DED">
              <w:rPr>
                <w:lang w:val="de-CH"/>
              </w:rPr>
              <w:t>en und Ersatzabgaben im Raumpla</w:t>
            </w:r>
            <w:r w:rsidR="00750D60" w:rsidRPr="00033FA6">
              <w:rPr>
                <w:lang w:val="de-CH"/>
              </w:rPr>
              <w:t>nungs- und Bauwesen.</w:t>
            </w:r>
          </w:p>
          <w:p w14:paraId="1896C8E3" w14:textId="77777777" w:rsidR="00A65E20" w:rsidRPr="00033FA6" w:rsidRDefault="00750D60" w:rsidP="00D65BD6">
            <w:pPr>
              <w:tabs>
                <w:tab w:val="left" w:pos="250"/>
                <w:tab w:val="left" w:pos="940"/>
                <w:tab w:val="left" w:pos="1082"/>
              </w:tabs>
              <w:spacing w:after="360"/>
              <w:rPr>
                <w:lang w:val="de-CH"/>
              </w:rPr>
            </w:pPr>
            <w:r w:rsidRPr="00033FA6">
              <w:rPr>
                <w:vertAlign w:val="superscript"/>
                <w:lang w:val="de-CH"/>
              </w:rPr>
              <w:t>2</w:t>
            </w:r>
            <w:r w:rsidR="009E3B14">
              <w:rPr>
                <w:lang w:val="de-CH"/>
              </w:rPr>
              <w:t xml:space="preserve"> </w:t>
            </w:r>
            <w:r w:rsidRPr="00033FA6">
              <w:rPr>
                <w:lang w:val="de-CH"/>
              </w:rPr>
              <w:t>Das Reglement legt insbesondere den Kreis der Abgabepflichti</w:t>
            </w:r>
            <w:r w:rsidR="00671644" w:rsidRPr="00033FA6">
              <w:rPr>
                <w:lang w:val="de-CH"/>
              </w:rPr>
              <w:t xml:space="preserve">gen, den Gegenstand der </w:t>
            </w:r>
            <w:r w:rsidR="00D65BD6">
              <w:rPr>
                <w:lang w:val="de-CH"/>
              </w:rPr>
              <w:t>Gebühren</w:t>
            </w:r>
            <w:r w:rsidRPr="00033FA6">
              <w:rPr>
                <w:lang w:val="de-CH"/>
              </w:rPr>
              <w:t xml:space="preserve"> </w:t>
            </w:r>
            <w:r w:rsidR="00D65BD6">
              <w:rPr>
                <w:lang w:val="de-CH"/>
              </w:rPr>
              <w:t xml:space="preserve">und Ersatzabgaben </w:t>
            </w:r>
            <w:r w:rsidRPr="00033FA6">
              <w:rPr>
                <w:lang w:val="de-CH"/>
              </w:rPr>
              <w:t>sowie deren Berechnungskriterien</w:t>
            </w:r>
            <w:r w:rsidR="002525A0" w:rsidRPr="00033FA6">
              <w:rPr>
                <w:lang w:val="de-CH"/>
              </w:rPr>
              <w:t xml:space="preserve"> </w:t>
            </w:r>
            <w:r w:rsidRPr="00033FA6">
              <w:rPr>
                <w:lang w:val="de-CH"/>
              </w:rPr>
              <w:t xml:space="preserve">und </w:t>
            </w:r>
            <w:r w:rsidR="00D65BD6">
              <w:rPr>
                <w:lang w:val="de-CH"/>
              </w:rPr>
              <w:t>B</w:t>
            </w:r>
            <w:r w:rsidRPr="00033FA6">
              <w:rPr>
                <w:lang w:val="de-CH"/>
              </w:rPr>
              <w:t>eträge fest.</w:t>
            </w:r>
          </w:p>
        </w:tc>
      </w:tr>
      <w:tr w:rsidR="00641F14" w:rsidRPr="00C733A8" w14:paraId="7FDA5199" w14:textId="77777777" w:rsidTr="00B14DED">
        <w:tc>
          <w:tcPr>
            <w:tcW w:w="1809" w:type="dxa"/>
          </w:tcPr>
          <w:p w14:paraId="4563AF6F" w14:textId="77777777" w:rsidR="00641F14" w:rsidRPr="00836318" w:rsidRDefault="00750D60" w:rsidP="00033FA6">
            <w:pPr>
              <w:jc w:val="left"/>
              <w:rPr>
                <w:lang w:val="de-CH"/>
              </w:rPr>
            </w:pPr>
            <w:r w:rsidRPr="00836318">
              <w:rPr>
                <w:lang w:val="de-CH"/>
              </w:rPr>
              <w:t>Kreis der Abga</w:t>
            </w:r>
            <w:r w:rsidR="00CF4697" w:rsidRPr="00836318">
              <w:rPr>
                <w:lang w:val="de-CH"/>
              </w:rPr>
              <w:softHyphen/>
            </w:r>
            <w:r w:rsidRPr="00836318">
              <w:rPr>
                <w:lang w:val="de-CH"/>
              </w:rPr>
              <w:t>bepflichtigen</w:t>
            </w:r>
          </w:p>
        </w:tc>
        <w:tc>
          <w:tcPr>
            <w:tcW w:w="236" w:type="dxa"/>
          </w:tcPr>
          <w:p w14:paraId="1C4E12C3" w14:textId="77777777" w:rsidR="00641F14" w:rsidRPr="00836318" w:rsidRDefault="00641F14" w:rsidP="00D84A94"/>
        </w:tc>
        <w:tc>
          <w:tcPr>
            <w:tcW w:w="7569" w:type="dxa"/>
          </w:tcPr>
          <w:p w14:paraId="7A3289B8" w14:textId="0BC4A5A0" w:rsidR="00641F14" w:rsidRPr="00836318" w:rsidRDefault="00806356" w:rsidP="00BB56EF">
            <w:pPr>
              <w:tabs>
                <w:tab w:val="left" w:pos="810"/>
                <w:tab w:val="left" w:pos="940"/>
              </w:tabs>
              <w:spacing w:after="360"/>
              <w:rPr>
                <w:b/>
                <w:lang w:val="de-CH"/>
              </w:rPr>
            </w:pPr>
            <w:r w:rsidRPr="00836318">
              <w:rPr>
                <w:b/>
                <w:lang w:val="de-CH"/>
              </w:rPr>
              <w:t xml:space="preserve">Art. </w:t>
            </w:r>
            <w:r w:rsidR="00366ED8" w:rsidRPr="00836318">
              <w:rPr>
                <w:b/>
                <w:lang w:val="de-CH"/>
              </w:rPr>
              <w:t>2.</w:t>
            </w:r>
            <w:r w:rsidR="00B14DED" w:rsidRPr="00836318">
              <w:rPr>
                <w:lang w:val="de-CH"/>
              </w:rPr>
              <w:tab/>
            </w:r>
            <w:r w:rsidR="006D418E" w:rsidRPr="00836318">
              <w:rPr>
                <w:vertAlign w:val="superscript"/>
                <w:lang w:val="de-CH"/>
              </w:rPr>
              <w:t>1</w:t>
            </w:r>
            <w:r w:rsidR="006D418E" w:rsidRPr="00836318">
              <w:rPr>
                <w:lang w:val="de-CH"/>
              </w:rPr>
              <w:t xml:space="preserve"> </w:t>
            </w:r>
            <w:r w:rsidR="00366ED8" w:rsidRPr="00836318">
              <w:rPr>
                <w:lang w:val="de-CH"/>
              </w:rPr>
              <w:t xml:space="preserve">Schuldner der </w:t>
            </w:r>
            <w:r w:rsidR="00BB56EF" w:rsidRPr="00836318">
              <w:rPr>
                <w:lang w:val="de-CH"/>
              </w:rPr>
              <w:t>G</w:t>
            </w:r>
            <w:r w:rsidR="00366ED8" w:rsidRPr="00836318">
              <w:rPr>
                <w:lang w:val="de-CH"/>
              </w:rPr>
              <w:t>ebühren und Ersatzabgaben ist der Gesuchsteller</w:t>
            </w:r>
            <w:r w:rsidR="00BB56EF" w:rsidRPr="00836318">
              <w:rPr>
                <w:lang w:val="de-CH"/>
              </w:rPr>
              <w:t xml:space="preserve"> oder die Gesuchstellerin</w:t>
            </w:r>
            <w:r w:rsidR="00366ED8" w:rsidRPr="00836318">
              <w:rPr>
                <w:lang w:val="de-CH"/>
              </w:rPr>
              <w:t>, welcher</w:t>
            </w:r>
            <w:r w:rsidR="00AB04CB" w:rsidRPr="00836318">
              <w:rPr>
                <w:lang w:val="de-CH"/>
              </w:rPr>
              <w:t xml:space="preserve"> </w:t>
            </w:r>
            <w:r w:rsidR="00BB56EF" w:rsidRPr="00836318">
              <w:rPr>
                <w:lang w:val="de-CH"/>
              </w:rPr>
              <w:t>oder welche</w:t>
            </w:r>
            <w:r w:rsidR="00366ED8" w:rsidRPr="00836318">
              <w:rPr>
                <w:lang w:val="de-CH"/>
              </w:rPr>
              <w:t xml:space="preserve"> das Gemeinwesen um eine oder mehrere der in Artikel 3 bezeichneten Leistunge</w:t>
            </w:r>
            <w:r w:rsidR="00BB56EF" w:rsidRPr="00836318">
              <w:rPr>
                <w:lang w:val="de-CH"/>
              </w:rPr>
              <w:t xml:space="preserve">n ersucht, </w:t>
            </w:r>
            <w:r w:rsidR="00836318" w:rsidRPr="00836318">
              <w:rPr>
                <w:lang w:val="de-CH"/>
              </w:rPr>
              <w:t xml:space="preserve">oder an den oder die diese </w:t>
            </w:r>
            <w:r w:rsidR="00836318">
              <w:rPr>
                <w:lang w:val="de-CH"/>
              </w:rPr>
              <w:t>aus</w:t>
            </w:r>
            <w:r w:rsidR="00836318" w:rsidRPr="00836318">
              <w:rPr>
                <w:lang w:val="de-CH"/>
              </w:rPr>
              <w:t xml:space="preserve">gerichtet wird, </w:t>
            </w:r>
            <w:r w:rsidR="00BB56EF" w:rsidRPr="00836318">
              <w:rPr>
                <w:lang w:val="de-CH"/>
              </w:rPr>
              <w:t xml:space="preserve">oder der/die </w:t>
            </w:r>
            <w:r w:rsidR="00366ED8" w:rsidRPr="00836318">
              <w:rPr>
                <w:lang w:val="de-CH"/>
              </w:rPr>
              <w:t>von einer in den Artikeln 6 und 7 erwähnten Pflichten befreit wird.</w:t>
            </w:r>
          </w:p>
        </w:tc>
      </w:tr>
      <w:tr w:rsidR="00A65E20" w:rsidRPr="001E7583" w14:paraId="3A1044BA" w14:textId="77777777" w:rsidTr="00B14DED">
        <w:tc>
          <w:tcPr>
            <w:tcW w:w="1809" w:type="dxa"/>
          </w:tcPr>
          <w:p w14:paraId="7579613A" w14:textId="77777777" w:rsidR="00A65E20" w:rsidRPr="00033FA6" w:rsidRDefault="00A65E20" w:rsidP="00033FA6">
            <w:pPr>
              <w:jc w:val="left"/>
              <w:rPr>
                <w:lang w:val="de-CH"/>
              </w:rPr>
            </w:pPr>
          </w:p>
        </w:tc>
        <w:tc>
          <w:tcPr>
            <w:tcW w:w="236" w:type="dxa"/>
          </w:tcPr>
          <w:p w14:paraId="4C93D7A5" w14:textId="77777777" w:rsidR="00A65E20" w:rsidRPr="00033FA6" w:rsidRDefault="00A65E20" w:rsidP="00D84A94">
            <w:pPr>
              <w:rPr>
                <w:lang w:val="de-CH"/>
              </w:rPr>
            </w:pPr>
          </w:p>
        </w:tc>
        <w:tc>
          <w:tcPr>
            <w:tcW w:w="7569" w:type="dxa"/>
          </w:tcPr>
          <w:p w14:paraId="5EC4AC3B" w14:textId="77777777" w:rsidR="00A65E20" w:rsidRPr="00033FA6" w:rsidRDefault="002525A0" w:rsidP="00033FA6">
            <w:pPr>
              <w:pStyle w:val="berschrift1"/>
              <w:spacing w:after="240"/>
              <w:ind w:left="374" w:hanging="374"/>
              <w:jc w:val="left"/>
              <w:rPr>
                <w:sz w:val="22"/>
                <w:szCs w:val="22"/>
                <w:lang w:val="de-CH"/>
              </w:rPr>
            </w:pPr>
            <w:r w:rsidRPr="00033FA6">
              <w:rPr>
                <w:sz w:val="22"/>
                <w:szCs w:val="22"/>
                <w:lang w:val="de-CH"/>
              </w:rPr>
              <w:t>II.</w:t>
            </w:r>
            <w:r w:rsidRPr="00033FA6">
              <w:rPr>
                <w:sz w:val="22"/>
                <w:szCs w:val="22"/>
                <w:lang w:val="de-CH"/>
              </w:rPr>
              <w:tab/>
            </w:r>
            <w:r w:rsidR="00366ED8" w:rsidRPr="00033FA6">
              <w:rPr>
                <w:sz w:val="22"/>
                <w:szCs w:val="22"/>
                <w:lang w:val="de-CH"/>
              </w:rPr>
              <w:t>GEBUEHREN</w:t>
            </w:r>
          </w:p>
        </w:tc>
      </w:tr>
      <w:tr w:rsidR="004B266D" w:rsidRPr="00C733A8" w14:paraId="5591CED2" w14:textId="77777777" w:rsidTr="00B14DED">
        <w:tc>
          <w:tcPr>
            <w:tcW w:w="1809" w:type="dxa"/>
          </w:tcPr>
          <w:p w14:paraId="1D295FA0" w14:textId="77777777" w:rsidR="004B266D" w:rsidRPr="00033FA6" w:rsidRDefault="00366ED8" w:rsidP="00033FA6">
            <w:pPr>
              <w:jc w:val="left"/>
              <w:rPr>
                <w:lang w:val="de-CH"/>
              </w:rPr>
            </w:pPr>
            <w:r w:rsidRPr="00033FA6">
              <w:rPr>
                <w:lang w:val="de-CH"/>
              </w:rPr>
              <w:t>Gebührenpflich</w:t>
            </w:r>
            <w:r w:rsidR="00671644" w:rsidRPr="00033FA6">
              <w:rPr>
                <w:lang w:val="de-CH"/>
              </w:rPr>
              <w:softHyphen/>
            </w:r>
            <w:r w:rsidRPr="00033FA6">
              <w:rPr>
                <w:lang w:val="de-CH"/>
              </w:rPr>
              <w:t>tige Leistungen</w:t>
            </w:r>
          </w:p>
        </w:tc>
        <w:tc>
          <w:tcPr>
            <w:tcW w:w="236" w:type="dxa"/>
          </w:tcPr>
          <w:p w14:paraId="57463E9C" w14:textId="77777777" w:rsidR="004B266D" w:rsidRPr="00033FA6" w:rsidRDefault="004B266D" w:rsidP="00D84A94">
            <w:pPr>
              <w:rPr>
                <w:lang w:val="de-CH"/>
              </w:rPr>
            </w:pPr>
          </w:p>
        </w:tc>
        <w:tc>
          <w:tcPr>
            <w:tcW w:w="7569" w:type="dxa"/>
          </w:tcPr>
          <w:p w14:paraId="3CDCDD6F" w14:textId="77777777" w:rsidR="00366ED8" w:rsidRPr="00033FA6" w:rsidRDefault="00806356" w:rsidP="00033FA6">
            <w:pPr>
              <w:tabs>
                <w:tab w:val="left" w:pos="940"/>
                <w:tab w:val="left" w:pos="1098"/>
              </w:tabs>
              <w:spacing w:after="240"/>
              <w:ind w:left="1843" w:hanging="1843"/>
              <w:rPr>
                <w:lang w:val="de-CH"/>
              </w:rPr>
            </w:pPr>
            <w:r w:rsidRPr="00033FA6">
              <w:rPr>
                <w:b/>
                <w:lang w:val="de-CH"/>
              </w:rPr>
              <w:t>Art.</w:t>
            </w:r>
            <w:r w:rsidR="00366ED8" w:rsidRPr="00033FA6">
              <w:rPr>
                <w:b/>
                <w:lang w:val="de-CH"/>
              </w:rPr>
              <w:t xml:space="preserve"> 3.</w:t>
            </w:r>
            <w:r w:rsidR="005D3138" w:rsidRPr="00033FA6">
              <w:rPr>
                <w:lang w:val="de-CH"/>
              </w:rPr>
              <w:tab/>
            </w:r>
            <w:r w:rsidR="005D3138" w:rsidRPr="00033FA6">
              <w:rPr>
                <w:vertAlign w:val="superscript"/>
                <w:lang w:val="de-CH"/>
              </w:rPr>
              <w:t>1</w:t>
            </w:r>
            <w:r w:rsidR="009E3B14">
              <w:rPr>
                <w:vertAlign w:val="superscript"/>
                <w:lang w:val="de-CH"/>
              </w:rPr>
              <w:t xml:space="preserve"> </w:t>
            </w:r>
            <w:r w:rsidR="00366ED8" w:rsidRPr="00033FA6">
              <w:rPr>
                <w:lang w:val="de-CH"/>
              </w:rPr>
              <w:t>Der Gebührenpflicht unterliegen:</w:t>
            </w:r>
          </w:p>
          <w:p w14:paraId="0027C159" w14:textId="77777777" w:rsidR="004B266D" w:rsidRPr="00033FA6" w:rsidRDefault="00366ED8" w:rsidP="00B14DED">
            <w:pPr>
              <w:ind w:left="374" w:right="176" w:hanging="374"/>
              <w:rPr>
                <w:lang w:val="de-CH"/>
              </w:rPr>
            </w:pPr>
            <w:r w:rsidRPr="00033FA6">
              <w:rPr>
                <w:lang w:val="de-CH"/>
              </w:rPr>
              <w:t>a)</w:t>
            </w:r>
            <w:r w:rsidRPr="00033FA6">
              <w:rPr>
                <w:lang w:val="de-CH"/>
              </w:rPr>
              <w:tab/>
              <w:t>die Begutachtung von Vorprüfungsgesuchen und definitiven Gesuchen betreffend Detailbebauungspläne;</w:t>
            </w:r>
          </w:p>
          <w:p w14:paraId="10311487" w14:textId="77777777" w:rsidR="00366ED8" w:rsidRPr="00033FA6" w:rsidRDefault="00366ED8" w:rsidP="00B14DED">
            <w:pPr>
              <w:pStyle w:val="Textkrper-Einzug3"/>
              <w:numPr>
                <w:ilvl w:val="0"/>
                <w:numId w:val="1"/>
              </w:numPr>
              <w:tabs>
                <w:tab w:val="clear" w:pos="2203"/>
              </w:tabs>
              <w:spacing w:after="0"/>
              <w:ind w:left="368" w:hanging="357"/>
              <w:rPr>
                <w:sz w:val="22"/>
                <w:szCs w:val="22"/>
                <w:lang w:val="de-CH"/>
              </w:rPr>
            </w:pPr>
            <w:r w:rsidRPr="00033FA6">
              <w:rPr>
                <w:sz w:val="22"/>
                <w:szCs w:val="22"/>
                <w:lang w:val="de-CH"/>
              </w:rPr>
              <w:t>Vorprüfungsgesuche, Gesuche um Standortbewilligung sowie</w:t>
            </w:r>
            <w:r w:rsidR="0071582E" w:rsidRPr="00033FA6">
              <w:rPr>
                <w:sz w:val="22"/>
                <w:szCs w:val="22"/>
                <w:lang w:val="de-CH"/>
              </w:rPr>
              <w:t xml:space="preserve"> endgültige Bewilligungsgesuche;</w:t>
            </w:r>
          </w:p>
          <w:p w14:paraId="45ED446E" w14:textId="77777777" w:rsidR="00671644" w:rsidRDefault="00366ED8" w:rsidP="00B14DED">
            <w:pPr>
              <w:pStyle w:val="Textkrper-Einzug3"/>
              <w:numPr>
                <w:ilvl w:val="0"/>
                <w:numId w:val="1"/>
              </w:numPr>
              <w:tabs>
                <w:tab w:val="clear" w:pos="2203"/>
              </w:tabs>
              <w:spacing w:after="0"/>
              <w:ind w:left="368" w:hanging="357"/>
              <w:rPr>
                <w:sz w:val="22"/>
                <w:szCs w:val="22"/>
                <w:lang w:val="de-CH"/>
              </w:rPr>
            </w:pPr>
            <w:r w:rsidRPr="00033FA6">
              <w:rPr>
                <w:sz w:val="22"/>
                <w:szCs w:val="22"/>
                <w:lang w:val="de-CH"/>
              </w:rPr>
              <w:t>die Kontrolle der Arbeiten und die Erteilung der Bezugsbewilligung</w:t>
            </w:r>
            <w:r w:rsidR="00AF210D">
              <w:rPr>
                <w:sz w:val="22"/>
                <w:szCs w:val="22"/>
                <w:lang w:val="de-CH"/>
              </w:rPr>
              <w:t>;</w:t>
            </w:r>
          </w:p>
          <w:p w14:paraId="4237CB14" w14:textId="77777777" w:rsidR="00DA577F" w:rsidRDefault="00AF210D" w:rsidP="00AF210D">
            <w:pPr>
              <w:pStyle w:val="Textkrper-Einzug3"/>
              <w:numPr>
                <w:ilvl w:val="0"/>
                <w:numId w:val="1"/>
              </w:numPr>
              <w:tabs>
                <w:tab w:val="clear" w:pos="2203"/>
              </w:tabs>
              <w:spacing w:after="0"/>
              <w:ind w:left="368" w:hanging="357"/>
              <w:rPr>
                <w:sz w:val="22"/>
                <w:szCs w:val="22"/>
                <w:lang w:val="de-CH"/>
              </w:rPr>
            </w:pPr>
            <w:r w:rsidRPr="00AF210D">
              <w:rPr>
                <w:sz w:val="22"/>
                <w:szCs w:val="22"/>
                <w:lang w:val="de-CH"/>
              </w:rPr>
              <w:t>die Erfassung von Baugesuchen für Gesuchsteller durch die Gemeinde</w:t>
            </w:r>
            <w:r w:rsidR="00DA577F">
              <w:rPr>
                <w:sz w:val="22"/>
                <w:szCs w:val="22"/>
                <w:lang w:val="de-CH"/>
              </w:rPr>
              <w:t>;</w:t>
            </w:r>
          </w:p>
          <w:p w14:paraId="3A66F973" w14:textId="3CE50ECA" w:rsidR="00AF210D" w:rsidRPr="00C733A8" w:rsidRDefault="00DA577F" w:rsidP="00AF210D">
            <w:pPr>
              <w:pStyle w:val="Textkrper-Einzug3"/>
              <w:numPr>
                <w:ilvl w:val="0"/>
                <w:numId w:val="1"/>
              </w:numPr>
              <w:tabs>
                <w:tab w:val="clear" w:pos="2203"/>
              </w:tabs>
              <w:spacing w:after="0"/>
              <w:ind w:left="368" w:hanging="357"/>
              <w:rPr>
                <w:sz w:val="22"/>
                <w:szCs w:val="22"/>
                <w:lang w:val="de-CH"/>
              </w:rPr>
            </w:pPr>
            <w:r w:rsidRPr="00C733A8">
              <w:rPr>
                <w:sz w:val="22"/>
                <w:szCs w:val="22"/>
                <w:lang w:val="de-CH"/>
              </w:rPr>
              <w:t xml:space="preserve">die Kontrollen der Gebäude und anderen Tätigkeiten für die Sicherheit im Sinne der Gesetzgebung im Bereich </w:t>
            </w:r>
            <w:r w:rsidR="00C20CAA" w:rsidRPr="00C733A8">
              <w:rPr>
                <w:sz w:val="22"/>
                <w:szCs w:val="22"/>
                <w:lang w:val="de-CH"/>
              </w:rPr>
              <w:t>der Prävention gegen Brand und Naturgefahren</w:t>
            </w:r>
            <w:r w:rsidR="00AF210D" w:rsidRPr="00C733A8">
              <w:rPr>
                <w:sz w:val="22"/>
                <w:szCs w:val="22"/>
                <w:lang w:val="de-CH"/>
              </w:rPr>
              <w:t>.</w:t>
            </w:r>
          </w:p>
          <w:p w14:paraId="1B7C7364" w14:textId="77777777" w:rsidR="00B14DED" w:rsidRPr="00132E27" w:rsidRDefault="00B14DED" w:rsidP="00B14DED">
            <w:pPr>
              <w:pStyle w:val="Textkrper-Einzug3"/>
              <w:spacing w:after="0"/>
              <w:rPr>
                <w:sz w:val="20"/>
                <w:szCs w:val="20"/>
                <w:lang w:val="de-CH"/>
              </w:rPr>
            </w:pPr>
          </w:p>
          <w:p w14:paraId="1063892A" w14:textId="25E2A409" w:rsidR="00366ED8" w:rsidRPr="00033FA6" w:rsidRDefault="00B14DED" w:rsidP="0058600F">
            <w:pPr>
              <w:pStyle w:val="Textkrper-Einzug3"/>
              <w:spacing w:after="360"/>
              <w:ind w:left="11"/>
              <w:rPr>
                <w:sz w:val="24"/>
                <w:szCs w:val="24"/>
                <w:lang w:val="de-CH"/>
              </w:rPr>
            </w:pPr>
            <w:r>
              <w:rPr>
                <w:sz w:val="22"/>
                <w:szCs w:val="22"/>
                <w:vertAlign w:val="superscript"/>
                <w:lang w:val="de-CH"/>
              </w:rPr>
              <w:t xml:space="preserve">2 </w:t>
            </w:r>
            <w:r w:rsidR="00671644" w:rsidRPr="00033FA6">
              <w:rPr>
                <w:sz w:val="22"/>
                <w:szCs w:val="22"/>
                <w:lang w:val="de-CH"/>
              </w:rPr>
              <w:t>D</w:t>
            </w:r>
            <w:r w:rsidR="00366ED8" w:rsidRPr="00033FA6">
              <w:rPr>
                <w:sz w:val="22"/>
                <w:szCs w:val="22"/>
                <w:lang w:val="de-CH"/>
              </w:rPr>
              <w:t>em vorliegenden Reglement unterliegen sowohl die Projekte, die im Rahmen der Detailbe</w:t>
            </w:r>
            <w:r w:rsidR="0058600F">
              <w:rPr>
                <w:sz w:val="22"/>
                <w:szCs w:val="22"/>
                <w:lang w:val="de-CH"/>
              </w:rPr>
              <w:t xml:space="preserve">bauungspläne realisiert werden </w:t>
            </w:r>
            <w:r w:rsidR="00366ED8" w:rsidRPr="00033FA6">
              <w:rPr>
                <w:sz w:val="22"/>
                <w:szCs w:val="22"/>
                <w:lang w:val="de-CH"/>
              </w:rPr>
              <w:t xml:space="preserve">als auch die Objekte, die </w:t>
            </w:r>
            <w:r w:rsidR="0058600F">
              <w:rPr>
                <w:sz w:val="22"/>
                <w:szCs w:val="22"/>
                <w:lang w:val="de-CH"/>
              </w:rPr>
              <w:t xml:space="preserve">entsprechend </w:t>
            </w:r>
            <w:r w:rsidR="00D15E87">
              <w:rPr>
                <w:sz w:val="22"/>
                <w:szCs w:val="22"/>
                <w:lang w:val="de-CH"/>
              </w:rPr>
              <w:t xml:space="preserve">den </w:t>
            </w:r>
            <w:r w:rsidR="0058600F" w:rsidRPr="00033FA6">
              <w:rPr>
                <w:sz w:val="22"/>
                <w:szCs w:val="22"/>
                <w:lang w:val="de-CH"/>
              </w:rPr>
              <w:t>Art</w:t>
            </w:r>
            <w:r w:rsidR="00041534">
              <w:rPr>
                <w:sz w:val="22"/>
                <w:szCs w:val="22"/>
                <w:lang w:val="de-CH"/>
              </w:rPr>
              <w:t>ikel</w:t>
            </w:r>
            <w:r w:rsidR="00D15E87">
              <w:rPr>
                <w:sz w:val="22"/>
                <w:szCs w:val="22"/>
                <w:lang w:val="de-CH"/>
              </w:rPr>
              <w:t>n</w:t>
            </w:r>
            <w:r w:rsidR="0058600F" w:rsidRPr="00033FA6">
              <w:rPr>
                <w:sz w:val="22"/>
                <w:szCs w:val="22"/>
                <w:lang w:val="de-CH"/>
              </w:rPr>
              <w:t xml:space="preserve"> 135 RPBG und 84</w:t>
            </w:r>
            <w:r w:rsidR="0058600F">
              <w:rPr>
                <w:sz w:val="22"/>
                <w:szCs w:val="22"/>
                <w:lang w:val="de-CH"/>
              </w:rPr>
              <w:t xml:space="preserve"> f</w:t>
            </w:r>
            <w:r w:rsidR="0058600F" w:rsidRPr="00033FA6">
              <w:rPr>
                <w:sz w:val="22"/>
                <w:szCs w:val="22"/>
                <w:lang w:val="de-CH"/>
              </w:rPr>
              <w:t xml:space="preserve">f. RPBR </w:t>
            </w:r>
            <w:r w:rsidR="00366ED8" w:rsidRPr="00033FA6">
              <w:rPr>
                <w:sz w:val="22"/>
                <w:szCs w:val="22"/>
                <w:lang w:val="de-CH"/>
              </w:rPr>
              <w:t>der Bewilligungsp</w:t>
            </w:r>
            <w:r w:rsidR="0058600F">
              <w:rPr>
                <w:sz w:val="22"/>
                <w:szCs w:val="22"/>
                <w:lang w:val="de-CH"/>
              </w:rPr>
              <w:t>flicht unterstehen</w:t>
            </w:r>
            <w:r w:rsidR="0071582E" w:rsidRPr="00033FA6">
              <w:rPr>
                <w:sz w:val="22"/>
                <w:szCs w:val="22"/>
                <w:lang w:val="de-CH"/>
              </w:rPr>
              <w:t>.</w:t>
            </w:r>
          </w:p>
        </w:tc>
      </w:tr>
    </w:tbl>
    <w:p w14:paraId="55B841D4" w14:textId="77777777" w:rsidR="00FC12A5" w:rsidRPr="00366ED8" w:rsidRDefault="00FC12A5" w:rsidP="00A65E20">
      <w:pPr>
        <w:jc w:val="left"/>
        <w:rPr>
          <w:lang w:val="de-CH"/>
        </w:rPr>
        <w:sectPr w:rsidR="00FC12A5" w:rsidRPr="00366ED8" w:rsidSect="004D763E">
          <w:headerReference w:type="default" r:id="rId12"/>
          <w:footerReference w:type="default" r:id="rId13"/>
          <w:type w:val="continuous"/>
          <w:pgSz w:w="11907" w:h="16840" w:code="9"/>
          <w:pgMar w:top="1418" w:right="1134" w:bottom="709" w:left="1418" w:header="1134" w:footer="476" w:gutter="0"/>
          <w:cols w:space="720"/>
          <w:noEndnote/>
        </w:sectPr>
      </w:pPr>
    </w:p>
    <w:tbl>
      <w:tblPr>
        <w:tblW w:w="9606" w:type="dxa"/>
        <w:tblLayout w:type="fixed"/>
        <w:tblLook w:val="01E0" w:firstRow="1" w:lastRow="1" w:firstColumn="1" w:lastColumn="1" w:noHBand="0" w:noVBand="0"/>
      </w:tblPr>
      <w:tblGrid>
        <w:gridCol w:w="1800"/>
        <w:gridCol w:w="239"/>
        <w:gridCol w:w="7567"/>
      </w:tblGrid>
      <w:tr w:rsidR="00A65E20" w:rsidRPr="00C733A8" w14:paraId="27A58236" w14:textId="77777777" w:rsidTr="00033FA6">
        <w:tc>
          <w:tcPr>
            <w:tcW w:w="1800" w:type="dxa"/>
          </w:tcPr>
          <w:p w14:paraId="18C23F4E" w14:textId="05531368" w:rsidR="00A65E20" w:rsidRDefault="006E6184" w:rsidP="00033FA6">
            <w:pPr>
              <w:jc w:val="left"/>
            </w:pPr>
            <w:r w:rsidRPr="00033FA6">
              <w:rPr>
                <w:lang w:val="de-CH"/>
              </w:rPr>
              <w:lastRenderedPageBreak/>
              <w:t>Berechnungs</w:t>
            </w:r>
            <w:r w:rsidRPr="00033FA6">
              <w:rPr>
                <w:lang w:val="de-CH"/>
              </w:rPr>
              <w:softHyphen/>
            </w:r>
            <w:r w:rsidR="00366ED8" w:rsidRPr="00033FA6">
              <w:rPr>
                <w:lang w:val="de-CH"/>
              </w:rPr>
              <w:t>kriterien</w:t>
            </w:r>
            <w:r w:rsidR="00041534">
              <w:rPr>
                <w:lang w:val="de-CH"/>
              </w:rPr>
              <w:t xml:space="preserve"> und Beträge</w:t>
            </w:r>
          </w:p>
        </w:tc>
        <w:tc>
          <w:tcPr>
            <w:tcW w:w="239" w:type="dxa"/>
          </w:tcPr>
          <w:p w14:paraId="6F034C47" w14:textId="77777777" w:rsidR="00A65E20" w:rsidRDefault="00A65E20" w:rsidP="00D84A94"/>
        </w:tc>
        <w:tc>
          <w:tcPr>
            <w:tcW w:w="7567" w:type="dxa"/>
          </w:tcPr>
          <w:p w14:paraId="6C9241CB" w14:textId="77777777" w:rsidR="00366ED8" w:rsidRPr="00033FA6" w:rsidRDefault="00806356" w:rsidP="005B7E7E">
            <w:pPr>
              <w:tabs>
                <w:tab w:val="left" w:pos="940"/>
                <w:tab w:val="left" w:pos="1098"/>
              </w:tabs>
              <w:spacing w:after="240"/>
              <w:rPr>
                <w:lang w:val="de-CH"/>
              </w:rPr>
            </w:pPr>
            <w:r w:rsidRPr="00033FA6">
              <w:rPr>
                <w:b/>
                <w:lang w:val="de-CH"/>
              </w:rPr>
              <w:t xml:space="preserve">Art. </w:t>
            </w:r>
            <w:r w:rsidR="00366ED8" w:rsidRPr="00033FA6">
              <w:rPr>
                <w:b/>
                <w:lang w:val="de-CH"/>
              </w:rPr>
              <w:t>4.</w:t>
            </w:r>
            <w:r w:rsidR="005D3138" w:rsidRPr="00033FA6">
              <w:rPr>
                <w:lang w:val="de-CH"/>
              </w:rPr>
              <w:tab/>
            </w:r>
            <w:r w:rsidR="00366ED8" w:rsidRPr="00033FA6">
              <w:rPr>
                <w:vertAlign w:val="superscript"/>
                <w:lang w:val="de-CH"/>
              </w:rPr>
              <w:t>1</w:t>
            </w:r>
            <w:r w:rsidR="005B7E7E">
              <w:rPr>
                <w:lang w:val="de-CH"/>
              </w:rPr>
              <w:t xml:space="preserve"> </w:t>
            </w:r>
            <w:r w:rsidR="00366ED8" w:rsidRPr="00033FA6">
              <w:rPr>
                <w:lang w:val="de-CH"/>
              </w:rPr>
              <w:t>Die Gebühren setzen sich aus einer Grundtaxe und einer proportionalen Gebühr zusammen. Die Grundtaxe dient zur Deckung der Kosten der Eröffnung und Erledigung eines Dossiers (Abs. 2). Die proportionale Gebühr wird nach Zeitaufwand berechnet (Abs. 3).</w:t>
            </w:r>
          </w:p>
          <w:p w14:paraId="41F2E848" w14:textId="77777777" w:rsidR="00366ED8" w:rsidRPr="00033FA6" w:rsidRDefault="00366ED8" w:rsidP="00033FA6">
            <w:pPr>
              <w:tabs>
                <w:tab w:val="left" w:pos="250"/>
                <w:tab w:val="left" w:pos="940"/>
                <w:tab w:val="left" w:pos="1082"/>
              </w:tabs>
              <w:spacing w:after="240"/>
              <w:rPr>
                <w:lang w:val="de-CH"/>
              </w:rPr>
            </w:pPr>
            <w:r w:rsidRPr="00033FA6">
              <w:rPr>
                <w:vertAlign w:val="superscript"/>
                <w:lang w:val="de-CH"/>
              </w:rPr>
              <w:t>2</w:t>
            </w:r>
            <w:r w:rsidR="005B7E7E">
              <w:rPr>
                <w:lang w:val="de-CH"/>
              </w:rPr>
              <w:t xml:space="preserve"> </w:t>
            </w:r>
            <w:r w:rsidRPr="00033FA6">
              <w:rPr>
                <w:lang w:val="de-CH"/>
              </w:rPr>
              <w:t>Die Grundtaxe beträgt Fr</w:t>
            </w:r>
            <w:r w:rsidR="00671644" w:rsidRPr="00033FA6">
              <w:rPr>
                <w:lang w:val="de-CH"/>
              </w:rPr>
              <w:t xml:space="preserve">. </w:t>
            </w:r>
            <w:r w:rsidR="004D763E" w:rsidRPr="00033FA6">
              <w:rPr>
                <w:lang w:val="de-CH"/>
              </w:rPr>
              <w:t>…</w:t>
            </w:r>
          </w:p>
          <w:p w14:paraId="1EC5DC6A" w14:textId="77777777" w:rsidR="00A65E20" w:rsidRPr="00033FA6" w:rsidRDefault="00366ED8" w:rsidP="00033FA6">
            <w:pPr>
              <w:tabs>
                <w:tab w:val="left" w:pos="250"/>
                <w:tab w:val="left" w:pos="940"/>
                <w:tab w:val="left" w:pos="1082"/>
              </w:tabs>
              <w:spacing w:after="360"/>
              <w:rPr>
                <w:lang w:val="de-CH"/>
              </w:rPr>
            </w:pPr>
            <w:r w:rsidRPr="00033FA6">
              <w:rPr>
                <w:vertAlign w:val="superscript"/>
                <w:lang w:val="de-CH"/>
              </w:rPr>
              <w:t>3</w:t>
            </w:r>
            <w:r w:rsidR="005B7E7E">
              <w:rPr>
                <w:lang w:val="de-CH"/>
              </w:rPr>
              <w:t xml:space="preserve"> </w:t>
            </w:r>
            <w:r w:rsidRPr="00033FA6">
              <w:rPr>
                <w:lang w:val="de-CH"/>
              </w:rPr>
              <w:t>Die proportionale Gebühr beträgt Fr</w:t>
            </w:r>
            <w:r w:rsidR="00671644" w:rsidRPr="00033FA6">
              <w:rPr>
                <w:lang w:val="de-CH"/>
              </w:rPr>
              <w:t xml:space="preserve">. </w:t>
            </w:r>
            <w:r w:rsidR="004D763E" w:rsidRPr="00033FA6">
              <w:rPr>
                <w:lang w:val="de-CH"/>
              </w:rPr>
              <w:t>…</w:t>
            </w:r>
          </w:p>
        </w:tc>
      </w:tr>
      <w:tr w:rsidR="00A65E20" w:rsidRPr="00033FA6" w14:paraId="0080D54E" w14:textId="77777777" w:rsidTr="00033FA6">
        <w:tc>
          <w:tcPr>
            <w:tcW w:w="1800" w:type="dxa"/>
          </w:tcPr>
          <w:p w14:paraId="4B852405" w14:textId="77777777" w:rsidR="00A65E20" w:rsidRPr="00033FA6" w:rsidRDefault="00A65E20" w:rsidP="00033FA6">
            <w:pPr>
              <w:jc w:val="left"/>
              <w:rPr>
                <w:lang w:val="de-CH"/>
              </w:rPr>
            </w:pPr>
          </w:p>
        </w:tc>
        <w:tc>
          <w:tcPr>
            <w:tcW w:w="239" w:type="dxa"/>
          </w:tcPr>
          <w:p w14:paraId="4DC3BA51" w14:textId="77777777" w:rsidR="00A65E20" w:rsidRPr="00033FA6" w:rsidRDefault="00A65E20" w:rsidP="00D84A94">
            <w:pPr>
              <w:rPr>
                <w:lang w:val="de-CH"/>
              </w:rPr>
            </w:pPr>
          </w:p>
        </w:tc>
        <w:tc>
          <w:tcPr>
            <w:tcW w:w="7567" w:type="dxa"/>
          </w:tcPr>
          <w:p w14:paraId="68CFA1D8" w14:textId="77777777" w:rsidR="00A65E20" w:rsidRPr="00033FA6" w:rsidRDefault="00366ED8" w:rsidP="00033FA6">
            <w:pPr>
              <w:pStyle w:val="berschrift1"/>
              <w:spacing w:after="240"/>
              <w:ind w:left="374" w:hanging="374"/>
              <w:jc w:val="left"/>
              <w:rPr>
                <w:sz w:val="22"/>
                <w:szCs w:val="22"/>
                <w:lang w:val="de-CH"/>
              </w:rPr>
            </w:pPr>
            <w:r w:rsidRPr="00033FA6">
              <w:rPr>
                <w:sz w:val="22"/>
                <w:szCs w:val="22"/>
                <w:lang w:val="de-CH"/>
              </w:rPr>
              <w:t>III.</w:t>
            </w:r>
            <w:r w:rsidRPr="00033FA6">
              <w:rPr>
                <w:sz w:val="22"/>
                <w:szCs w:val="22"/>
                <w:lang w:val="de-CH"/>
              </w:rPr>
              <w:tab/>
              <w:t>ERSATZABGABEN</w:t>
            </w:r>
          </w:p>
        </w:tc>
      </w:tr>
      <w:tr w:rsidR="00A65E20" w:rsidRPr="00C733A8" w14:paraId="4F02C0F7" w14:textId="77777777" w:rsidTr="00033FA6">
        <w:tc>
          <w:tcPr>
            <w:tcW w:w="1800" w:type="dxa"/>
          </w:tcPr>
          <w:p w14:paraId="6983D226" w14:textId="77777777" w:rsidR="00A65E20" w:rsidRPr="00033FA6" w:rsidRDefault="00366ED8" w:rsidP="00033FA6">
            <w:pPr>
              <w:jc w:val="left"/>
              <w:rPr>
                <w:lang w:val="de-CH"/>
              </w:rPr>
            </w:pPr>
            <w:r w:rsidRPr="00033FA6">
              <w:rPr>
                <w:lang w:val="de-CH"/>
              </w:rPr>
              <w:t>Parkplätze</w:t>
            </w:r>
          </w:p>
        </w:tc>
        <w:tc>
          <w:tcPr>
            <w:tcW w:w="239" w:type="dxa"/>
          </w:tcPr>
          <w:p w14:paraId="0121DA38" w14:textId="77777777" w:rsidR="00A65E20" w:rsidRPr="00033FA6" w:rsidRDefault="00A65E20" w:rsidP="00D84A94">
            <w:pPr>
              <w:rPr>
                <w:lang w:val="de-CH"/>
              </w:rPr>
            </w:pPr>
          </w:p>
        </w:tc>
        <w:tc>
          <w:tcPr>
            <w:tcW w:w="7567" w:type="dxa"/>
          </w:tcPr>
          <w:p w14:paraId="0ABD5031" w14:textId="178C436F" w:rsidR="00366ED8" w:rsidRPr="00033FA6" w:rsidRDefault="00806356" w:rsidP="00033FA6">
            <w:pPr>
              <w:tabs>
                <w:tab w:val="left" w:pos="940"/>
                <w:tab w:val="left" w:pos="1098"/>
              </w:tabs>
              <w:spacing w:after="240"/>
              <w:rPr>
                <w:lang w:val="de-CH"/>
              </w:rPr>
            </w:pPr>
            <w:r w:rsidRPr="00033FA6">
              <w:rPr>
                <w:b/>
                <w:lang w:val="de-CH"/>
              </w:rPr>
              <w:t>Art.</w:t>
            </w:r>
            <w:r w:rsidR="00366ED8" w:rsidRPr="00033FA6">
              <w:rPr>
                <w:b/>
                <w:lang w:val="de-CH"/>
              </w:rPr>
              <w:t xml:space="preserve"> </w:t>
            </w:r>
            <w:r w:rsidR="00836318">
              <w:rPr>
                <w:b/>
                <w:lang w:val="de-CH"/>
              </w:rPr>
              <w:t>5</w:t>
            </w:r>
            <w:r w:rsidR="00366ED8" w:rsidRPr="00033FA6">
              <w:rPr>
                <w:b/>
                <w:lang w:val="de-CH"/>
              </w:rPr>
              <w:t>.</w:t>
            </w:r>
            <w:r w:rsidR="005D3138" w:rsidRPr="00033FA6">
              <w:rPr>
                <w:lang w:val="de-CH"/>
              </w:rPr>
              <w:tab/>
            </w:r>
            <w:r w:rsidR="00366ED8" w:rsidRPr="00033FA6">
              <w:rPr>
                <w:vertAlign w:val="superscript"/>
                <w:lang w:val="de-CH"/>
              </w:rPr>
              <w:t>1</w:t>
            </w:r>
            <w:r w:rsidR="005B7E7E">
              <w:rPr>
                <w:vertAlign w:val="superscript"/>
                <w:lang w:val="de-CH"/>
              </w:rPr>
              <w:t xml:space="preserve"> </w:t>
            </w:r>
            <w:r w:rsidR="00366ED8" w:rsidRPr="00033FA6">
              <w:rPr>
                <w:lang w:val="de-CH"/>
              </w:rPr>
              <w:t>Bei der Befreiung von der Pflicht zur Erstellung von Parkplätzen wird eine Ersatzabgabe geschuldet.</w:t>
            </w:r>
          </w:p>
          <w:p w14:paraId="1BBA23F9" w14:textId="77777777" w:rsidR="00A65E20" w:rsidRPr="00033FA6" w:rsidRDefault="00366ED8" w:rsidP="00033FA6">
            <w:pPr>
              <w:tabs>
                <w:tab w:val="left" w:pos="250"/>
                <w:tab w:val="left" w:pos="940"/>
                <w:tab w:val="left" w:pos="1082"/>
              </w:tabs>
              <w:spacing w:after="360"/>
              <w:rPr>
                <w:lang w:val="de-CH"/>
              </w:rPr>
            </w:pPr>
            <w:r w:rsidRPr="00033FA6">
              <w:rPr>
                <w:vertAlign w:val="superscript"/>
                <w:lang w:val="de-CH"/>
              </w:rPr>
              <w:t>2</w:t>
            </w:r>
            <w:r w:rsidR="005B7E7E">
              <w:rPr>
                <w:lang w:val="de-CH"/>
              </w:rPr>
              <w:t xml:space="preserve"> </w:t>
            </w:r>
            <w:r w:rsidRPr="00033FA6">
              <w:rPr>
                <w:lang w:val="de-CH"/>
              </w:rPr>
              <w:t>Die erforderliche Anzahl Parkplätze wird durch das Gemeindebaureglement festgelegt.</w:t>
            </w:r>
          </w:p>
        </w:tc>
      </w:tr>
      <w:tr w:rsidR="00A65E20" w:rsidRPr="00C733A8" w14:paraId="44DC02F8" w14:textId="77777777" w:rsidTr="00033FA6">
        <w:tc>
          <w:tcPr>
            <w:tcW w:w="1800" w:type="dxa"/>
          </w:tcPr>
          <w:p w14:paraId="37B19A16" w14:textId="77777777" w:rsidR="00A65E20" w:rsidRPr="00033FA6" w:rsidRDefault="00366ED8" w:rsidP="00033FA6">
            <w:pPr>
              <w:jc w:val="left"/>
              <w:rPr>
                <w:lang w:val="de-CH"/>
              </w:rPr>
            </w:pPr>
            <w:r w:rsidRPr="00033FA6">
              <w:rPr>
                <w:lang w:val="de-CH"/>
              </w:rPr>
              <w:t>Spiel</w:t>
            </w:r>
            <w:r w:rsidR="009F2E25" w:rsidRPr="00033FA6">
              <w:rPr>
                <w:lang w:val="de-CH"/>
              </w:rPr>
              <w:t>- und Erholungs</w:t>
            </w:r>
            <w:r w:rsidRPr="00033FA6">
              <w:rPr>
                <w:lang w:val="de-CH"/>
              </w:rPr>
              <w:t>plätze</w:t>
            </w:r>
          </w:p>
        </w:tc>
        <w:tc>
          <w:tcPr>
            <w:tcW w:w="239" w:type="dxa"/>
          </w:tcPr>
          <w:p w14:paraId="337111C3" w14:textId="77777777" w:rsidR="00A65E20" w:rsidRPr="00033FA6" w:rsidRDefault="00A65E20" w:rsidP="00D84A94">
            <w:pPr>
              <w:rPr>
                <w:lang w:val="de-CH"/>
              </w:rPr>
            </w:pPr>
          </w:p>
        </w:tc>
        <w:tc>
          <w:tcPr>
            <w:tcW w:w="7567" w:type="dxa"/>
          </w:tcPr>
          <w:p w14:paraId="13C34287" w14:textId="5A58FFFE" w:rsidR="00A65E20" w:rsidRPr="00033FA6" w:rsidRDefault="00806356" w:rsidP="00033FA6">
            <w:pPr>
              <w:tabs>
                <w:tab w:val="left" w:pos="940"/>
                <w:tab w:val="left" w:pos="1098"/>
              </w:tabs>
              <w:spacing w:after="360"/>
              <w:rPr>
                <w:lang w:val="de-CH"/>
              </w:rPr>
            </w:pPr>
            <w:r w:rsidRPr="00033FA6">
              <w:rPr>
                <w:b/>
                <w:lang w:val="de-CH"/>
              </w:rPr>
              <w:t xml:space="preserve">Art. </w:t>
            </w:r>
            <w:r w:rsidR="00836318">
              <w:rPr>
                <w:b/>
                <w:lang w:val="de-CH"/>
              </w:rPr>
              <w:t>6</w:t>
            </w:r>
            <w:r w:rsidR="00366ED8" w:rsidRPr="00033FA6">
              <w:rPr>
                <w:b/>
                <w:lang w:val="de-CH"/>
              </w:rPr>
              <w:t>.</w:t>
            </w:r>
            <w:r w:rsidR="005D3138" w:rsidRPr="00033FA6">
              <w:rPr>
                <w:b/>
                <w:lang w:val="de-CH"/>
              </w:rPr>
              <w:tab/>
            </w:r>
            <w:r w:rsidR="00257A99" w:rsidRPr="000D1EA7">
              <w:rPr>
                <w:vertAlign w:val="superscript"/>
                <w:lang w:val="de-CH"/>
              </w:rPr>
              <w:t>1</w:t>
            </w:r>
            <w:r w:rsidR="00257A99">
              <w:rPr>
                <w:vertAlign w:val="superscript"/>
                <w:lang w:val="de-CH"/>
              </w:rPr>
              <w:t xml:space="preserve"> </w:t>
            </w:r>
            <w:r w:rsidR="00366ED8" w:rsidRPr="00033FA6">
              <w:rPr>
                <w:lang w:val="de-CH"/>
              </w:rPr>
              <w:t xml:space="preserve">Bei der Befreiung von der Pflicht zur Erstellung von Spiel- </w:t>
            </w:r>
            <w:r w:rsidR="009F2E25" w:rsidRPr="00033FA6">
              <w:rPr>
                <w:lang w:val="de-CH"/>
              </w:rPr>
              <w:t>oder</w:t>
            </w:r>
            <w:r w:rsidR="00366ED8" w:rsidRPr="00033FA6">
              <w:rPr>
                <w:lang w:val="de-CH"/>
              </w:rPr>
              <w:t xml:space="preserve"> Erholungsplätzen nach Art. 63 RPBR wird eine Ersatzabgabe geschuldet.</w:t>
            </w:r>
          </w:p>
        </w:tc>
      </w:tr>
      <w:tr w:rsidR="00A65E20" w:rsidRPr="00C733A8" w14:paraId="12EEC3C3" w14:textId="77777777" w:rsidTr="00033FA6">
        <w:tc>
          <w:tcPr>
            <w:tcW w:w="1800" w:type="dxa"/>
          </w:tcPr>
          <w:p w14:paraId="476ABA56" w14:textId="77777777" w:rsidR="00A65E20" w:rsidRPr="000D1EA7" w:rsidRDefault="00CF4697" w:rsidP="00033FA6">
            <w:pPr>
              <w:jc w:val="left"/>
              <w:rPr>
                <w:lang w:val="de-CH"/>
              </w:rPr>
            </w:pPr>
            <w:r w:rsidRPr="000D1EA7">
              <w:rPr>
                <w:lang w:val="de-CH"/>
              </w:rPr>
              <w:t>Berechnungs</w:t>
            </w:r>
            <w:r w:rsidR="00366ED8" w:rsidRPr="000D1EA7">
              <w:rPr>
                <w:lang w:val="de-CH"/>
              </w:rPr>
              <w:t>art und Beträge</w:t>
            </w:r>
          </w:p>
        </w:tc>
        <w:tc>
          <w:tcPr>
            <w:tcW w:w="239" w:type="dxa"/>
          </w:tcPr>
          <w:p w14:paraId="647B51B4" w14:textId="77777777" w:rsidR="00A65E20" w:rsidRPr="000D1EA7" w:rsidRDefault="00A65E20" w:rsidP="00D84A94">
            <w:pPr>
              <w:rPr>
                <w:lang w:val="de-CH"/>
              </w:rPr>
            </w:pPr>
          </w:p>
        </w:tc>
        <w:tc>
          <w:tcPr>
            <w:tcW w:w="7567" w:type="dxa"/>
          </w:tcPr>
          <w:p w14:paraId="69FA45C6" w14:textId="0C78BA98" w:rsidR="00366ED8" w:rsidRPr="000D1EA7" w:rsidRDefault="00806356" w:rsidP="00033FA6">
            <w:pPr>
              <w:tabs>
                <w:tab w:val="left" w:pos="940"/>
                <w:tab w:val="left" w:pos="1098"/>
              </w:tabs>
              <w:spacing w:after="240"/>
              <w:rPr>
                <w:lang w:val="de-CH"/>
              </w:rPr>
            </w:pPr>
            <w:r w:rsidRPr="000D1EA7">
              <w:rPr>
                <w:b/>
                <w:lang w:val="de-CH"/>
              </w:rPr>
              <w:t xml:space="preserve">Art. </w:t>
            </w:r>
            <w:r w:rsidR="00836318">
              <w:rPr>
                <w:b/>
                <w:lang w:val="de-CH"/>
              </w:rPr>
              <w:t>7</w:t>
            </w:r>
            <w:r w:rsidR="00366ED8" w:rsidRPr="000D1EA7">
              <w:rPr>
                <w:b/>
                <w:lang w:val="de-CH"/>
              </w:rPr>
              <w:t>.</w:t>
            </w:r>
            <w:r w:rsidR="005D3138" w:rsidRPr="000D1EA7">
              <w:rPr>
                <w:lang w:val="de-CH"/>
              </w:rPr>
              <w:tab/>
            </w:r>
            <w:r w:rsidR="00366ED8" w:rsidRPr="000D1EA7">
              <w:rPr>
                <w:vertAlign w:val="superscript"/>
                <w:lang w:val="de-CH"/>
              </w:rPr>
              <w:t>1</w:t>
            </w:r>
            <w:r w:rsidR="00FD7897">
              <w:rPr>
                <w:vertAlign w:val="superscript"/>
                <w:lang w:val="de-CH"/>
              </w:rPr>
              <w:t xml:space="preserve"> </w:t>
            </w:r>
            <w:r w:rsidR="00366ED8" w:rsidRPr="000D1EA7">
              <w:rPr>
                <w:lang w:val="de-CH"/>
              </w:rPr>
              <w:t xml:space="preserve">Die in den Artikeln </w:t>
            </w:r>
            <w:r w:rsidR="00583B12">
              <w:rPr>
                <w:lang w:val="de-CH"/>
              </w:rPr>
              <w:t>5</w:t>
            </w:r>
            <w:r w:rsidR="00366ED8" w:rsidRPr="000D1EA7">
              <w:rPr>
                <w:lang w:val="de-CH"/>
              </w:rPr>
              <w:t xml:space="preserve"> und </w:t>
            </w:r>
            <w:r w:rsidR="00583B12">
              <w:rPr>
                <w:lang w:val="de-CH"/>
              </w:rPr>
              <w:t>6</w:t>
            </w:r>
            <w:r w:rsidR="00366ED8" w:rsidRPr="000D1EA7">
              <w:rPr>
                <w:lang w:val="de-CH"/>
              </w:rPr>
              <w:t xml:space="preserve"> vorgesehenen Ersatzabgaben werden je im Verhältnis d</w:t>
            </w:r>
            <w:r w:rsidR="00671644" w:rsidRPr="000D1EA7">
              <w:rPr>
                <w:lang w:val="de-CH"/>
              </w:rPr>
              <w:t>er Anzahl Parkplätze beziehungs</w:t>
            </w:r>
            <w:r w:rsidR="00366ED8" w:rsidRPr="000D1EA7">
              <w:rPr>
                <w:lang w:val="de-CH"/>
              </w:rPr>
              <w:t>weise der Fläche der Spielplätze, die zu errichten wären, berechnet.</w:t>
            </w:r>
          </w:p>
          <w:p w14:paraId="41539F89" w14:textId="77777777" w:rsidR="00366ED8" w:rsidRPr="000D1EA7" w:rsidRDefault="00366ED8" w:rsidP="00033FA6">
            <w:pPr>
              <w:tabs>
                <w:tab w:val="left" w:pos="250"/>
                <w:tab w:val="left" w:pos="940"/>
                <w:tab w:val="left" w:pos="1082"/>
              </w:tabs>
              <w:spacing w:after="240"/>
              <w:rPr>
                <w:lang w:val="de-CH"/>
              </w:rPr>
            </w:pPr>
            <w:r w:rsidRPr="000D1EA7">
              <w:rPr>
                <w:vertAlign w:val="superscript"/>
                <w:lang w:val="de-CH"/>
              </w:rPr>
              <w:t>2</w:t>
            </w:r>
            <w:r w:rsidR="00FD7897">
              <w:rPr>
                <w:lang w:val="de-CH"/>
              </w:rPr>
              <w:t xml:space="preserve"> </w:t>
            </w:r>
            <w:r w:rsidRPr="000D1EA7">
              <w:rPr>
                <w:lang w:val="de-CH"/>
              </w:rPr>
              <w:t>Die Abgabe pro Parkplatz beträgt Fr</w:t>
            </w:r>
            <w:r w:rsidR="003F4C69">
              <w:rPr>
                <w:lang w:val="de-CH"/>
              </w:rPr>
              <w:t>.</w:t>
            </w:r>
            <w:r w:rsidR="002525A0" w:rsidRPr="000D1EA7">
              <w:rPr>
                <w:lang w:val="de-CH"/>
              </w:rPr>
              <w:t xml:space="preserve"> </w:t>
            </w:r>
            <w:r w:rsidR="004D763E" w:rsidRPr="000D1EA7">
              <w:rPr>
                <w:lang w:val="de-CH"/>
              </w:rPr>
              <w:t>…</w:t>
            </w:r>
          </w:p>
          <w:p w14:paraId="401C261C" w14:textId="77777777" w:rsidR="00401FB8" w:rsidRPr="000D1EA7" w:rsidRDefault="00366ED8" w:rsidP="00033FA6">
            <w:pPr>
              <w:tabs>
                <w:tab w:val="left" w:pos="250"/>
                <w:tab w:val="left" w:pos="940"/>
                <w:tab w:val="left" w:pos="1082"/>
              </w:tabs>
              <w:spacing w:after="360"/>
              <w:rPr>
                <w:lang w:val="de-CH"/>
              </w:rPr>
            </w:pPr>
            <w:r w:rsidRPr="000D1EA7">
              <w:rPr>
                <w:vertAlign w:val="superscript"/>
                <w:lang w:val="de-CH"/>
              </w:rPr>
              <w:t>3</w:t>
            </w:r>
            <w:r w:rsidR="00FD7897">
              <w:rPr>
                <w:lang w:val="de-CH"/>
              </w:rPr>
              <w:t xml:space="preserve"> </w:t>
            </w:r>
            <w:r w:rsidRPr="000D1EA7">
              <w:rPr>
                <w:lang w:val="de-CH"/>
              </w:rPr>
              <w:t>Die Abgabe pro m</w:t>
            </w:r>
            <w:r w:rsidRPr="000D1EA7">
              <w:rPr>
                <w:vertAlign w:val="superscript"/>
                <w:lang w:val="de-CH"/>
              </w:rPr>
              <w:t>2</w:t>
            </w:r>
            <w:r w:rsidRPr="000D1EA7">
              <w:rPr>
                <w:lang w:val="de-CH"/>
              </w:rPr>
              <w:t xml:space="preserve"> an Spiel</w:t>
            </w:r>
            <w:r w:rsidR="009F2E25" w:rsidRPr="000D1EA7">
              <w:rPr>
                <w:lang w:val="de-CH"/>
              </w:rPr>
              <w:t>- oder Erholungs</w:t>
            </w:r>
            <w:r w:rsidRPr="000D1EA7">
              <w:rPr>
                <w:lang w:val="de-CH"/>
              </w:rPr>
              <w:t>platzfläche beträgt Fr</w:t>
            </w:r>
            <w:r w:rsidR="003F4C69">
              <w:rPr>
                <w:lang w:val="de-CH"/>
              </w:rPr>
              <w:t>.</w:t>
            </w:r>
            <w:r w:rsidR="002525A0" w:rsidRPr="000D1EA7">
              <w:rPr>
                <w:lang w:val="de-CH"/>
              </w:rPr>
              <w:t xml:space="preserve"> </w:t>
            </w:r>
            <w:r w:rsidR="004D763E" w:rsidRPr="000D1EA7">
              <w:rPr>
                <w:lang w:val="de-CH"/>
              </w:rPr>
              <w:t>…</w:t>
            </w:r>
          </w:p>
        </w:tc>
      </w:tr>
      <w:tr w:rsidR="00A65E20" w:rsidRPr="000D1EA7" w14:paraId="0851A38F" w14:textId="77777777" w:rsidTr="00033FA6">
        <w:tc>
          <w:tcPr>
            <w:tcW w:w="1800" w:type="dxa"/>
          </w:tcPr>
          <w:p w14:paraId="6CD8BD2B" w14:textId="77777777" w:rsidR="00A65E20" w:rsidRPr="000D1EA7" w:rsidRDefault="00A65E20" w:rsidP="00033FA6">
            <w:pPr>
              <w:jc w:val="left"/>
              <w:rPr>
                <w:lang w:val="de-CH"/>
              </w:rPr>
            </w:pPr>
          </w:p>
        </w:tc>
        <w:tc>
          <w:tcPr>
            <w:tcW w:w="239" w:type="dxa"/>
          </w:tcPr>
          <w:p w14:paraId="51DE16B4" w14:textId="77777777" w:rsidR="00A65E20" w:rsidRPr="000D1EA7" w:rsidRDefault="00A65E20" w:rsidP="00D84A94">
            <w:pPr>
              <w:rPr>
                <w:lang w:val="de-CH"/>
              </w:rPr>
            </w:pPr>
          </w:p>
        </w:tc>
        <w:tc>
          <w:tcPr>
            <w:tcW w:w="7567" w:type="dxa"/>
          </w:tcPr>
          <w:p w14:paraId="5019C970" w14:textId="77777777" w:rsidR="00A65E20" w:rsidRPr="000D1EA7" w:rsidRDefault="00366ED8" w:rsidP="00033FA6">
            <w:pPr>
              <w:pStyle w:val="berschrift1"/>
              <w:spacing w:after="240"/>
              <w:ind w:left="374" w:hanging="374"/>
              <w:jc w:val="left"/>
              <w:rPr>
                <w:sz w:val="22"/>
                <w:szCs w:val="22"/>
                <w:lang w:val="de-CH"/>
              </w:rPr>
            </w:pPr>
            <w:r w:rsidRPr="000D1EA7">
              <w:rPr>
                <w:sz w:val="22"/>
                <w:szCs w:val="22"/>
              </w:rPr>
              <w:t>IV.</w:t>
            </w:r>
            <w:r w:rsidRPr="000D1EA7">
              <w:rPr>
                <w:sz w:val="22"/>
                <w:szCs w:val="22"/>
              </w:rPr>
              <w:tab/>
              <w:t>GEMEINSAME BESTIMMUNGEN</w:t>
            </w:r>
          </w:p>
        </w:tc>
      </w:tr>
      <w:tr w:rsidR="00A65E20" w:rsidRPr="00B46B80" w14:paraId="16E317C3" w14:textId="77777777" w:rsidTr="00033FA6">
        <w:trPr>
          <w:trHeight w:val="278"/>
        </w:trPr>
        <w:tc>
          <w:tcPr>
            <w:tcW w:w="1800" w:type="dxa"/>
          </w:tcPr>
          <w:p w14:paraId="3EFC5E92" w14:textId="77777777" w:rsidR="00A65E20" w:rsidRPr="000D1EA7" w:rsidRDefault="00531BFB" w:rsidP="00033FA6">
            <w:pPr>
              <w:jc w:val="left"/>
            </w:pPr>
            <w:r w:rsidRPr="000D1EA7">
              <w:rPr>
                <w:lang w:val="de-CH"/>
              </w:rPr>
              <w:t>Fälligkeit</w:t>
            </w:r>
          </w:p>
        </w:tc>
        <w:tc>
          <w:tcPr>
            <w:tcW w:w="239" w:type="dxa"/>
          </w:tcPr>
          <w:p w14:paraId="72C4D4A9" w14:textId="77777777" w:rsidR="00A65E20" w:rsidRPr="000D1EA7" w:rsidRDefault="00A65E20" w:rsidP="00D84A94"/>
        </w:tc>
        <w:tc>
          <w:tcPr>
            <w:tcW w:w="7567" w:type="dxa"/>
          </w:tcPr>
          <w:p w14:paraId="041F5E7F" w14:textId="6422E477" w:rsidR="00366ED8" w:rsidRPr="000D1EA7" w:rsidRDefault="00806356" w:rsidP="00033FA6">
            <w:pPr>
              <w:tabs>
                <w:tab w:val="left" w:pos="940"/>
                <w:tab w:val="left" w:pos="1098"/>
              </w:tabs>
              <w:spacing w:after="240"/>
              <w:rPr>
                <w:lang w:val="de-CH"/>
              </w:rPr>
            </w:pPr>
            <w:r w:rsidRPr="000D1EA7">
              <w:rPr>
                <w:b/>
                <w:lang w:val="de-CH"/>
              </w:rPr>
              <w:t xml:space="preserve">Art. </w:t>
            </w:r>
            <w:r w:rsidR="00836318">
              <w:rPr>
                <w:b/>
                <w:lang w:val="de-CH"/>
              </w:rPr>
              <w:t>8</w:t>
            </w:r>
            <w:r w:rsidR="00366ED8" w:rsidRPr="000D1EA7">
              <w:rPr>
                <w:b/>
                <w:lang w:val="de-CH"/>
              </w:rPr>
              <w:t>.</w:t>
            </w:r>
            <w:r w:rsidR="005D3138" w:rsidRPr="000D1EA7">
              <w:rPr>
                <w:lang w:val="de-CH"/>
              </w:rPr>
              <w:tab/>
            </w:r>
            <w:r w:rsidR="00366ED8" w:rsidRPr="000D1EA7">
              <w:rPr>
                <w:vertAlign w:val="superscript"/>
                <w:lang w:val="de-CH"/>
              </w:rPr>
              <w:t>1</w:t>
            </w:r>
            <w:r w:rsidR="009D4BD2">
              <w:rPr>
                <w:vertAlign w:val="superscript"/>
                <w:lang w:val="de-CH"/>
              </w:rPr>
              <w:t xml:space="preserve"> </w:t>
            </w:r>
            <w:r w:rsidR="00366ED8" w:rsidRPr="000D1EA7">
              <w:rPr>
                <w:lang w:val="de-CH"/>
              </w:rPr>
              <w:t>Für die in Art. 3 Abs. 1 erwähnten Leistungen wird der Gebührenbetrag im Zeitpunkt der Genehmigung des Detailbebauungsplans, im Zeitpunkt der Erteilung der Bewilligung, der Kontrolle der Arbeiten beziehungsweise im Zeitpunkt der Erteilung</w:t>
            </w:r>
            <w:r w:rsidR="00770F96" w:rsidRPr="000D1EA7">
              <w:rPr>
                <w:lang w:val="de-CH"/>
              </w:rPr>
              <w:t xml:space="preserve"> der Bezugsbewilligung erhoben.</w:t>
            </w:r>
          </w:p>
          <w:p w14:paraId="4278CE6E" w14:textId="77777777" w:rsidR="00366ED8" w:rsidRPr="000D1EA7" w:rsidRDefault="00366ED8" w:rsidP="00033FA6">
            <w:pPr>
              <w:tabs>
                <w:tab w:val="left" w:pos="250"/>
                <w:tab w:val="left" w:pos="940"/>
                <w:tab w:val="left" w:pos="1082"/>
              </w:tabs>
              <w:spacing w:after="240"/>
              <w:rPr>
                <w:lang w:val="de-CH"/>
              </w:rPr>
            </w:pPr>
            <w:r w:rsidRPr="000D1EA7">
              <w:rPr>
                <w:vertAlign w:val="superscript"/>
                <w:lang w:val="de-CH"/>
              </w:rPr>
              <w:t>2</w:t>
            </w:r>
            <w:r w:rsidR="009D4BD2">
              <w:rPr>
                <w:lang w:val="de-CH"/>
              </w:rPr>
              <w:t xml:space="preserve"> </w:t>
            </w:r>
            <w:r w:rsidRPr="000D1EA7">
              <w:rPr>
                <w:lang w:val="de-CH"/>
              </w:rPr>
              <w:t xml:space="preserve">Bei den Vorprüfungsgesuchen wird die </w:t>
            </w:r>
            <w:r w:rsidR="00256F35">
              <w:rPr>
                <w:lang w:val="de-CH"/>
              </w:rPr>
              <w:t>G</w:t>
            </w:r>
            <w:r w:rsidRPr="000D1EA7">
              <w:rPr>
                <w:lang w:val="de-CH"/>
              </w:rPr>
              <w:t>ebühr innert sechs Monaten seit Zustellung des Vorprüfungsberichts erhoben, sofern innert dieser Frist nic</w:t>
            </w:r>
            <w:r w:rsidR="009D4BD2">
              <w:rPr>
                <w:lang w:val="de-CH"/>
              </w:rPr>
              <w:t>ht ein endgültiges Gesuch einge</w:t>
            </w:r>
            <w:r w:rsidRPr="000D1EA7">
              <w:rPr>
                <w:lang w:val="de-CH"/>
              </w:rPr>
              <w:t>reicht wird.</w:t>
            </w:r>
          </w:p>
          <w:p w14:paraId="2F9436D1" w14:textId="77777777" w:rsidR="00366ED8" w:rsidRPr="000D1EA7" w:rsidRDefault="00366ED8" w:rsidP="00033FA6">
            <w:pPr>
              <w:tabs>
                <w:tab w:val="left" w:pos="250"/>
                <w:tab w:val="left" w:pos="940"/>
                <w:tab w:val="left" w:pos="1082"/>
              </w:tabs>
              <w:spacing w:after="240"/>
              <w:rPr>
                <w:lang w:val="de-CH"/>
              </w:rPr>
            </w:pPr>
            <w:r w:rsidRPr="000D1EA7">
              <w:rPr>
                <w:vertAlign w:val="superscript"/>
                <w:lang w:val="de-CH"/>
              </w:rPr>
              <w:t>3</w:t>
            </w:r>
            <w:r w:rsidR="009D4BD2">
              <w:rPr>
                <w:vertAlign w:val="superscript"/>
                <w:lang w:val="de-CH"/>
              </w:rPr>
              <w:t xml:space="preserve"> </w:t>
            </w:r>
            <w:r w:rsidRPr="000D1EA7">
              <w:rPr>
                <w:lang w:val="de-CH"/>
              </w:rPr>
              <w:t>Die Ersatzabgabe ist ab der Erteil</w:t>
            </w:r>
            <w:r w:rsidR="0071582E" w:rsidRPr="000D1EA7">
              <w:rPr>
                <w:lang w:val="de-CH"/>
              </w:rPr>
              <w:t>ung der Bewilligung geschuldet.</w:t>
            </w:r>
          </w:p>
          <w:p w14:paraId="6407B622" w14:textId="77777777" w:rsidR="00A65E20" w:rsidRPr="000D1EA7" w:rsidRDefault="00366ED8" w:rsidP="00B46B80">
            <w:pPr>
              <w:tabs>
                <w:tab w:val="left" w:pos="250"/>
                <w:tab w:val="left" w:pos="940"/>
                <w:tab w:val="left" w:pos="1082"/>
              </w:tabs>
              <w:spacing w:after="360"/>
              <w:rPr>
                <w:lang w:val="de-CH"/>
              </w:rPr>
            </w:pPr>
            <w:r w:rsidRPr="000D1EA7">
              <w:rPr>
                <w:vertAlign w:val="superscript"/>
                <w:lang w:val="de-CH"/>
              </w:rPr>
              <w:t>4</w:t>
            </w:r>
            <w:r w:rsidR="009D4BD2">
              <w:rPr>
                <w:lang w:val="de-CH"/>
              </w:rPr>
              <w:t xml:space="preserve"> </w:t>
            </w:r>
            <w:r w:rsidRPr="000D1EA7">
              <w:rPr>
                <w:lang w:val="de-CH"/>
              </w:rPr>
              <w:t xml:space="preserve">Für jede nicht bei Fälligkeit bezahlte </w:t>
            </w:r>
            <w:r w:rsidR="00B46B80">
              <w:rPr>
                <w:lang w:val="de-CH"/>
              </w:rPr>
              <w:t>G</w:t>
            </w:r>
            <w:r w:rsidRPr="000D1EA7">
              <w:rPr>
                <w:lang w:val="de-CH"/>
              </w:rPr>
              <w:t>ebühr oder Ersatzabgabe wird ein Verzugszins</w:t>
            </w:r>
            <w:r w:rsidR="00B3132D" w:rsidRPr="000D1EA7">
              <w:rPr>
                <w:lang w:val="de-CH"/>
              </w:rPr>
              <w:t xml:space="preserve"> erhoben</w:t>
            </w:r>
            <w:r w:rsidR="0071582E" w:rsidRPr="000D1EA7">
              <w:rPr>
                <w:lang w:val="de-CH"/>
              </w:rPr>
              <w:t>.</w:t>
            </w:r>
            <w:r w:rsidR="00B3132D" w:rsidRPr="000D1EA7">
              <w:rPr>
                <w:lang w:val="de-CH"/>
              </w:rPr>
              <w:t xml:space="preserve"> Anwendbar ist der Verzugszinssatz der Einkommens- und Vermögenssteuer.</w:t>
            </w:r>
          </w:p>
        </w:tc>
      </w:tr>
    </w:tbl>
    <w:p w14:paraId="3F32F999" w14:textId="77777777" w:rsidR="00293FD3" w:rsidRDefault="00293FD3">
      <w:r>
        <w:br w:type="page"/>
      </w:r>
    </w:p>
    <w:tbl>
      <w:tblPr>
        <w:tblW w:w="9606" w:type="dxa"/>
        <w:tblLayout w:type="fixed"/>
        <w:tblLook w:val="01E0" w:firstRow="1" w:lastRow="1" w:firstColumn="1" w:lastColumn="1" w:noHBand="0" w:noVBand="0"/>
      </w:tblPr>
      <w:tblGrid>
        <w:gridCol w:w="1800"/>
        <w:gridCol w:w="239"/>
        <w:gridCol w:w="7567"/>
      </w:tblGrid>
      <w:tr w:rsidR="00A65E20" w:rsidRPr="00C733A8" w14:paraId="5E8B29DC" w14:textId="77777777" w:rsidTr="00033FA6">
        <w:trPr>
          <w:trHeight w:val="1044"/>
        </w:trPr>
        <w:tc>
          <w:tcPr>
            <w:tcW w:w="1800" w:type="dxa"/>
          </w:tcPr>
          <w:p w14:paraId="21134C6A" w14:textId="0DF9B21F" w:rsidR="00A65E20" w:rsidRPr="000D1EA7" w:rsidRDefault="00263577" w:rsidP="00033FA6">
            <w:pPr>
              <w:jc w:val="left"/>
            </w:pPr>
            <w:proofErr w:type="spellStart"/>
            <w:r w:rsidRPr="000D1EA7">
              <w:lastRenderedPageBreak/>
              <w:t>Rechtsmittel</w:t>
            </w:r>
            <w:proofErr w:type="spellEnd"/>
          </w:p>
        </w:tc>
        <w:tc>
          <w:tcPr>
            <w:tcW w:w="239" w:type="dxa"/>
          </w:tcPr>
          <w:p w14:paraId="7C67374D" w14:textId="77777777" w:rsidR="00A65E20" w:rsidRPr="000D1EA7" w:rsidRDefault="00A65E20" w:rsidP="00D84A94"/>
        </w:tc>
        <w:tc>
          <w:tcPr>
            <w:tcW w:w="7567" w:type="dxa"/>
          </w:tcPr>
          <w:p w14:paraId="1EC1790A" w14:textId="5CDA4811" w:rsidR="00366ED8" w:rsidRDefault="00806356" w:rsidP="00033FA6">
            <w:pPr>
              <w:tabs>
                <w:tab w:val="left" w:pos="940"/>
                <w:tab w:val="left" w:pos="1098"/>
              </w:tabs>
              <w:spacing w:after="240"/>
              <w:rPr>
                <w:lang w:val="de-CH"/>
              </w:rPr>
            </w:pPr>
            <w:r w:rsidRPr="000D1EA7">
              <w:rPr>
                <w:b/>
                <w:lang w:val="de-CH"/>
              </w:rPr>
              <w:t xml:space="preserve">Art. </w:t>
            </w:r>
            <w:r w:rsidR="00836318">
              <w:rPr>
                <w:b/>
                <w:lang w:val="de-CH"/>
              </w:rPr>
              <w:t>9</w:t>
            </w:r>
            <w:r w:rsidR="00366ED8" w:rsidRPr="000D1EA7">
              <w:rPr>
                <w:b/>
                <w:lang w:val="de-CH"/>
              </w:rPr>
              <w:t>.</w:t>
            </w:r>
            <w:r w:rsidR="005D3138" w:rsidRPr="000D1EA7">
              <w:rPr>
                <w:b/>
                <w:lang w:val="de-CH"/>
              </w:rPr>
              <w:tab/>
            </w:r>
            <w:r w:rsidR="00366ED8" w:rsidRPr="000D1EA7">
              <w:rPr>
                <w:vertAlign w:val="superscript"/>
                <w:lang w:val="de-CH"/>
              </w:rPr>
              <w:t>1</w:t>
            </w:r>
            <w:r w:rsidR="009D4BD2">
              <w:rPr>
                <w:vertAlign w:val="superscript"/>
                <w:lang w:val="de-CH"/>
              </w:rPr>
              <w:t xml:space="preserve"> </w:t>
            </w:r>
            <w:r w:rsidR="00366ED8" w:rsidRPr="00AB04CB">
              <w:rPr>
                <w:lang w:val="de-CH"/>
              </w:rPr>
              <w:t xml:space="preserve">Einsprachen gegen </w:t>
            </w:r>
            <w:r w:rsidR="00B46B80" w:rsidRPr="00AB04CB">
              <w:rPr>
                <w:lang w:val="de-CH"/>
              </w:rPr>
              <w:t>die Festlegung</w:t>
            </w:r>
            <w:r w:rsidR="00366ED8" w:rsidRPr="00AB04CB">
              <w:rPr>
                <w:lang w:val="de-CH"/>
              </w:rPr>
              <w:t xml:space="preserve"> </w:t>
            </w:r>
            <w:r w:rsidR="00AB04CB" w:rsidRPr="00AB04CB">
              <w:rPr>
                <w:lang w:val="de-CH"/>
              </w:rPr>
              <w:t>oder</w:t>
            </w:r>
            <w:r w:rsidR="00366ED8" w:rsidRPr="00AB04CB">
              <w:rPr>
                <w:lang w:val="de-CH"/>
              </w:rPr>
              <w:t xml:space="preserve"> </w:t>
            </w:r>
            <w:r w:rsidR="00B46B80" w:rsidRPr="00AB04CB">
              <w:rPr>
                <w:lang w:val="de-CH"/>
              </w:rPr>
              <w:t>den B</w:t>
            </w:r>
            <w:r w:rsidR="00366ED8" w:rsidRPr="00AB04CB">
              <w:rPr>
                <w:lang w:val="de-CH"/>
              </w:rPr>
              <w:t xml:space="preserve">etrag der in diesem Reglement vorgesehenen </w:t>
            </w:r>
            <w:r w:rsidR="00B46B80" w:rsidRPr="00AB04CB">
              <w:rPr>
                <w:lang w:val="de-CH"/>
              </w:rPr>
              <w:t xml:space="preserve">Gebühren und </w:t>
            </w:r>
            <w:r w:rsidR="00366ED8" w:rsidRPr="00AB04CB">
              <w:rPr>
                <w:lang w:val="de-CH"/>
              </w:rPr>
              <w:t>Abgaben sind schriftlich und begründet innert 30</w:t>
            </w:r>
            <w:r w:rsidR="009D4BD2" w:rsidRPr="00AB04CB">
              <w:rPr>
                <w:lang w:val="de-CH"/>
              </w:rPr>
              <w:t> </w:t>
            </w:r>
            <w:r w:rsidR="00366ED8" w:rsidRPr="00AB04CB">
              <w:rPr>
                <w:lang w:val="de-CH"/>
              </w:rPr>
              <w:t>Tagen nach Erhalt der Zahlungsverfügung an den Gemeinderat zu richten.</w:t>
            </w:r>
          </w:p>
          <w:p w14:paraId="5812A685" w14:textId="77777777" w:rsidR="00A65E20" w:rsidRPr="000D1EA7" w:rsidRDefault="00366ED8" w:rsidP="00033FA6">
            <w:pPr>
              <w:tabs>
                <w:tab w:val="left" w:pos="250"/>
                <w:tab w:val="left" w:pos="940"/>
                <w:tab w:val="left" w:pos="1082"/>
              </w:tabs>
              <w:spacing w:after="360"/>
              <w:rPr>
                <w:lang w:val="de-CH"/>
              </w:rPr>
            </w:pPr>
            <w:r w:rsidRPr="000D1EA7">
              <w:rPr>
                <w:vertAlign w:val="superscript"/>
                <w:lang w:val="de-CH"/>
              </w:rPr>
              <w:t>2</w:t>
            </w:r>
            <w:r w:rsidR="009D4BD2">
              <w:rPr>
                <w:lang w:val="de-CH"/>
              </w:rPr>
              <w:t xml:space="preserve"> </w:t>
            </w:r>
            <w:r w:rsidRPr="000D1EA7">
              <w:rPr>
                <w:lang w:val="de-CH"/>
              </w:rPr>
              <w:t xml:space="preserve">Der </w:t>
            </w:r>
            <w:proofErr w:type="spellStart"/>
            <w:r w:rsidRPr="000D1EA7">
              <w:rPr>
                <w:lang w:val="de-CH"/>
              </w:rPr>
              <w:t>Einspracheentscheid</w:t>
            </w:r>
            <w:proofErr w:type="spellEnd"/>
            <w:r w:rsidRPr="000D1EA7">
              <w:rPr>
                <w:lang w:val="de-CH"/>
              </w:rPr>
              <w:t xml:space="preserve"> des Gemeinderates kann innert 30 Tagen seit Erhalt beim Oberamtmann mit Beschwerde angefochten werden.</w:t>
            </w:r>
          </w:p>
        </w:tc>
      </w:tr>
      <w:tr w:rsidR="00A65E20" w:rsidRPr="000D1EA7" w14:paraId="2E08BF67" w14:textId="77777777" w:rsidTr="00033FA6">
        <w:tc>
          <w:tcPr>
            <w:tcW w:w="1800" w:type="dxa"/>
          </w:tcPr>
          <w:p w14:paraId="1BD1CC31" w14:textId="77777777" w:rsidR="00A65E20" w:rsidRPr="000D1EA7" w:rsidRDefault="00A65E20" w:rsidP="00033FA6">
            <w:pPr>
              <w:jc w:val="left"/>
              <w:rPr>
                <w:lang w:val="de-CH"/>
              </w:rPr>
            </w:pPr>
          </w:p>
        </w:tc>
        <w:tc>
          <w:tcPr>
            <w:tcW w:w="239" w:type="dxa"/>
          </w:tcPr>
          <w:p w14:paraId="5A934386" w14:textId="77777777" w:rsidR="00A65E20" w:rsidRPr="000D1EA7" w:rsidRDefault="00A65E20" w:rsidP="00D84A94">
            <w:pPr>
              <w:rPr>
                <w:lang w:val="de-CH"/>
              </w:rPr>
            </w:pPr>
          </w:p>
        </w:tc>
        <w:tc>
          <w:tcPr>
            <w:tcW w:w="7567" w:type="dxa"/>
          </w:tcPr>
          <w:p w14:paraId="5E924FB5" w14:textId="77777777" w:rsidR="00A65E20" w:rsidRPr="000D1EA7" w:rsidRDefault="00366ED8" w:rsidP="00033FA6">
            <w:pPr>
              <w:pStyle w:val="berschrift1"/>
              <w:spacing w:after="240"/>
              <w:ind w:left="369" w:hanging="369"/>
              <w:jc w:val="left"/>
              <w:rPr>
                <w:sz w:val="22"/>
                <w:szCs w:val="22"/>
                <w:lang w:val="de-CH"/>
              </w:rPr>
            </w:pPr>
            <w:r w:rsidRPr="000D1EA7">
              <w:rPr>
                <w:sz w:val="22"/>
                <w:szCs w:val="22"/>
              </w:rPr>
              <w:t>V.</w:t>
            </w:r>
            <w:r w:rsidRPr="000D1EA7">
              <w:rPr>
                <w:sz w:val="22"/>
                <w:szCs w:val="22"/>
              </w:rPr>
              <w:tab/>
              <w:t>SCHLUSSBESTIMMUNGEN</w:t>
            </w:r>
          </w:p>
        </w:tc>
      </w:tr>
      <w:tr w:rsidR="00401FB8" w:rsidRPr="00C733A8" w14:paraId="2F37C9DC" w14:textId="77777777" w:rsidTr="00033FA6">
        <w:tc>
          <w:tcPr>
            <w:tcW w:w="1800" w:type="dxa"/>
          </w:tcPr>
          <w:p w14:paraId="2049FD77" w14:textId="034A4B7E" w:rsidR="00F51A71" w:rsidRPr="000D1EA7" w:rsidRDefault="00F51A71" w:rsidP="00041534">
            <w:pPr>
              <w:ind w:left="1843" w:hanging="1843"/>
              <w:rPr>
                <w:lang w:val="de-CH"/>
              </w:rPr>
            </w:pPr>
            <w:r w:rsidRPr="000D1EA7">
              <w:rPr>
                <w:lang w:val="de-CH"/>
              </w:rPr>
              <w:t>Aufhebung</w:t>
            </w:r>
          </w:p>
        </w:tc>
        <w:tc>
          <w:tcPr>
            <w:tcW w:w="239" w:type="dxa"/>
          </w:tcPr>
          <w:p w14:paraId="518D8869" w14:textId="77777777" w:rsidR="00401FB8" w:rsidRPr="000D1EA7" w:rsidRDefault="00401FB8" w:rsidP="00D84A94"/>
        </w:tc>
        <w:tc>
          <w:tcPr>
            <w:tcW w:w="7567" w:type="dxa"/>
          </w:tcPr>
          <w:p w14:paraId="3DB6F73E" w14:textId="65E436F3" w:rsidR="00041534" w:rsidRPr="00836318" w:rsidRDefault="00806356" w:rsidP="00B46B80">
            <w:pPr>
              <w:tabs>
                <w:tab w:val="left" w:pos="796"/>
                <w:tab w:val="left" w:pos="938"/>
              </w:tabs>
              <w:rPr>
                <w:lang w:val="de-CH"/>
              </w:rPr>
            </w:pPr>
            <w:r w:rsidRPr="000D1EA7">
              <w:rPr>
                <w:b/>
                <w:lang w:val="de-CH"/>
              </w:rPr>
              <w:t xml:space="preserve">Art. </w:t>
            </w:r>
            <w:r w:rsidR="00F51A71" w:rsidRPr="000D1EA7">
              <w:rPr>
                <w:b/>
                <w:lang w:val="de-CH"/>
              </w:rPr>
              <w:t>1</w:t>
            </w:r>
            <w:r w:rsidR="00836318">
              <w:rPr>
                <w:b/>
                <w:lang w:val="de-CH"/>
              </w:rPr>
              <w:t>0</w:t>
            </w:r>
            <w:r w:rsidR="00F51A71" w:rsidRPr="000D1EA7">
              <w:rPr>
                <w:b/>
                <w:lang w:val="de-CH"/>
              </w:rPr>
              <w:t>.</w:t>
            </w:r>
            <w:r w:rsidR="009D4BD2">
              <w:rPr>
                <w:b/>
                <w:lang w:val="de-CH"/>
              </w:rPr>
              <w:tab/>
            </w:r>
            <w:r w:rsidR="006D418E" w:rsidRPr="00033FA6">
              <w:rPr>
                <w:vertAlign w:val="superscript"/>
                <w:lang w:val="de-CH"/>
              </w:rPr>
              <w:t>1</w:t>
            </w:r>
            <w:r w:rsidR="006D418E">
              <w:rPr>
                <w:lang w:val="de-CH"/>
              </w:rPr>
              <w:t xml:space="preserve"> </w:t>
            </w:r>
            <w:r w:rsidR="00F51A71" w:rsidRPr="000D1EA7">
              <w:rPr>
                <w:lang w:val="de-CH"/>
              </w:rPr>
              <w:t>Das Reglement vom ….</w:t>
            </w:r>
            <w:r w:rsidR="00263577" w:rsidRPr="000D1EA7">
              <w:rPr>
                <w:lang w:val="de-CH"/>
              </w:rPr>
              <w:t xml:space="preserve"> betreffend …. </w:t>
            </w:r>
            <w:r w:rsidR="00B46B80">
              <w:rPr>
                <w:lang w:val="de-CH"/>
              </w:rPr>
              <w:t>ist</w:t>
            </w:r>
            <w:r w:rsidR="00F51A71" w:rsidRPr="000D1EA7">
              <w:rPr>
                <w:lang w:val="de-CH"/>
              </w:rPr>
              <w:t xml:space="preserve"> aufgehoben.</w:t>
            </w:r>
          </w:p>
        </w:tc>
      </w:tr>
      <w:tr w:rsidR="00401FB8" w:rsidRPr="00C733A8" w14:paraId="0B9EA1CD" w14:textId="77777777" w:rsidTr="00033FA6">
        <w:tc>
          <w:tcPr>
            <w:tcW w:w="1800" w:type="dxa"/>
          </w:tcPr>
          <w:p w14:paraId="0A47C994" w14:textId="77777777" w:rsidR="00401FB8" w:rsidRPr="000D1EA7" w:rsidRDefault="00F51A71" w:rsidP="00033FA6">
            <w:pPr>
              <w:spacing w:before="360"/>
              <w:jc w:val="left"/>
              <w:rPr>
                <w:lang w:val="de-CH"/>
              </w:rPr>
            </w:pPr>
            <w:r w:rsidRPr="000D1EA7">
              <w:rPr>
                <w:lang w:val="de-CH"/>
              </w:rPr>
              <w:t>Inkrafttreten</w:t>
            </w:r>
          </w:p>
        </w:tc>
        <w:tc>
          <w:tcPr>
            <w:tcW w:w="239" w:type="dxa"/>
          </w:tcPr>
          <w:p w14:paraId="7F0CDF45" w14:textId="77777777" w:rsidR="00401FB8" w:rsidRPr="000D1EA7" w:rsidRDefault="00401FB8" w:rsidP="00D84A94">
            <w:pPr>
              <w:rPr>
                <w:lang w:val="de-CH"/>
              </w:rPr>
            </w:pPr>
          </w:p>
        </w:tc>
        <w:tc>
          <w:tcPr>
            <w:tcW w:w="7567" w:type="dxa"/>
          </w:tcPr>
          <w:p w14:paraId="2BDE5639" w14:textId="60285099" w:rsidR="00401FB8" w:rsidRPr="000D1EA7" w:rsidRDefault="00806356" w:rsidP="00033FA6">
            <w:pPr>
              <w:tabs>
                <w:tab w:val="left" w:pos="796"/>
                <w:tab w:val="left" w:pos="938"/>
              </w:tabs>
              <w:spacing w:before="360" w:after="1000"/>
              <w:rPr>
                <w:lang w:val="de-CH"/>
              </w:rPr>
            </w:pPr>
            <w:r w:rsidRPr="000D1EA7">
              <w:rPr>
                <w:b/>
                <w:lang w:val="de-CH"/>
              </w:rPr>
              <w:t>Art.</w:t>
            </w:r>
            <w:r w:rsidR="00F51A71" w:rsidRPr="000D1EA7">
              <w:rPr>
                <w:b/>
                <w:lang w:val="de-CH"/>
              </w:rPr>
              <w:t xml:space="preserve"> 1</w:t>
            </w:r>
            <w:r w:rsidR="00836318">
              <w:rPr>
                <w:b/>
                <w:lang w:val="de-CH"/>
              </w:rPr>
              <w:t>1</w:t>
            </w:r>
            <w:r w:rsidR="00F51A71" w:rsidRPr="000D1EA7">
              <w:rPr>
                <w:b/>
                <w:lang w:val="de-CH"/>
              </w:rPr>
              <w:t>.</w:t>
            </w:r>
            <w:r w:rsidR="009D4BD2">
              <w:rPr>
                <w:lang w:val="de-CH"/>
              </w:rPr>
              <w:tab/>
            </w:r>
            <w:r w:rsidR="006D418E" w:rsidRPr="00033FA6">
              <w:rPr>
                <w:vertAlign w:val="superscript"/>
                <w:lang w:val="de-CH"/>
              </w:rPr>
              <w:t>1</w:t>
            </w:r>
            <w:r w:rsidR="006D418E">
              <w:rPr>
                <w:lang w:val="de-CH"/>
              </w:rPr>
              <w:t xml:space="preserve"> </w:t>
            </w:r>
            <w:r w:rsidR="00F51A71" w:rsidRPr="000D1EA7">
              <w:rPr>
                <w:lang w:val="de-CH"/>
              </w:rPr>
              <w:t xml:space="preserve">Vorliegendes Reglement tritt mit der Genehmigung durch die </w:t>
            </w:r>
            <w:r w:rsidR="00C733A8" w:rsidRPr="00C733A8">
              <w:rPr>
                <w:lang w:val="de-CH"/>
              </w:rPr>
              <w:t>Direktion für Raumentwicklung, Infrastruktur, Mobilität und Umwelt</w:t>
            </w:r>
            <w:r w:rsidR="00C733A8">
              <w:rPr>
                <w:lang w:val="de-CH"/>
              </w:rPr>
              <w:t xml:space="preserve"> </w:t>
            </w:r>
            <w:r w:rsidR="00F51A71" w:rsidRPr="000D1EA7">
              <w:rPr>
                <w:lang w:val="de-CH"/>
              </w:rPr>
              <w:t>in Kraft.</w:t>
            </w:r>
          </w:p>
        </w:tc>
      </w:tr>
      <w:tr w:rsidR="005D4AA3" w:rsidRPr="00C733A8" w14:paraId="471765E4" w14:textId="77777777" w:rsidTr="00033FA6">
        <w:tc>
          <w:tcPr>
            <w:tcW w:w="9606" w:type="dxa"/>
            <w:gridSpan w:val="3"/>
          </w:tcPr>
          <w:p w14:paraId="5FB1E7D3" w14:textId="77777777" w:rsidR="005D4AA3" w:rsidRPr="009D4BD2" w:rsidRDefault="005D4AA3" w:rsidP="00033FA6">
            <w:pPr>
              <w:ind w:left="5954" w:hanging="5954"/>
              <w:rPr>
                <w:lang w:val="de-DE"/>
              </w:rPr>
            </w:pPr>
          </w:p>
        </w:tc>
      </w:tr>
    </w:tbl>
    <w:p w14:paraId="67ACA64E" w14:textId="77777777" w:rsidR="00FC12A5" w:rsidRPr="00CB0782" w:rsidRDefault="00CB0782" w:rsidP="00551745">
      <w:pPr>
        <w:rPr>
          <w:lang w:val="de-DE"/>
        </w:rPr>
      </w:pPr>
      <w:r w:rsidRPr="00CB0782">
        <w:rPr>
          <w:lang w:val="de-DE"/>
        </w:rPr>
        <w:t>Durch die Gemeindeversammlung / den Generalrat angenommen am</w:t>
      </w:r>
    </w:p>
    <w:p w14:paraId="6574ED4E" w14:textId="77777777" w:rsidR="00CB0782" w:rsidRDefault="00CB0782" w:rsidP="00551745">
      <w:pPr>
        <w:rPr>
          <w:lang w:val="de-DE"/>
        </w:rPr>
      </w:pPr>
    </w:p>
    <w:p w14:paraId="51C0A38D" w14:textId="77777777" w:rsidR="00CB0782" w:rsidRDefault="00CB0782" w:rsidP="00551745">
      <w:pPr>
        <w:rPr>
          <w:lang w:val="de-DE"/>
        </w:rPr>
      </w:pPr>
    </w:p>
    <w:p w14:paraId="664F265F" w14:textId="77777777" w:rsidR="00CB0782" w:rsidRDefault="00CB0782" w:rsidP="00551745">
      <w:pPr>
        <w:rPr>
          <w:lang w:val="de-DE"/>
        </w:rPr>
      </w:pPr>
    </w:p>
    <w:p w14:paraId="057FF5AA" w14:textId="77777777" w:rsidR="00CB0782" w:rsidRDefault="00CB0782" w:rsidP="00CB0782">
      <w:pPr>
        <w:tabs>
          <w:tab w:val="left" w:pos="5245"/>
        </w:tabs>
        <w:rPr>
          <w:lang w:val="de-DE"/>
        </w:rPr>
      </w:pPr>
      <w:r>
        <w:rPr>
          <w:lang w:val="de-DE"/>
        </w:rPr>
        <w:t>Der(die) Gemeindeschreiber(in):</w:t>
      </w:r>
      <w:r>
        <w:rPr>
          <w:lang w:val="de-DE"/>
        </w:rPr>
        <w:tab/>
        <w:t>Der Ammann / Die Gemeindepräsidentin:</w:t>
      </w:r>
    </w:p>
    <w:p w14:paraId="1900247F" w14:textId="77777777" w:rsidR="00CB0782" w:rsidRDefault="00CB0782" w:rsidP="00CB0782">
      <w:pPr>
        <w:tabs>
          <w:tab w:val="left" w:pos="5245"/>
        </w:tabs>
        <w:rPr>
          <w:lang w:val="de-DE"/>
        </w:rPr>
      </w:pPr>
      <w:r>
        <w:rPr>
          <w:lang w:val="de-DE"/>
        </w:rPr>
        <w:tab/>
        <w:t>Der Präsident / Die Präsidentin:</w:t>
      </w:r>
    </w:p>
    <w:p w14:paraId="3584D648" w14:textId="77777777" w:rsidR="00CB0782" w:rsidRDefault="00CB0782" w:rsidP="00CB0782">
      <w:pPr>
        <w:tabs>
          <w:tab w:val="left" w:pos="5245"/>
        </w:tabs>
        <w:rPr>
          <w:lang w:val="de-DE"/>
        </w:rPr>
      </w:pPr>
    </w:p>
    <w:p w14:paraId="441D6032" w14:textId="77777777" w:rsidR="00CB0782" w:rsidRDefault="00CB0782" w:rsidP="00CB0782">
      <w:pPr>
        <w:tabs>
          <w:tab w:val="left" w:pos="5245"/>
        </w:tabs>
        <w:rPr>
          <w:lang w:val="de-DE"/>
        </w:rPr>
      </w:pPr>
    </w:p>
    <w:p w14:paraId="3600486A" w14:textId="77777777" w:rsidR="00CB0782" w:rsidRDefault="00CB0782" w:rsidP="00CB0782">
      <w:pPr>
        <w:tabs>
          <w:tab w:val="left" w:pos="5245"/>
        </w:tabs>
        <w:rPr>
          <w:lang w:val="de-DE"/>
        </w:rPr>
      </w:pPr>
    </w:p>
    <w:p w14:paraId="43E6D3B6" w14:textId="77777777" w:rsidR="00CB0782" w:rsidRDefault="00CB0782" w:rsidP="00CB0782">
      <w:pPr>
        <w:tabs>
          <w:tab w:val="left" w:pos="5245"/>
        </w:tabs>
        <w:rPr>
          <w:lang w:val="de-DE"/>
        </w:rPr>
      </w:pPr>
    </w:p>
    <w:p w14:paraId="0954D8B8" w14:textId="4C537C9D" w:rsidR="00CB0782" w:rsidRDefault="00CB0782" w:rsidP="00CB0782">
      <w:pPr>
        <w:tabs>
          <w:tab w:val="left" w:pos="5245"/>
        </w:tabs>
        <w:rPr>
          <w:lang w:val="de-DE"/>
        </w:rPr>
      </w:pPr>
      <w:r>
        <w:rPr>
          <w:lang w:val="de-DE"/>
        </w:rPr>
        <w:t>Genehmigt durch di</w:t>
      </w:r>
      <w:r w:rsidR="003A7797">
        <w:rPr>
          <w:lang w:val="de-DE"/>
        </w:rPr>
        <w:t xml:space="preserve">e </w:t>
      </w:r>
      <w:r w:rsidR="00C733A8" w:rsidRPr="00C733A8">
        <w:rPr>
          <w:lang w:val="de-DE"/>
        </w:rPr>
        <w:t>Direktion für Raumentwicklung, Infrastruktur, Mobilität und Umwelt</w:t>
      </w:r>
      <w:r w:rsidR="00C733A8">
        <w:rPr>
          <w:lang w:val="de-DE"/>
        </w:rPr>
        <w:t xml:space="preserve"> </w:t>
      </w:r>
      <w:r w:rsidR="003A7797">
        <w:rPr>
          <w:lang w:val="de-DE"/>
        </w:rPr>
        <w:t>am</w:t>
      </w:r>
    </w:p>
    <w:p w14:paraId="170AB807" w14:textId="77777777" w:rsidR="00CB0782" w:rsidRDefault="00CB0782" w:rsidP="00CB0782">
      <w:pPr>
        <w:tabs>
          <w:tab w:val="left" w:pos="5245"/>
        </w:tabs>
        <w:rPr>
          <w:lang w:val="de-DE"/>
        </w:rPr>
      </w:pPr>
    </w:p>
    <w:p w14:paraId="1142AC54" w14:textId="77777777" w:rsidR="00CB0782" w:rsidRDefault="00CB0782" w:rsidP="00CB0782">
      <w:pPr>
        <w:tabs>
          <w:tab w:val="left" w:pos="5245"/>
        </w:tabs>
        <w:rPr>
          <w:lang w:val="de-DE"/>
        </w:rPr>
      </w:pPr>
    </w:p>
    <w:p w14:paraId="45D9C671" w14:textId="77777777" w:rsidR="00CB0782" w:rsidRDefault="00CB0782" w:rsidP="00CB0782">
      <w:pPr>
        <w:tabs>
          <w:tab w:val="left" w:pos="5245"/>
        </w:tabs>
        <w:rPr>
          <w:lang w:val="de-DE"/>
        </w:rPr>
      </w:pPr>
    </w:p>
    <w:p w14:paraId="2058E75E" w14:textId="77777777" w:rsidR="00041534" w:rsidRDefault="00041534" w:rsidP="00041534">
      <w:pPr>
        <w:tabs>
          <w:tab w:val="left" w:pos="5245"/>
        </w:tabs>
        <w:ind w:left="5245"/>
        <w:jc w:val="left"/>
        <w:rPr>
          <w:lang w:val="de-DE"/>
        </w:rPr>
      </w:pPr>
      <w:r>
        <w:rPr>
          <w:lang w:val="de-DE"/>
        </w:rPr>
        <w:t xml:space="preserve">Der </w:t>
      </w:r>
      <w:r w:rsidR="00CB0782">
        <w:rPr>
          <w:lang w:val="de-DE"/>
        </w:rPr>
        <w:t>Staatsrat</w:t>
      </w:r>
      <w:r>
        <w:rPr>
          <w:lang w:val="de-DE"/>
        </w:rPr>
        <w:t xml:space="preserve"> / Die Staatsrätin,</w:t>
      </w:r>
    </w:p>
    <w:p w14:paraId="4E9EB22B" w14:textId="6383F7E6" w:rsidR="00CB0782" w:rsidRPr="00CB0782" w:rsidRDefault="00CB0782" w:rsidP="00041534">
      <w:pPr>
        <w:tabs>
          <w:tab w:val="left" w:pos="5245"/>
        </w:tabs>
        <w:ind w:left="5245"/>
        <w:jc w:val="left"/>
        <w:rPr>
          <w:lang w:val="de-DE"/>
        </w:rPr>
      </w:pPr>
      <w:r>
        <w:rPr>
          <w:lang w:val="de-DE"/>
        </w:rPr>
        <w:t>Direktor</w:t>
      </w:r>
      <w:r w:rsidR="00041534">
        <w:rPr>
          <w:lang w:val="de-DE"/>
        </w:rPr>
        <w:t xml:space="preserve"> / Direktorin</w:t>
      </w:r>
    </w:p>
    <w:sectPr w:rsidR="00CB0782" w:rsidRPr="00CB0782" w:rsidSect="004B2E69">
      <w:type w:val="continuous"/>
      <w:pgSz w:w="11907" w:h="16840" w:code="9"/>
      <w:pgMar w:top="1418" w:right="1134" w:bottom="709" w:left="1418" w:header="1134" w:footer="4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560F" w14:textId="77777777" w:rsidR="00B81676" w:rsidRDefault="00B81676" w:rsidP="00401FB8">
      <w:pPr>
        <w:pStyle w:val="berschrift1"/>
      </w:pPr>
      <w:r>
        <w:separator/>
      </w:r>
    </w:p>
  </w:endnote>
  <w:endnote w:type="continuationSeparator" w:id="0">
    <w:p w14:paraId="71416246" w14:textId="77777777" w:rsidR="00B81676" w:rsidRDefault="00B81676" w:rsidP="00401FB8">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Borders>
        <w:top w:val="single" w:sz="4" w:space="0" w:color="auto"/>
        <w:insideH w:val="single" w:sz="4" w:space="0" w:color="auto"/>
        <w:insideV w:val="single" w:sz="4" w:space="0" w:color="auto"/>
      </w:tblBorders>
      <w:tblLook w:val="01E0" w:firstRow="1" w:lastRow="1" w:firstColumn="1" w:lastColumn="1" w:noHBand="0" w:noVBand="0"/>
    </w:tblPr>
    <w:tblGrid>
      <w:gridCol w:w="9606"/>
    </w:tblGrid>
    <w:tr w:rsidR="00B3132D" w14:paraId="1F3C3076" w14:textId="77777777" w:rsidTr="00033FA6">
      <w:tc>
        <w:tcPr>
          <w:tcW w:w="9606" w:type="dxa"/>
          <w:tcBorders>
            <w:top w:val="nil"/>
            <w:bottom w:val="single" w:sz="4" w:space="0" w:color="auto"/>
          </w:tcBorders>
        </w:tcPr>
        <w:p w14:paraId="74E20DE6" w14:textId="77777777" w:rsidR="00B3132D" w:rsidRDefault="00B3132D">
          <w:pPr>
            <w:pStyle w:val="Fuzeile"/>
          </w:pPr>
        </w:p>
      </w:tc>
    </w:tr>
    <w:tr w:rsidR="00B3132D" w14:paraId="3DBD4781" w14:textId="77777777" w:rsidTr="00033FA6">
      <w:tc>
        <w:tcPr>
          <w:tcW w:w="9606" w:type="dxa"/>
          <w:tcBorders>
            <w:top w:val="single" w:sz="4" w:space="0" w:color="auto"/>
          </w:tcBorders>
        </w:tcPr>
        <w:p w14:paraId="631BD4BD" w14:textId="77777777" w:rsidR="00B3132D" w:rsidRDefault="00B3132D">
          <w:pPr>
            <w:pStyle w:val="Fuzeile"/>
          </w:pPr>
          <w:r>
            <w:t>Mise à jour du 25 juin 2014</w:t>
          </w:r>
        </w:p>
      </w:tc>
    </w:tr>
  </w:tbl>
  <w:p w14:paraId="216CE879" w14:textId="77777777" w:rsidR="00B3132D" w:rsidRDefault="00B313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5C59" w14:textId="3CB6A0F7" w:rsidR="00B3132D" w:rsidRPr="00EC33BF" w:rsidRDefault="00EC33BF" w:rsidP="007A1243">
    <w:pPr>
      <w:pStyle w:val="Fuzeile"/>
      <w:pBdr>
        <w:top w:val="single" w:sz="4" w:space="1" w:color="auto"/>
      </w:pBdr>
      <w:rPr>
        <w:rFonts w:ascii="Cambria" w:hAnsi="Cambria"/>
        <w:sz w:val="20"/>
        <w:szCs w:val="20"/>
        <w:lang w:val="fr-CH"/>
      </w:rPr>
    </w:pPr>
    <w:proofErr w:type="spellStart"/>
    <w:r w:rsidRPr="00C733A8">
      <w:rPr>
        <w:rFonts w:ascii="Cambria" w:hAnsi="Cambria"/>
        <w:sz w:val="20"/>
        <w:szCs w:val="20"/>
        <w:lang w:val="fr-CH"/>
      </w:rPr>
      <w:t>Nachführung</w:t>
    </w:r>
    <w:proofErr w:type="spellEnd"/>
    <w:r w:rsidRPr="00C733A8">
      <w:rPr>
        <w:rFonts w:ascii="Cambria" w:hAnsi="Cambria"/>
        <w:sz w:val="20"/>
        <w:szCs w:val="20"/>
        <w:lang w:val="fr-CH"/>
      </w:rPr>
      <w:t xml:space="preserve"> </w:t>
    </w:r>
    <w:proofErr w:type="spellStart"/>
    <w:r w:rsidRPr="00C733A8">
      <w:rPr>
        <w:rFonts w:ascii="Cambria" w:hAnsi="Cambria"/>
        <w:sz w:val="20"/>
        <w:szCs w:val="20"/>
        <w:lang w:val="fr-CH"/>
      </w:rPr>
      <w:t>vom</w:t>
    </w:r>
    <w:proofErr w:type="spellEnd"/>
    <w:r w:rsidRPr="00C733A8">
      <w:rPr>
        <w:rFonts w:ascii="Cambria" w:hAnsi="Cambria"/>
        <w:sz w:val="20"/>
        <w:szCs w:val="20"/>
        <w:lang w:val="fr-CH"/>
      </w:rPr>
      <w:t xml:space="preserve"> </w:t>
    </w:r>
    <w:r w:rsidR="00C733A8" w:rsidRPr="00C733A8">
      <w:rPr>
        <w:rFonts w:ascii="Cambria" w:hAnsi="Cambria"/>
        <w:sz w:val="20"/>
        <w:szCs w:val="20"/>
        <w:lang w:val="fr-CH"/>
      </w:rPr>
      <w:t>31</w:t>
    </w:r>
    <w:r w:rsidRPr="00C733A8">
      <w:rPr>
        <w:rFonts w:ascii="Cambria" w:hAnsi="Cambria"/>
        <w:sz w:val="20"/>
        <w:szCs w:val="20"/>
        <w:lang w:val="fr-CH"/>
      </w:rPr>
      <w:t xml:space="preserve">. </w:t>
    </w:r>
    <w:r w:rsidR="00C733A8" w:rsidRPr="00C733A8">
      <w:rPr>
        <w:rFonts w:ascii="Cambria" w:hAnsi="Cambria"/>
        <w:sz w:val="20"/>
        <w:szCs w:val="20"/>
        <w:lang w:val="fr-CH"/>
      </w:rPr>
      <w:t>Mai</w:t>
    </w:r>
    <w:r w:rsidR="00DA577F" w:rsidRPr="00C733A8">
      <w:rPr>
        <w:rFonts w:ascii="Cambria" w:hAnsi="Cambria"/>
        <w:sz w:val="20"/>
        <w:szCs w:val="20"/>
        <w:lang w:val="fr-CH"/>
      </w:rPr>
      <w:t xml:space="preserve"> 202</w:t>
    </w:r>
    <w:r w:rsidR="00C733A8" w:rsidRPr="00C733A8">
      <w:rPr>
        <w:rFonts w:ascii="Cambria" w:hAnsi="Cambria"/>
        <w:sz w:val="20"/>
        <w:szCs w:val="20"/>
        <w:lang w:val="fr-CH"/>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D8DB" w14:textId="2DC501F0" w:rsidR="00B3132D" w:rsidRPr="00CB0782" w:rsidRDefault="00CB0782" w:rsidP="007A1243">
    <w:pPr>
      <w:pStyle w:val="Fuzeile"/>
      <w:pBdr>
        <w:top w:val="single" w:sz="4" w:space="1" w:color="auto"/>
      </w:pBdr>
      <w:rPr>
        <w:rFonts w:ascii="Cambria" w:hAnsi="Cambria"/>
        <w:sz w:val="20"/>
        <w:szCs w:val="20"/>
        <w:lang w:val="fr-CH"/>
      </w:rPr>
    </w:pPr>
    <w:proofErr w:type="spellStart"/>
    <w:r w:rsidRPr="00C733A8">
      <w:rPr>
        <w:rFonts w:ascii="Cambria" w:hAnsi="Cambria"/>
        <w:sz w:val="20"/>
        <w:szCs w:val="20"/>
        <w:lang w:val="fr-CH"/>
      </w:rPr>
      <w:t>Nachführung</w:t>
    </w:r>
    <w:proofErr w:type="spellEnd"/>
    <w:r w:rsidRPr="00C733A8">
      <w:rPr>
        <w:rFonts w:ascii="Cambria" w:hAnsi="Cambria"/>
        <w:sz w:val="20"/>
        <w:szCs w:val="20"/>
        <w:lang w:val="fr-CH"/>
      </w:rPr>
      <w:t xml:space="preserve"> </w:t>
    </w:r>
    <w:proofErr w:type="spellStart"/>
    <w:r w:rsidRPr="00C733A8">
      <w:rPr>
        <w:rFonts w:ascii="Cambria" w:hAnsi="Cambria"/>
        <w:sz w:val="20"/>
        <w:szCs w:val="20"/>
        <w:lang w:val="fr-CH"/>
      </w:rPr>
      <w:t>vom</w:t>
    </w:r>
    <w:proofErr w:type="spellEnd"/>
    <w:r w:rsidRPr="00C733A8">
      <w:rPr>
        <w:rFonts w:ascii="Cambria" w:hAnsi="Cambria"/>
        <w:sz w:val="20"/>
        <w:szCs w:val="20"/>
        <w:lang w:val="fr-CH"/>
      </w:rPr>
      <w:t xml:space="preserve"> </w:t>
    </w:r>
    <w:r w:rsidR="00C733A8" w:rsidRPr="00C733A8">
      <w:rPr>
        <w:rFonts w:ascii="Cambria" w:hAnsi="Cambria"/>
        <w:sz w:val="20"/>
        <w:szCs w:val="20"/>
        <w:lang w:val="fr-CH"/>
      </w:rPr>
      <w:t>31</w:t>
    </w:r>
    <w:r w:rsidR="00D15E87" w:rsidRPr="00C733A8">
      <w:rPr>
        <w:rFonts w:ascii="Cambria" w:hAnsi="Cambria"/>
        <w:sz w:val="20"/>
        <w:szCs w:val="20"/>
        <w:lang w:val="fr-CH"/>
      </w:rPr>
      <w:t xml:space="preserve">. </w:t>
    </w:r>
    <w:r w:rsidR="00C733A8" w:rsidRPr="00C733A8">
      <w:rPr>
        <w:rFonts w:ascii="Cambria" w:hAnsi="Cambria"/>
        <w:sz w:val="20"/>
        <w:szCs w:val="20"/>
        <w:lang w:val="fr-CH"/>
      </w:rPr>
      <w:t>Mai</w:t>
    </w:r>
    <w:r w:rsidR="00D15E87" w:rsidRPr="00C733A8">
      <w:rPr>
        <w:rFonts w:ascii="Cambria" w:hAnsi="Cambria"/>
        <w:sz w:val="20"/>
        <w:szCs w:val="20"/>
        <w:lang w:val="fr-CH"/>
      </w:rPr>
      <w:t xml:space="preserve"> 202</w:t>
    </w:r>
    <w:r w:rsidR="00C733A8" w:rsidRPr="00C733A8">
      <w:rPr>
        <w:rFonts w:ascii="Cambria" w:hAnsi="Cambria"/>
        <w:sz w:val="20"/>
        <w:szCs w:val="20"/>
        <w:lang w:val="fr-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02A6" w14:textId="77777777" w:rsidR="00B81676" w:rsidRDefault="00B81676" w:rsidP="00401FB8">
      <w:pPr>
        <w:pStyle w:val="berschrift1"/>
      </w:pPr>
      <w:r>
        <w:separator/>
      </w:r>
    </w:p>
  </w:footnote>
  <w:footnote w:type="continuationSeparator" w:id="0">
    <w:p w14:paraId="7C4D3147" w14:textId="77777777" w:rsidR="00B81676" w:rsidRDefault="00B81676" w:rsidP="00401FB8">
      <w:pPr>
        <w:pStyle w:val="berschrif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CDB4" w14:textId="77777777" w:rsidR="00B3132D" w:rsidRDefault="00B3132D" w:rsidP="000A2CB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C1C5239" w14:textId="77777777" w:rsidR="00B3132D" w:rsidRDefault="00B3132D" w:rsidP="000A2CB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0D73" w14:textId="77777777" w:rsidR="00B3132D" w:rsidRDefault="00B3132D" w:rsidP="000A2CB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EC2E10D" w14:textId="77777777" w:rsidR="00B3132D" w:rsidRDefault="00B3132D" w:rsidP="000A2CBA">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17C8" w14:textId="77777777" w:rsidR="00B3132D" w:rsidRDefault="00B3132D" w:rsidP="000A2CB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B04CB">
      <w:rPr>
        <w:rStyle w:val="Seitenzahl"/>
        <w:noProof/>
      </w:rPr>
      <w:t>3</w:t>
    </w:r>
    <w:r>
      <w:rPr>
        <w:rStyle w:val="Seitenzahl"/>
      </w:rPr>
      <w:fldChar w:fldCharType="end"/>
    </w:r>
  </w:p>
  <w:p w14:paraId="3717342A" w14:textId="77777777" w:rsidR="00B3132D" w:rsidRDefault="00B3132D" w:rsidP="004D763E">
    <w:pPr>
      <w:pStyle w:val="Kopfzeile"/>
      <w:spacing w:after="300"/>
      <w:ind w:right="3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1026"/>
    <w:multiLevelType w:val="hybridMultilevel"/>
    <w:tmpl w:val="8190CFC2"/>
    <w:lvl w:ilvl="0" w:tplc="A99064AC">
      <w:start w:val="2"/>
      <w:numFmt w:val="lowerLetter"/>
      <w:lvlText w:val="%1)"/>
      <w:lvlJc w:val="left"/>
      <w:pPr>
        <w:tabs>
          <w:tab w:val="num" w:pos="2203"/>
        </w:tabs>
        <w:ind w:left="2203" w:hanging="360"/>
      </w:pPr>
      <w:rPr>
        <w:rFonts w:hint="default"/>
      </w:rPr>
    </w:lvl>
    <w:lvl w:ilvl="1" w:tplc="04090019" w:tentative="1">
      <w:start w:val="1"/>
      <w:numFmt w:val="lowerLetter"/>
      <w:lvlText w:val="%2."/>
      <w:lvlJc w:val="left"/>
      <w:pPr>
        <w:tabs>
          <w:tab w:val="num" w:pos="2923"/>
        </w:tabs>
        <w:ind w:left="2923" w:hanging="360"/>
      </w:pPr>
    </w:lvl>
    <w:lvl w:ilvl="2" w:tplc="0409001B" w:tentative="1">
      <w:start w:val="1"/>
      <w:numFmt w:val="lowerRoman"/>
      <w:lvlText w:val="%3."/>
      <w:lvlJc w:val="right"/>
      <w:pPr>
        <w:tabs>
          <w:tab w:val="num" w:pos="3643"/>
        </w:tabs>
        <w:ind w:left="3643" w:hanging="180"/>
      </w:pPr>
    </w:lvl>
    <w:lvl w:ilvl="3" w:tplc="0409000F" w:tentative="1">
      <w:start w:val="1"/>
      <w:numFmt w:val="decimal"/>
      <w:lvlText w:val="%4."/>
      <w:lvlJc w:val="left"/>
      <w:pPr>
        <w:tabs>
          <w:tab w:val="num" w:pos="4363"/>
        </w:tabs>
        <w:ind w:left="4363" w:hanging="360"/>
      </w:pPr>
    </w:lvl>
    <w:lvl w:ilvl="4" w:tplc="04090019" w:tentative="1">
      <w:start w:val="1"/>
      <w:numFmt w:val="lowerLetter"/>
      <w:lvlText w:val="%5."/>
      <w:lvlJc w:val="left"/>
      <w:pPr>
        <w:tabs>
          <w:tab w:val="num" w:pos="5083"/>
        </w:tabs>
        <w:ind w:left="5083" w:hanging="360"/>
      </w:pPr>
    </w:lvl>
    <w:lvl w:ilvl="5" w:tplc="0409001B" w:tentative="1">
      <w:start w:val="1"/>
      <w:numFmt w:val="lowerRoman"/>
      <w:lvlText w:val="%6."/>
      <w:lvlJc w:val="right"/>
      <w:pPr>
        <w:tabs>
          <w:tab w:val="num" w:pos="5803"/>
        </w:tabs>
        <w:ind w:left="5803" w:hanging="180"/>
      </w:pPr>
    </w:lvl>
    <w:lvl w:ilvl="6" w:tplc="0409000F" w:tentative="1">
      <w:start w:val="1"/>
      <w:numFmt w:val="decimal"/>
      <w:lvlText w:val="%7."/>
      <w:lvlJc w:val="left"/>
      <w:pPr>
        <w:tabs>
          <w:tab w:val="num" w:pos="6523"/>
        </w:tabs>
        <w:ind w:left="6523" w:hanging="360"/>
      </w:pPr>
    </w:lvl>
    <w:lvl w:ilvl="7" w:tplc="04090019" w:tentative="1">
      <w:start w:val="1"/>
      <w:numFmt w:val="lowerLetter"/>
      <w:lvlText w:val="%8."/>
      <w:lvlJc w:val="left"/>
      <w:pPr>
        <w:tabs>
          <w:tab w:val="num" w:pos="7243"/>
        </w:tabs>
        <w:ind w:left="7243" w:hanging="360"/>
      </w:pPr>
    </w:lvl>
    <w:lvl w:ilvl="8" w:tplc="0409001B" w:tentative="1">
      <w:start w:val="1"/>
      <w:numFmt w:val="lowerRoman"/>
      <w:lvlText w:val="%9."/>
      <w:lvlJc w:val="right"/>
      <w:pPr>
        <w:tabs>
          <w:tab w:val="num" w:pos="7963"/>
        </w:tabs>
        <w:ind w:left="7963" w:hanging="180"/>
      </w:pPr>
    </w:lvl>
  </w:abstractNum>
  <w:num w:numId="1" w16cid:durableId="15927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20"/>
    <w:rsid w:val="000139D5"/>
    <w:rsid w:val="00021F92"/>
    <w:rsid w:val="00033FA6"/>
    <w:rsid w:val="00041534"/>
    <w:rsid w:val="00057E50"/>
    <w:rsid w:val="00090C0F"/>
    <w:rsid w:val="000A2CBA"/>
    <w:rsid w:val="000A31EE"/>
    <w:rsid w:val="000A3E19"/>
    <w:rsid w:val="000B12A2"/>
    <w:rsid w:val="000D1EA7"/>
    <w:rsid w:val="00100FA2"/>
    <w:rsid w:val="001019B3"/>
    <w:rsid w:val="00132E27"/>
    <w:rsid w:val="00140550"/>
    <w:rsid w:val="001528D1"/>
    <w:rsid w:val="0017128C"/>
    <w:rsid w:val="001834DB"/>
    <w:rsid w:val="001A49B0"/>
    <w:rsid w:val="001A6C19"/>
    <w:rsid w:val="001C2204"/>
    <w:rsid w:val="001D2C35"/>
    <w:rsid w:val="001D6134"/>
    <w:rsid w:val="001E59DA"/>
    <w:rsid w:val="001E7583"/>
    <w:rsid w:val="001E7774"/>
    <w:rsid w:val="00241950"/>
    <w:rsid w:val="002500C6"/>
    <w:rsid w:val="002525A0"/>
    <w:rsid w:val="00256F35"/>
    <w:rsid w:val="00257988"/>
    <w:rsid w:val="00257A99"/>
    <w:rsid w:val="002606A8"/>
    <w:rsid w:val="00263577"/>
    <w:rsid w:val="00264399"/>
    <w:rsid w:val="00272C48"/>
    <w:rsid w:val="0027606F"/>
    <w:rsid w:val="00277F9B"/>
    <w:rsid w:val="00285AF3"/>
    <w:rsid w:val="0029067F"/>
    <w:rsid w:val="00293FD3"/>
    <w:rsid w:val="002A0351"/>
    <w:rsid w:val="002E0778"/>
    <w:rsid w:val="003163A0"/>
    <w:rsid w:val="003473F3"/>
    <w:rsid w:val="00366ED8"/>
    <w:rsid w:val="00370F31"/>
    <w:rsid w:val="00377825"/>
    <w:rsid w:val="003A220F"/>
    <w:rsid w:val="003A3D92"/>
    <w:rsid w:val="003A5357"/>
    <w:rsid w:val="003A7797"/>
    <w:rsid w:val="003B6170"/>
    <w:rsid w:val="003C6424"/>
    <w:rsid w:val="003E36CF"/>
    <w:rsid w:val="003F4C69"/>
    <w:rsid w:val="00401FB8"/>
    <w:rsid w:val="004044B9"/>
    <w:rsid w:val="00410783"/>
    <w:rsid w:val="00445C33"/>
    <w:rsid w:val="004515EC"/>
    <w:rsid w:val="00460DBC"/>
    <w:rsid w:val="0048052B"/>
    <w:rsid w:val="004A54EE"/>
    <w:rsid w:val="004B266D"/>
    <w:rsid w:val="004B2E69"/>
    <w:rsid w:val="004C56B8"/>
    <w:rsid w:val="004D763E"/>
    <w:rsid w:val="004F54BF"/>
    <w:rsid w:val="00500350"/>
    <w:rsid w:val="00502117"/>
    <w:rsid w:val="00521C98"/>
    <w:rsid w:val="00521E4B"/>
    <w:rsid w:val="00525B84"/>
    <w:rsid w:val="00531BFB"/>
    <w:rsid w:val="00537D93"/>
    <w:rsid w:val="00543284"/>
    <w:rsid w:val="005505A4"/>
    <w:rsid w:val="00551745"/>
    <w:rsid w:val="005544A9"/>
    <w:rsid w:val="00583B12"/>
    <w:rsid w:val="0058600F"/>
    <w:rsid w:val="00586402"/>
    <w:rsid w:val="005B7E7E"/>
    <w:rsid w:val="005C637B"/>
    <w:rsid w:val="005C63B7"/>
    <w:rsid w:val="005D3138"/>
    <w:rsid w:val="005D4AA3"/>
    <w:rsid w:val="00614C09"/>
    <w:rsid w:val="0061743C"/>
    <w:rsid w:val="0062398D"/>
    <w:rsid w:val="006321EE"/>
    <w:rsid w:val="00641F14"/>
    <w:rsid w:val="0065096D"/>
    <w:rsid w:val="00660E73"/>
    <w:rsid w:val="00661A83"/>
    <w:rsid w:val="00671644"/>
    <w:rsid w:val="00683639"/>
    <w:rsid w:val="00684E62"/>
    <w:rsid w:val="006D418E"/>
    <w:rsid w:val="006E6184"/>
    <w:rsid w:val="006F00BF"/>
    <w:rsid w:val="006F5CB8"/>
    <w:rsid w:val="00704471"/>
    <w:rsid w:val="0071582E"/>
    <w:rsid w:val="00716912"/>
    <w:rsid w:val="007259C5"/>
    <w:rsid w:val="00730B26"/>
    <w:rsid w:val="0074598C"/>
    <w:rsid w:val="00750D60"/>
    <w:rsid w:val="00770F96"/>
    <w:rsid w:val="00786925"/>
    <w:rsid w:val="007A1243"/>
    <w:rsid w:val="007B0756"/>
    <w:rsid w:val="007B7861"/>
    <w:rsid w:val="007E51AB"/>
    <w:rsid w:val="007F79DB"/>
    <w:rsid w:val="00806356"/>
    <w:rsid w:val="00806667"/>
    <w:rsid w:val="00823146"/>
    <w:rsid w:val="00836318"/>
    <w:rsid w:val="00847CE1"/>
    <w:rsid w:val="00855379"/>
    <w:rsid w:val="00870A84"/>
    <w:rsid w:val="008B4708"/>
    <w:rsid w:val="008C5FA4"/>
    <w:rsid w:val="008F5C60"/>
    <w:rsid w:val="00910FF3"/>
    <w:rsid w:val="009163AF"/>
    <w:rsid w:val="00917C52"/>
    <w:rsid w:val="009248BA"/>
    <w:rsid w:val="0093447D"/>
    <w:rsid w:val="009438FD"/>
    <w:rsid w:val="00964B9D"/>
    <w:rsid w:val="00964CCD"/>
    <w:rsid w:val="0097676C"/>
    <w:rsid w:val="0099113B"/>
    <w:rsid w:val="00993F22"/>
    <w:rsid w:val="00994AED"/>
    <w:rsid w:val="00997C98"/>
    <w:rsid w:val="009B4984"/>
    <w:rsid w:val="009C1D2F"/>
    <w:rsid w:val="009D4BD2"/>
    <w:rsid w:val="009E3B14"/>
    <w:rsid w:val="009E59B5"/>
    <w:rsid w:val="009F2E25"/>
    <w:rsid w:val="00A10BB9"/>
    <w:rsid w:val="00A4767F"/>
    <w:rsid w:val="00A47722"/>
    <w:rsid w:val="00A63F8D"/>
    <w:rsid w:val="00A65E20"/>
    <w:rsid w:val="00A8760A"/>
    <w:rsid w:val="00AB04CB"/>
    <w:rsid w:val="00AB2469"/>
    <w:rsid w:val="00AF210D"/>
    <w:rsid w:val="00AF7A73"/>
    <w:rsid w:val="00B02AAB"/>
    <w:rsid w:val="00B14DED"/>
    <w:rsid w:val="00B25BC9"/>
    <w:rsid w:val="00B3132D"/>
    <w:rsid w:val="00B44972"/>
    <w:rsid w:val="00B46B80"/>
    <w:rsid w:val="00B81676"/>
    <w:rsid w:val="00B83E66"/>
    <w:rsid w:val="00B9286F"/>
    <w:rsid w:val="00B94268"/>
    <w:rsid w:val="00BB56EF"/>
    <w:rsid w:val="00BC2528"/>
    <w:rsid w:val="00BC3D34"/>
    <w:rsid w:val="00BE043A"/>
    <w:rsid w:val="00BE16B6"/>
    <w:rsid w:val="00BF2216"/>
    <w:rsid w:val="00BF767A"/>
    <w:rsid w:val="00C13A80"/>
    <w:rsid w:val="00C20CAA"/>
    <w:rsid w:val="00C21698"/>
    <w:rsid w:val="00C2443F"/>
    <w:rsid w:val="00C35352"/>
    <w:rsid w:val="00C424CB"/>
    <w:rsid w:val="00C45823"/>
    <w:rsid w:val="00C464D6"/>
    <w:rsid w:val="00C51613"/>
    <w:rsid w:val="00C733A8"/>
    <w:rsid w:val="00C7707B"/>
    <w:rsid w:val="00C8585C"/>
    <w:rsid w:val="00CA3D41"/>
    <w:rsid w:val="00CA68F3"/>
    <w:rsid w:val="00CB0782"/>
    <w:rsid w:val="00CE69A4"/>
    <w:rsid w:val="00CF162E"/>
    <w:rsid w:val="00CF4697"/>
    <w:rsid w:val="00D01BC6"/>
    <w:rsid w:val="00D0263C"/>
    <w:rsid w:val="00D05011"/>
    <w:rsid w:val="00D111B2"/>
    <w:rsid w:val="00D15E87"/>
    <w:rsid w:val="00D258B0"/>
    <w:rsid w:val="00D30115"/>
    <w:rsid w:val="00D33ACF"/>
    <w:rsid w:val="00D53D49"/>
    <w:rsid w:val="00D56495"/>
    <w:rsid w:val="00D65BD6"/>
    <w:rsid w:val="00D760EA"/>
    <w:rsid w:val="00D82836"/>
    <w:rsid w:val="00D84A94"/>
    <w:rsid w:val="00D9545B"/>
    <w:rsid w:val="00DA3801"/>
    <w:rsid w:val="00DA577F"/>
    <w:rsid w:val="00DB0E35"/>
    <w:rsid w:val="00DC2CB5"/>
    <w:rsid w:val="00DD65A9"/>
    <w:rsid w:val="00DE6BD9"/>
    <w:rsid w:val="00DF6F77"/>
    <w:rsid w:val="00DF7C8F"/>
    <w:rsid w:val="00E20C5F"/>
    <w:rsid w:val="00E23573"/>
    <w:rsid w:val="00E40BFF"/>
    <w:rsid w:val="00E649B6"/>
    <w:rsid w:val="00E66BD8"/>
    <w:rsid w:val="00E715BA"/>
    <w:rsid w:val="00EA606D"/>
    <w:rsid w:val="00EC33BF"/>
    <w:rsid w:val="00ED048C"/>
    <w:rsid w:val="00EE3DF9"/>
    <w:rsid w:val="00EF3EF8"/>
    <w:rsid w:val="00F33261"/>
    <w:rsid w:val="00F47195"/>
    <w:rsid w:val="00F51A71"/>
    <w:rsid w:val="00F53515"/>
    <w:rsid w:val="00F635F2"/>
    <w:rsid w:val="00F8375D"/>
    <w:rsid w:val="00F942E8"/>
    <w:rsid w:val="00F96D66"/>
    <w:rsid w:val="00FC12A5"/>
    <w:rsid w:val="00FD1CA3"/>
    <w:rsid w:val="00FD7897"/>
    <w:rsid w:val="00FE1EC8"/>
    <w:rsid w:val="00FF2CFE"/>
    <w:rsid w:val="00FF542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E148"/>
  <w15:docId w15:val="{07BDB21F-A993-45F0-9E1F-1250A57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266D"/>
    <w:pPr>
      <w:jc w:val="both"/>
    </w:pPr>
    <w:rPr>
      <w:rFonts w:ascii="Arial" w:hAnsi="Arial" w:cs="Arial"/>
      <w:spacing w:val="-2"/>
      <w:sz w:val="22"/>
      <w:szCs w:val="22"/>
      <w:lang w:val="fr-FR" w:eastAsia="en-US"/>
    </w:rPr>
  </w:style>
  <w:style w:type="paragraph" w:styleId="berschrift1">
    <w:name w:val="heading 1"/>
    <w:basedOn w:val="Standard"/>
    <w:next w:val="Standard"/>
    <w:qFormat/>
    <w:rsid w:val="00A65E20"/>
    <w:pPr>
      <w:keepNext/>
      <w:jc w:val="center"/>
      <w:outlineLvl w:val="0"/>
    </w:pPr>
    <w:rPr>
      <w:b/>
      <w:color w:val="000000"/>
      <w:spacing w:val="0"/>
      <w:sz w:val="40"/>
      <w:szCs w:val="40"/>
      <w:lang w:val="en-US"/>
    </w:rPr>
  </w:style>
  <w:style w:type="paragraph" w:styleId="berschrift3">
    <w:name w:val="heading 3"/>
    <w:basedOn w:val="Standard"/>
    <w:next w:val="Standard"/>
    <w:qFormat/>
    <w:rsid w:val="00A4767F"/>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sz w:val="24"/>
      <w:lang w:val="fr-FR" w:eastAsia="en-US"/>
    </w:rPr>
  </w:style>
  <w:style w:type="paragraph" w:customStyle="1" w:styleId="Style1">
    <w:name w:val="Style1"/>
    <w:basedOn w:val="Standard"/>
    <w:rsid w:val="00057E50"/>
  </w:style>
  <w:style w:type="table" w:styleId="Tabellenraster">
    <w:name w:val="Table Grid"/>
    <w:basedOn w:val="NormaleTabelle"/>
    <w:rsid w:val="00A65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rsid w:val="00A65E20"/>
    <w:pPr>
      <w:ind w:left="284" w:hanging="284"/>
    </w:pPr>
    <w:rPr>
      <w:color w:val="000000"/>
      <w:spacing w:val="0"/>
      <w:lang w:val="en-US"/>
    </w:rPr>
  </w:style>
  <w:style w:type="paragraph" w:styleId="Textkrper2">
    <w:name w:val="Body Text 2"/>
    <w:basedOn w:val="Standard"/>
    <w:rsid w:val="00A65E20"/>
    <w:pPr>
      <w:spacing w:after="120" w:line="480" w:lineRule="auto"/>
    </w:pPr>
  </w:style>
  <w:style w:type="paragraph" w:styleId="Textkrper-Einzug2">
    <w:name w:val="Body Text Indent 2"/>
    <w:basedOn w:val="Standard"/>
    <w:rsid w:val="0099113B"/>
    <w:pPr>
      <w:spacing w:after="120" w:line="480" w:lineRule="auto"/>
      <w:ind w:left="283"/>
    </w:pPr>
  </w:style>
  <w:style w:type="paragraph" w:styleId="Textkrper-Einzug3">
    <w:name w:val="Body Text Indent 3"/>
    <w:basedOn w:val="Standard"/>
    <w:rsid w:val="0099113B"/>
    <w:pPr>
      <w:spacing w:after="120"/>
      <w:ind w:left="283"/>
    </w:pPr>
    <w:rPr>
      <w:sz w:val="16"/>
      <w:szCs w:val="16"/>
    </w:rPr>
  </w:style>
  <w:style w:type="paragraph" w:styleId="Kopfzeile">
    <w:name w:val="header"/>
    <w:basedOn w:val="Standard"/>
    <w:rsid w:val="000A2CBA"/>
    <w:pPr>
      <w:tabs>
        <w:tab w:val="center" w:pos="4536"/>
        <w:tab w:val="right" w:pos="9072"/>
      </w:tabs>
    </w:pPr>
  </w:style>
  <w:style w:type="character" w:styleId="Seitenzahl">
    <w:name w:val="page number"/>
    <w:basedOn w:val="Absatz-Standardschriftart"/>
    <w:rsid w:val="000A2CBA"/>
  </w:style>
  <w:style w:type="paragraph" w:styleId="Sprechblasentext">
    <w:name w:val="Balloon Text"/>
    <w:basedOn w:val="Standard"/>
    <w:semiHidden/>
    <w:rsid w:val="00FC12A5"/>
    <w:rPr>
      <w:rFonts w:ascii="Tahoma" w:hAnsi="Tahoma" w:cs="Tahoma"/>
      <w:sz w:val="16"/>
      <w:szCs w:val="16"/>
    </w:rPr>
  </w:style>
  <w:style w:type="paragraph" w:styleId="Fuzeile">
    <w:name w:val="footer"/>
    <w:basedOn w:val="Standard"/>
    <w:rsid w:val="00BE043A"/>
    <w:pPr>
      <w:tabs>
        <w:tab w:val="center" w:pos="4536"/>
        <w:tab w:val="right" w:pos="9072"/>
      </w:tabs>
    </w:pPr>
  </w:style>
  <w:style w:type="paragraph" w:styleId="Textkrper">
    <w:name w:val="Body Text"/>
    <w:basedOn w:val="Standard"/>
    <w:rsid w:val="00366ED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2814">
      <w:bodyDiv w:val="1"/>
      <w:marLeft w:val="0"/>
      <w:marRight w:val="0"/>
      <w:marTop w:val="0"/>
      <w:marBottom w:val="0"/>
      <w:divBdr>
        <w:top w:val="none" w:sz="0" w:space="0" w:color="auto"/>
        <w:left w:val="none" w:sz="0" w:space="0" w:color="auto"/>
        <w:bottom w:val="none" w:sz="0" w:space="0" w:color="auto"/>
        <w:right w:val="none" w:sz="0" w:space="0" w:color="auto"/>
      </w:divBdr>
    </w:div>
    <w:div w:id="279143049">
      <w:bodyDiv w:val="1"/>
      <w:marLeft w:val="0"/>
      <w:marRight w:val="0"/>
      <w:marTop w:val="0"/>
      <w:marBottom w:val="0"/>
      <w:divBdr>
        <w:top w:val="none" w:sz="0" w:space="0" w:color="auto"/>
        <w:left w:val="none" w:sz="0" w:space="0" w:color="auto"/>
        <w:bottom w:val="none" w:sz="0" w:space="0" w:color="auto"/>
        <w:right w:val="none" w:sz="0" w:space="0" w:color="auto"/>
      </w:divBdr>
    </w:div>
    <w:div w:id="283199307">
      <w:bodyDiv w:val="1"/>
      <w:marLeft w:val="0"/>
      <w:marRight w:val="0"/>
      <w:marTop w:val="0"/>
      <w:marBottom w:val="0"/>
      <w:divBdr>
        <w:top w:val="none" w:sz="0" w:space="0" w:color="auto"/>
        <w:left w:val="none" w:sz="0" w:space="0" w:color="auto"/>
        <w:bottom w:val="none" w:sz="0" w:space="0" w:color="auto"/>
        <w:right w:val="none" w:sz="0" w:space="0" w:color="auto"/>
      </w:divBdr>
    </w:div>
    <w:div w:id="316418581">
      <w:bodyDiv w:val="1"/>
      <w:marLeft w:val="0"/>
      <w:marRight w:val="0"/>
      <w:marTop w:val="0"/>
      <w:marBottom w:val="0"/>
      <w:divBdr>
        <w:top w:val="none" w:sz="0" w:space="0" w:color="auto"/>
        <w:left w:val="none" w:sz="0" w:space="0" w:color="auto"/>
        <w:bottom w:val="none" w:sz="0" w:space="0" w:color="auto"/>
        <w:right w:val="none" w:sz="0" w:space="0" w:color="auto"/>
      </w:divBdr>
    </w:div>
    <w:div w:id="386992442">
      <w:bodyDiv w:val="1"/>
      <w:marLeft w:val="0"/>
      <w:marRight w:val="0"/>
      <w:marTop w:val="0"/>
      <w:marBottom w:val="0"/>
      <w:divBdr>
        <w:top w:val="none" w:sz="0" w:space="0" w:color="auto"/>
        <w:left w:val="none" w:sz="0" w:space="0" w:color="auto"/>
        <w:bottom w:val="none" w:sz="0" w:space="0" w:color="auto"/>
        <w:right w:val="none" w:sz="0" w:space="0" w:color="auto"/>
      </w:divBdr>
    </w:div>
    <w:div w:id="590087857">
      <w:bodyDiv w:val="1"/>
      <w:marLeft w:val="0"/>
      <w:marRight w:val="0"/>
      <w:marTop w:val="0"/>
      <w:marBottom w:val="0"/>
      <w:divBdr>
        <w:top w:val="none" w:sz="0" w:space="0" w:color="auto"/>
        <w:left w:val="none" w:sz="0" w:space="0" w:color="auto"/>
        <w:bottom w:val="none" w:sz="0" w:space="0" w:color="auto"/>
        <w:right w:val="none" w:sz="0" w:space="0" w:color="auto"/>
      </w:divBdr>
    </w:div>
    <w:div w:id="656105443">
      <w:bodyDiv w:val="1"/>
      <w:marLeft w:val="0"/>
      <w:marRight w:val="0"/>
      <w:marTop w:val="0"/>
      <w:marBottom w:val="0"/>
      <w:divBdr>
        <w:top w:val="none" w:sz="0" w:space="0" w:color="auto"/>
        <w:left w:val="none" w:sz="0" w:space="0" w:color="auto"/>
        <w:bottom w:val="none" w:sz="0" w:space="0" w:color="auto"/>
        <w:right w:val="none" w:sz="0" w:space="0" w:color="auto"/>
      </w:divBdr>
    </w:div>
    <w:div w:id="742021418">
      <w:bodyDiv w:val="1"/>
      <w:marLeft w:val="0"/>
      <w:marRight w:val="0"/>
      <w:marTop w:val="0"/>
      <w:marBottom w:val="0"/>
      <w:divBdr>
        <w:top w:val="none" w:sz="0" w:space="0" w:color="auto"/>
        <w:left w:val="none" w:sz="0" w:space="0" w:color="auto"/>
        <w:bottom w:val="none" w:sz="0" w:space="0" w:color="auto"/>
        <w:right w:val="none" w:sz="0" w:space="0" w:color="auto"/>
      </w:divBdr>
    </w:div>
    <w:div w:id="1694456885">
      <w:bodyDiv w:val="1"/>
      <w:marLeft w:val="0"/>
      <w:marRight w:val="0"/>
      <w:marTop w:val="0"/>
      <w:marBottom w:val="0"/>
      <w:divBdr>
        <w:top w:val="none" w:sz="0" w:space="0" w:color="auto"/>
        <w:left w:val="none" w:sz="0" w:space="0" w:color="auto"/>
        <w:bottom w:val="none" w:sz="0" w:space="0" w:color="auto"/>
        <w:right w:val="none" w:sz="0" w:space="0" w:color="auto"/>
      </w:divBdr>
    </w:div>
    <w:div w:id="1783840087">
      <w:bodyDiv w:val="1"/>
      <w:marLeft w:val="0"/>
      <w:marRight w:val="0"/>
      <w:marTop w:val="0"/>
      <w:marBottom w:val="0"/>
      <w:divBdr>
        <w:top w:val="none" w:sz="0" w:space="0" w:color="auto"/>
        <w:left w:val="none" w:sz="0" w:space="0" w:color="auto"/>
        <w:bottom w:val="none" w:sz="0" w:space="0" w:color="auto"/>
        <w:right w:val="none" w:sz="0" w:space="0" w:color="auto"/>
      </w:divBdr>
    </w:div>
    <w:div w:id="21402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3EF8-EC32-41D0-9EB7-81E7DCB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4127</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Planungs- und Baureglement (PBR)</vt:lpstr>
      <vt:lpstr>Planungs- und Baureglement (PBR)</vt:lpstr>
    </vt:vector>
  </TitlesOfParts>
  <Company>Etat de Fribourg</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 und Baureglement (PBR)</dc:title>
  <dc:creator>Jacqueline Aebischer</dc:creator>
  <cp:lastModifiedBy>Sterren Marianne</cp:lastModifiedBy>
  <cp:revision>10</cp:revision>
  <cp:lastPrinted>2010-07-08T13:59:00Z</cp:lastPrinted>
  <dcterms:created xsi:type="dcterms:W3CDTF">2021-09-03T08:31:00Z</dcterms:created>
  <dcterms:modified xsi:type="dcterms:W3CDTF">2023-05-31T12:14:00Z</dcterms:modified>
</cp:coreProperties>
</file>