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259D5" w14:textId="24DB885D" w:rsidR="004E2EBB" w:rsidRPr="00137E2E" w:rsidRDefault="00352381" w:rsidP="000A7876">
      <w:pPr>
        <w:pBdr>
          <w:bottom w:val="single" w:sz="4" w:space="1" w:color="auto"/>
        </w:pBdr>
        <w:tabs>
          <w:tab w:val="left" w:pos="142"/>
        </w:tabs>
        <w:jc w:val="right"/>
        <w:rPr>
          <w:rFonts w:ascii="Times New Roman" w:hAnsi="Times New Roman" w:cs="Times New Roman"/>
          <w:b/>
          <w:lang w:val="de-CH"/>
        </w:rPr>
      </w:pPr>
      <w:r w:rsidRPr="00137E2E">
        <w:rPr>
          <w:rFonts w:ascii="Times New Roman" w:hAnsi="Times New Roman" w:cs="Times New Roman"/>
          <w:b/>
          <w:lang w:val="de-CH"/>
        </w:rPr>
        <w:t xml:space="preserve">GSD/Entwurf vom </w:t>
      </w:r>
      <w:r w:rsidR="005A133F">
        <w:rPr>
          <w:rFonts w:ascii="Times New Roman" w:hAnsi="Times New Roman" w:cs="Times New Roman"/>
          <w:b/>
          <w:lang w:val="de-CH"/>
        </w:rPr>
        <w:t>2</w:t>
      </w:r>
      <w:r w:rsidR="00FE2F09">
        <w:rPr>
          <w:rFonts w:ascii="Times New Roman" w:hAnsi="Times New Roman" w:cs="Times New Roman"/>
          <w:b/>
          <w:lang w:val="de-CH"/>
        </w:rPr>
        <w:t>5</w:t>
      </w:r>
      <w:r w:rsidRPr="00137E2E">
        <w:rPr>
          <w:rFonts w:ascii="Times New Roman" w:hAnsi="Times New Roman" w:cs="Times New Roman"/>
          <w:b/>
          <w:lang w:val="de-CH"/>
        </w:rPr>
        <w:t>.</w:t>
      </w:r>
      <w:r w:rsidR="005A133F">
        <w:rPr>
          <w:rFonts w:ascii="Times New Roman" w:hAnsi="Times New Roman" w:cs="Times New Roman"/>
          <w:b/>
          <w:lang w:val="de-CH"/>
        </w:rPr>
        <w:t>8</w:t>
      </w:r>
      <w:r w:rsidRPr="00137E2E">
        <w:rPr>
          <w:rFonts w:ascii="Times New Roman" w:hAnsi="Times New Roman" w:cs="Times New Roman"/>
          <w:b/>
          <w:lang w:val="de-CH"/>
        </w:rPr>
        <w:t xml:space="preserve">.2020 </w:t>
      </w:r>
    </w:p>
    <w:p w14:paraId="22BCF043" w14:textId="6D951931" w:rsidR="008818C2" w:rsidRPr="00137E2E" w:rsidRDefault="00367939" w:rsidP="009D3C71">
      <w:pPr>
        <w:pStyle w:val="Dcrte"/>
        <w:tabs>
          <w:tab w:val="left" w:pos="4536"/>
        </w:tabs>
        <w:spacing w:after="80" w:line="220" w:lineRule="exact"/>
        <w:rPr>
          <w:i w:val="0"/>
          <w:sz w:val="22"/>
          <w:szCs w:val="22"/>
          <w:lang w:val="de-CH"/>
        </w:rPr>
      </w:pPr>
      <w:r w:rsidRPr="00137E2E">
        <w:rPr>
          <w:i w:val="0"/>
          <w:sz w:val="22"/>
          <w:lang w:val="de-CH"/>
        </w:rPr>
        <w:t xml:space="preserve">BOTSCHAFT 2020-DSAS-69 </w:t>
      </w:r>
    </w:p>
    <w:p w14:paraId="4559F070" w14:textId="77777777" w:rsidR="004C568E" w:rsidRPr="00137E2E" w:rsidRDefault="00731B27" w:rsidP="008818C2">
      <w:pPr>
        <w:spacing w:after="0"/>
        <w:rPr>
          <w:rFonts w:ascii="Times New Roman" w:hAnsi="Times New Roman" w:cs="Times New Roman"/>
          <w:lang w:val="de-CH"/>
        </w:rPr>
      </w:pPr>
      <w:r w:rsidRPr="00137E2E">
        <w:rPr>
          <w:rFonts w:ascii="Times New Roman" w:hAnsi="Times New Roman" w:cs="Times New Roman"/>
          <w:lang w:val="de-CH"/>
        </w:rPr>
        <w:t xml:space="preserve">des Staatsrates an den Grossen Rat </w:t>
      </w:r>
    </w:p>
    <w:p w14:paraId="5ACEAF61" w14:textId="27333A84" w:rsidR="0066485C" w:rsidRDefault="008818C2" w:rsidP="008818C2">
      <w:pPr>
        <w:spacing w:after="0"/>
        <w:rPr>
          <w:rFonts w:ascii="Times New Roman" w:hAnsi="Times New Roman" w:cs="Times New Roman"/>
          <w:lang w:val="de-CH"/>
        </w:rPr>
      </w:pPr>
      <w:r w:rsidRPr="00137E2E">
        <w:rPr>
          <w:rFonts w:ascii="Times New Roman" w:hAnsi="Times New Roman" w:cs="Times New Roman"/>
          <w:lang w:val="de-CH"/>
        </w:rPr>
        <w:t>zum Gesetzesentwurf über Inkassohilfe und Bevorschussung von Unt</w:t>
      </w:r>
      <w:r w:rsidR="006B0CE6" w:rsidRPr="00137E2E">
        <w:rPr>
          <w:rFonts w:ascii="Times New Roman" w:hAnsi="Times New Roman" w:cs="Times New Roman"/>
          <w:lang w:val="de-CH"/>
        </w:rPr>
        <w:t>erhaltsbeiträgen (IHBUBG</w:t>
      </w:r>
      <w:r w:rsidR="00E4739B">
        <w:rPr>
          <w:rFonts w:ascii="Times New Roman" w:hAnsi="Times New Roman" w:cs="Times New Roman"/>
          <w:lang w:val="de-CH"/>
        </w:rPr>
        <w:t>)</w:t>
      </w:r>
    </w:p>
    <w:sdt>
      <w:sdtPr>
        <w:rPr>
          <w:rFonts w:asciiTheme="minorHAnsi" w:eastAsiaTheme="minorHAnsi" w:hAnsiTheme="minorHAnsi" w:cstheme="minorBidi"/>
          <w:b w:val="0"/>
          <w:bCs w:val="0"/>
          <w:color w:val="auto"/>
          <w:sz w:val="22"/>
          <w:szCs w:val="22"/>
          <w:lang w:val="de-CH" w:eastAsia="en-US"/>
        </w:rPr>
        <w:id w:val="-846792032"/>
        <w:docPartObj>
          <w:docPartGallery w:val="Table of Contents"/>
          <w:docPartUnique/>
        </w:docPartObj>
      </w:sdtPr>
      <w:sdtEndPr>
        <w:rPr>
          <w:rFonts w:ascii="Times New Roman" w:eastAsia="Times New Roman" w:hAnsi="Times New Roman" w:cs="Times New Roman"/>
          <w:sz w:val="24"/>
          <w:szCs w:val="24"/>
          <w:lang w:eastAsia="fr-FR"/>
        </w:rPr>
      </w:sdtEndPr>
      <w:sdtContent>
        <w:p w14:paraId="100BFF3F" w14:textId="77777777" w:rsidR="002629E7" w:rsidRPr="007B41EB" w:rsidRDefault="002629E7" w:rsidP="0066485C">
          <w:pPr>
            <w:pStyle w:val="En-ttedetabledesmatires"/>
            <w:spacing w:before="240"/>
            <w:rPr>
              <w:color w:val="auto"/>
              <w:lang w:val="de-CH"/>
            </w:rPr>
          </w:pPr>
          <w:r w:rsidRPr="00137E2E">
            <w:rPr>
              <w:color w:val="auto"/>
              <w:lang w:val="de-CH"/>
            </w:rPr>
            <w:t xml:space="preserve">Inhaltsverzeichnis </w:t>
          </w:r>
        </w:p>
        <w:p w14:paraId="3F9C9756" w14:textId="15858F4B" w:rsidR="00297370" w:rsidRDefault="0048409D">
          <w:pPr>
            <w:pStyle w:val="TM1"/>
            <w:rPr>
              <w:rFonts w:eastAsiaTheme="minorEastAsia"/>
              <w:noProof/>
              <w:lang w:val="fr-CH" w:eastAsia="fr-CH"/>
            </w:rPr>
          </w:pPr>
          <w:r w:rsidRPr="00137E2E">
            <w:rPr>
              <w:lang w:val="de-CH"/>
            </w:rPr>
            <w:fldChar w:fldCharType="begin"/>
          </w:r>
          <w:r w:rsidR="002629E7" w:rsidRPr="00137E2E">
            <w:rPr>
              <w:lang w:val="de-CH"/>
            </w:rPr>
            <w:instrText xml:space="preserve"> TOC \o "1-3" \h \z \u </w:instrText>
          </w:r>
          <w:r w:rsidRPr="00137E2E">
            <w:rPr>
              <w:lang w:val="de-CH"/>
            </w:rPr>
            <w:fldChar w:fldCharType="separate"/>
          </w:r>
          <w:hyperlink w:anchor="_Toc49330761" w:history="1">
            <w:r w:rsidR="00297370" w:rsidRPr="00202923">
              <w:rPr>
                <w:rStyle w:val="Lienhypertexte"/>
                <w:noProof/>
                <w:lang w:val="de-CH"/>
              </w:rPr>
              <w:t>1. Einführung</w:t>
            </w:r>
            <w:r w:rsidR="00297370">
              <w:rPr>
                <w:noProof/>
                <w:webHidden/>
              </w:rPr>
              <w:tab/>
            </w:r>
            <w:r w:rsidR="00297370">
              <w:rPr>
                <w:noProof/>
                <w:webHidden/>
              </w:rPr>
              <w:fldChar w:fldCharType="begin"/>
            </w:r>
            <w:r w:rsidR="00297370">
              <w:rPr>
                <w:noProof/>
                <w:webHidden/>
              </w:rPr>
              <w:instrText xml:space="preserve"> PAGEREF _Toc49330761 \h </w:instrText>
            </w:r>
            <w:r w:rsidR="00297370">
              <w:rPr>
                <w:noProof/>
                <w:webHidden/>
              </w:rPr>
            </w:r>
            <w:r w:rsidR="00297370">
              <w:rPr>
                <w:noProof/>
                <w:webHidden/>
              </w:rPr>
              <w:fldChar w:fldCharType="separate"/>
            </w:r>
            <w:r w:rsidR="00034CF4">
              <w:rPr>
                <w:noProof/>
                <w:webHidden/>
              </w:rPr>
              <w:t>2</w:t>
            </w:r>
            <w:r w:rsidR="00297370">
              <w:rPr>
                <w:noProof/>
                <w:webHidden/>
              </w:rPr>
              <w:fldChar w:fldCharType="end"/>
            </w:r>
          </w:hyperlink>
        </w:p>
        <w:p w14:paraId="75669C33" w14:textId="233779FD" w:rsidR="00297370" w:rsidRDefault="00BE1726">
          <w:pPr>
            <w:pStyle w:val="TM1"/>
            <w:rPr>
              <w:rFonts w:eastAsiaTheme="minorEastAsia"/>
              <w:noProof/>
              <w:lang w:val="fr-CH" w:eastAsia="fr-CH"/>
            </w:rPr>
          </w:pPr>
          <w:hyperlink w:anchor="_Toc49330762" w:history="1">
            <w:r w:rsidR="00297370" w:rsidRPr="00202923">
              <w:rPr>
                <w:rStyle w:val="Lienhypertexte"/>
                <w:noProof/>
                <w:lang w:val="de-CH"/>
              </w:rPr>
              <w:t>2. Kontext der Revision</w:t>
            </w:r>
            <w:r w:rsidR="00297370">
              <w:rPr>
                <w:noProof/>
                <w:webHidden/>
              </w:rPr>
              <w:tab/>
            </w:r>
            <w:r w:rsidR="00297370">
              <w:rPr>
                <w:noProof/>
                <w:webHidden/>
              </w:rPr>
              <w:fldChar w:fldCharType="begin"/>
            </w:r>
            <w:r w:rsidR="00297370">
              <w:rPr>
                <w:noProof/>
                <w:webHidden/>
              </w:rPr>
              <w:instrText xml:space="preserve"> PAGEREF _Toc49330762 \h </w:instrText>
            </w:r>
            <w:r w:rsidR="00297370">
              <w:rPr>
                <w:noProof/>
                <w:webHidden/>
              </w:rPr>
            </w:r>
            <w:r w:rsidR="00297370">
              <w:rPr>
                <w:noProof/>
                <w:webHidden/>
              </w:rPr>
              <w:fldChar w:fldCharType="separate"/>
            </w:r>
            <w:r w:rsidR="00034CF4">
              <w:rPr>
                <w:noProof/>
                <w:webHidden/>
              </w:rPr>
              <w:t>2</w:t>
            </w:r>
            <w:r w:rsidR="00297370">
              <w:rPr>
                <w:noProof/>
                <w:webHidden/>
              </w:rPr>
              <w:fldChar w:fldCharType="end"/>
            </w:r>
          </w:hyperlink>
        </w:p>
        <w:p w14:paraId="7C83482F" w14:textId="63843C8E" w:rsidR="00297370" w:rsidRDefault="00BE1726">
          <w:pPr>
            <w:pStyle w:val="TM2"/>
            <w:tabs>
              <w:tab w:val="right" w:leader="dot" w:pos="9062"/>
            </w:tabs>
            <w:rPr>
              <w:rFonts w:eastAsiaTheme="minorEastAsia"/>
              <w:noProof/>
              <w:lang w:val="fr-CH" w:eastAsia="fr-CH"/>
            </w:rPr>
          </w:pPr>
          <w:hyperlink w:anchor="_Toc49330763" w:history="1">
            <w:r w:rsidR="00297370" w:rsidRPr="00202923">
              <w:rPr>
                <w:rStyle w:val="Lienhypertexte"/>
                <w:noProof/>
                <w:lang w:val="de-CH"/>
              </w:rPr>
              <w:t>2.1 Alimentenhilfe</w:t>
            </w:r>
            <w:r w:rsidR="00297370">
              <w:rPr>
                <w:noProof/>
                <w:webHidden/>
              </w:rPr>
              <w:tab/>
            </w:r>
            <w:r w:rsidR="00297370">
              <w:rPr>
                <w:noProof/>
                <w:webHidden/>
              </w:rPr>
              <w:fldChar w:fldCharType="begin"/>
            </w:r>
            <w:r w:rsidR="00297370">
              <w:rPr>
                <w:noProof/>
                <w:webHidden/>
              </w:rPr>
              <w:instrText xml:space="preserve"> PAGEREF _Toc49330763 \h </w:instrText>
            </w:r>
            <w:r w:rsidR="00297370">
              <w:rPr>
                <w:noProof/>
                <w:webHidden/>
              </w:rPr>
            </w:r>
            <w:r w:rsidR="00297370">
              <w:rPr>
                <w:noProof/>
                <w:webHidden/>
              </w:rPr>
              <w:fldChar w:fldCharType="separate"/>
            </w:r>
            <w:r w:rsidR="00034CF4">
              <w:rPr>
                <w:noProof/>
                <w:webHidden/>
              </w:rPr>
              <w:t>2</w:t>
            </w:r>
            <w:r w:rsidR="00297370">
              <w:rPr>
                <w:noProof/>
                <w:webHidden/>
              </w:rPr>
              <w:fldChar w:fldCharType="end"/>
            </w:r>
          </w:hyperlink>
        </w:p>
        <w:p w14:paraId="5375366C" w14:textId="11488096" w:rsidR="00297370" w:rsidRDefault="00BE1726">
          <w:pPr>
            <w:pStyle w:val="TM2"/>
            <w:tabs>
              <w:tab w:val="right" w:leader="dot" w:pos="9062"/>
            </w:tabs>
            <w:rPr>
              <w:rFonts w:eastAsiaTheme="minorEastAsia"/>
              <w:noProof/>
              <w:lang w:val="fr-CH" w:eastAsia="fr-CH"/>
            </w:rPr>
          </w:pPr>
          <w:hyperlink w:anchor="_Toc49330764" w:history="1">
            <w:r w:rsidR="00297370" w:rsidRPr="00202923">
              <w:rPr>
                <w:rStyle w:val="Lienhypertexte"/>
                <w:noProof/>
                <w:lang w:val="de-CH"/>
              </w:rPr>
              <w:t>2.2 Bevorschussung von Unterhaltsbeiträgen</w:t>
            </w:r>
            <w:r w:rsidR="00297370">
              <w:rPr>
                <w:noProof/>
                <w:webHidden/>
              </w:rPr>
              <w:tab/>
            </w:r>
            <w:r w:rsidR="00297370">
              <w:rPr>
                <w:noProof/>
                <w:webHidden/>
              </w:rPr>
              <w:fldChar w:fldCharType="begin"/>
            </w:r>
            <w:r w:rsidR="00297370">
              <w:rPr>
                <w:noProof/>
                <w:webHidden/>
              </w:rPr>
              <w:instrText xml:space="preserve"> PAGEREF _Toc49330764 \h </w:instrText>
            </w:r>
            <w:r w:rsidR="00297370">
              <w:rPr>
                <w:noProof/>
                <w:webHidden/>
              </w:rPr>
            </w:r>
            <w:r w:rsidR="00297370">
              <w:rPr>
                <w:noProof/>
                <w:webHidden/>
              </w:rPr>
              <w:fldChar w:fldCharType="separate"/>
            </w:r>
            <w:r w:rsidR="00034CF4">
              <w:rPr>
                <w:noProof/>
                <w:webHidden/>
              </w:rPr>
              <w:t>3</w:t>
            </w:r>
            <w:r w:rsidR="00297370">
              <w:rPr>
                <w:noProof/>
                <w:webHidden/>
              </w:rPr>
              <w:fldChar w:fldCharType="end"/>
            </w:r>
          </w:hyperlink>
        </w:p>
        <w:p w14:paraId="52B5B71B" w14:textId="4BEDC868" w:rsidR="00297370" w:rsidRDefault="00BE1726">
          <w:pPr>
            <w:pStyle w:val="TM2"/>
            <w:tabs>
              <w:tab w:val="right" w:leader="dot" w:pos="9062"/>
            </w:tabs>
            <w:rPr>
              <w:rFonts w:eastAsiaTheme="minorEastAsia"/>
              <w:noProof/>
              <w:lang w:val="fr-CH" w:eastAsia="fr-CH"/>
            </w:rPr>
          </w:pPr>
          <w:hyperlink w:anchor="_Toc49330765" w:history="1">
            <w:r w:rsidR="00297370" w:rsidRPr="00202923">
              <w:rPr>
                <w:rStyle w:val="Lienhypertexte"/>
                <w:noProof/>
                <w:lang w:val="de-CH"/>
              </w:rPr>
              <w:t>2.3 Inkassohilfe</w:t>
            </w:r>
            <w:r w:rsidR="00297370">
              <w:rPr>
                <w:noProof/>
                <w:webHidden/>
              </w:rPr>
              <w:tab/>
            </w:r>
            <w:r w:rsidR="00297370">
              <w:rPr>
                <w:noProof/>
                <w:webHidden/>
              </w:rPr>
              <w:fldChar w:fldCharType="begin"/>
            </w:r>
            <w:r w:rsidR="00297370">
              <w:rPr>
                <w:noProof/>
                <w:webHidden/>
              </w:rPr>
              <w:instrText xml:space="preserve"> PAGEREF _Toc49330765 \h </w:instrText>
            </w:r>
            <w:r w:rsidR="00297370">
              <w:rPr>
                <w:noProof/>
                <w:webHidden/>
              </w:rPr>
            </w:r>
            <w:r w:rsidR="00297370">
              <w:rPr>
                <w:noProof/>
                <w:webHidden/>
              </w:rPr>
              <w:fldChar w:fldCharType="separate"/>
            </w:r>
            <w:r w:rsidR="00034CF4">
              <w:rPr>
                <w:noProof/>
                <w:webHidden/>
              </w:rPr>
              <w:t>3</w:t>
            </w:r>
            <w:r w:rsidR="00297370">
              <w:rPr>
                <w:noProof/>
                <w:webHidden/>
              </w:rPr>
              <w:fldChar w:fldCharType="end"/>
            </w:r>
          </w:hyperlink>
        </w:p>
        <w:p w14:paraId="203E79E7" w14:textId="101ED6FF" w:rsidR="00297370" w:rsidRDefault="00BE1726">
          <w:pPr>
            <w:pStyle w:val="TM1"/>
            <w:rPr>
              <w:rFonts w:eastAsiaTheme="minorEastAsia"/>
              <w:noProof/>
              <w:lang w:val="fr-CH" w:eastAsia="fr-CH"/>
            </w:rPr>
          </w:pPr>
          <w:hyperlink w:anchor="_Toc49330766" w:history="1">
            <w:r w:rsidR="00297370" w:rsidRPr="00202923">
              <w:rPr>
                <w:rStyle w:val="Lienhypertexte"/>
                <w:noProof/>
                <w:lang w:val="de-CH"/>
              </w:rPr>
              <w:t>3. Arbeiten auf Bundesebene</w:t>
            </w:r>
            <w:r w:rsidR="00297370">
              <w:rPr>
                <w:noProof/>
                <w:webHidden/>
              </w:rPr>
              <w:tab/>
            </w:r>
            <w:r w:rsidR="00297370">
              <w:rPr>
                <w:noProof/>
                <w:webHidden/>
              </w:rPr>
              <w:fldChar w:fldCharType="begin"/>
            </w:r>
            <w:r w:rsidR="00297370">
              <w:rPr>
                <w:noProof/>
                <w:webHidden/>
              </w:rPr>
              <w:instrText xml:space="preserve"> PAGEREF _Toc49330766 \h </w:instrText>
            </w:r>
            <w:r w:rsidR="00297370">
              <w:rPr>
                <w:noProof/>
                <w:webHidden/>
              </w:rPr>
            </w:r>
            <w:r w:rsidR="00297370">
              <w:rPr>
                <w:noProof/>
                <w:webHidden/>
              </w:rPr>
              <w:fldChar w:fldCharType="separate"/>
            </w:r>
            <w:r w:rsidR="00034CF4">
              <w:rPr>
                <w:noProof/>
                <w:webHidden/>
              </w:rPr>
              <w:t>3</w:t>
            </w:r>
            <w:r w:rsidR="00297370">
              <w:rPr>
                <w:noProof/>
                <w:webHidden/>
              </w:rPr>
              <w:fldChar w:fldCharType="end"/>
            </w:r>
          </w:hyperlink>
        </w:p>
        <w:p w14:paraId="17D74666" w14:textId="225AA861" w:rsidR="00297370" w:rsidRDefault="00BE1726">
          <w:pPr>
            <w:pStyle w:val="TM2"/>
            <w:tabs>
              <w:tab w:val="left" w:pos="880"/>
              <w:tab w:val="right" w:leader="dot" w:pos="9062"/>
            </w:tabs>
            <w:rPr>
              <w:rFonts w:eastAsiaTheme="minorEastAsia"/>
              <w:noProof/>
              <w:lang w:val="fr-CH" w:eastAsia="fr-CH"/>
            </w:rPr>
          </w:pPr>
          <w:hyperlink w:anchor="_Toc49330767" w:history="1">
            <w:r w:rsidR="00297370" w:rsidRPr="00202923">
              <w:rPr>
                <w:rStyle w:val="Lienhypertexte"/>
                <w:noProof/>
                <w:lang w:val="de-CH"/>
              </w:rPr>
              <w:t>3.1</w:t>
            </w:r>
            <w:r w:rsidR="00297370">
              <w:rPr>
                <w:rFonts w:eastAsiaTheme="minorEastAsia"/>
                <w:noProof/>
                <w:lang w:val="fr-CH" w:eastAsia="fr-CH"/>
              </w:rPr>
              <w:tab/>
            </w:r>
            <w:r w:rsidR="00297370" w:rsidRPr="00202923">
              <w:rPr>
                <w:rStyle w:val="Lienhypertexte"/>
                <w:noProof/>
                <w:lang w:val="de-CH"/>
              </w:rPr>
              <w:t>Bericht «Harmonisierung Alimentenbevorschussung und Alimenteninkasso»</w:t>
            </w:r>
            <w:r w:rsidR="00297370">
              <w:rPr>
                <w:noProof/>
                <w:webHidden/>
              </w:rPr>
              <w:tab/>
            </w:r>
            <w:r w:rsidR="00297370">
              <w:rPr>
                <w:noProof/>
                <w:webHidden/>
              </w:rPr>
              <w:fldChar w:fldCharType="begin"/>
            </w:r>
            <w:r w:rsidR="00297370">
              <w:rPr>
                <w:noProof/>
                <w:webHidden/>
              </w:rPr>
              <w:instrText xml:space="preserve"> PAGEREF _Toc49330767 \h </w:instrText>
            </w:r>
            <w:r w:rsidR="00297370">
              <w:rPr>
                <w:noProof/>
                <w:webHidden/>
              </w:rPr>
            </w:r>
            <w:r w:rsidR="00297370">
              <w:rPr>
                <w:noProof/>
                <w:webHidden/>
              </w:rPr>
              <w:fldChar w:fldCharType="separate"/>
            </w:r>
            <w:r w:rsidR="00034CF4">
              <w:rPr>
                <w:noProof/>
                <w:webHidden/>
              </w:rPr>
              <w:t>3</w:t>
            </w:r>
            <w:r w:rsidR="00297370">
              <w:rPr>
                <w:noProof/>
                <w:webHidden/>
              </w:rPr>
              <w:fldChar w:fldCharType="end"/>
            </w:r>
          </w:hyperlink>
        </w:p>
        <w:p w14:paraId="38B4625D" w14:textId="42E7FB94" w:rsidR="00297370" w:rsidRDefault="00BE1726">
          <w:pPr>
            <w:pStyle w:val="TM2"/>
            <w:tabs>
              <w:tab w:val="left" w:pos="880"/>
              <w:tab w:val="right" w:leader="dot" w:pos="9062"/>
            </w:tabs>
            <w:rPr>
              <w:rFonts w:eastAsiaTheme="minorEastAsia"/>
              <w:noProof/>
              <w:lang w:val="fr-CH" w:eastAsia="fr-CH"/>
            </w:rPr>
          </w:pPr>
          <w:hyperlink w:anchor="_Toc49330768" w:history="1">
            <w:r w:rsidR="00297370" w:rsidRPr="00202923">
              <w:rPr>
                <w:rStyle w:val="Lienhypertexte"/>
                <w:noProof/>
                <w:lang w:val="de-CH"/>
              </w:rPr>
              <w:t>3.2</w:t>
            </w:r>
            <w:r w:rsidR="00297370">
              <w:rPr>
                <w:rFonts w:eastAsiaTheme="minorEastAsia"/>
                <w:noProof/>
                <w:lang w:val="fr-CH" w:eastAsia="fr-CH"/>
              </w:rPr>
              <w:tab/>
            </w:r>
            <w:r w:rsidR="00297370" w:rsidRPr="00202923">
              <w:rPr>
                <w:rStyle w:val="Lienhypertexte"/>
                <w:noProof/>
                <w:lang w:val="de-CH"/>
              </w:rPr>
              <w:t>Empfehlungen der Konferenz der kantonalen Sozialdirektorinnen und Sozialdirektoren</w:t>
            </w:r>
            <w:r w:rsidR="00297370">
              <w:rPr>
                <w:noProof/>
                <w:webHidden/>
              </w:rPr>
              <w:tab/>
            </w:r>
            <w:r w:rsidR="00297370">
              <w:rPr>
                <w:noProof/>
                <w:webHidden/>
              </w:rPr>
              <w:fldChar w:fldCharType="begin"/>
            </w:r>
            <w:r w:rsidR="00297370">
              <w:rPr>
                <w:noProof/>
                <w:webHidden/>
              </w:rPr>
              <w:instrText xml:space="preserve"> PAGEREF _Toc49330768 \h </w:instrText>
            </w:r>
            <w:r w:rsidR="00297370">
              <w:rPr>
                <w:noProof/>
                <w:webHidden/>
              </w:rPr>
            </w:r>
            <w:r w:rsidR="00297370">
              <w:rPr>
                <w:noProof/>
                <w:webHidden/>
              </w:rPr>
              <w:fldChar w:fldCharType="separate"/>
            </w:r>
            <w:r w:rsidR="00034CF4">
              <w:rPr>
                <w:noProof/>
                <w:webHidden/>
              </w:rPr>
              <w:t>4</w:t>
            </w:r>
            <w:r w:rsidR="00297370">
              <w:rPr>
                <w:noProof/>
                <w:webHidden/>
              </w:rPr>
              <w:fldChar w:fldCharType="end"/>
            </w:r>
          </w:hyperlink>
        </w:p>
        <w:p w14:paraId="7B2E632C" w14:textId="3960C0BE" w:rsidR="00297370" w:rsidRDefault="00BE1726">
          <w:pPr>
            <w:pStyle w:val="TM2"/>
            <w:tabs>
              <w:tab w:val="right" w:leader="dot" w:pos="9062"/>
            </w:tabs>
            <w:rPr>
              <w:rFonts w:eastAsiaTheme="minorEastAsia"/>
              <w:noProof/>
              <w:lang w:val="fr-CH" w:eastAsia="fr-CH"/>
            </w:rPr>
          </w:pPr>
          <w:hyperlink w:anchor="_Toc49330769" w:history="1">
            <w:r w:rsidR="00297370" w:rsidRPr="00202923">
              <w:rPr>
                <w:rStyle w:val="Lienhypertexte"/>
                <w:noProof/>
                <w:lang w:val="de-CH"/>
              </w:rPr>
              <w:t>3.3 Revision des Kindesunterhaltsrechts</w:t>
            </w:r>
            <w:r w:rsidR="00297370">
              <w:rPr>
                <w:noProof/>
                <w:webHidden/>
              </w:rPr>
              <w:tab/>
            </w:r>
            <w:r w:rsidR="00297370">
              <w:rPr>
                <w:noProof/>
                <w:webHidden/>
              </w:rPr>
              <w:fldChar w:fldCharType="begin"/>
            </w:r>
            <w:r w:rsidR="00297370">
              <w:rPr>
                <w:noProof/>
                <w:webHidden/>
              </w:rPr>
              <w:instrText xml:space="preserve"> PAGEREF _Toc49330769 \h </w:instrText>
            </w:r>
            <w:r w:rsidR="00297370">
              <w:rPr>
                <w:noProof/>
                <w:webHidden/>
              </w:rPr>
            </w:r>
            <w:r w:rsidR="00297370">
              <w:rPr>
                <w:noProof/>
                <w:webHidden/>
              </w:rPr>
              <w:fldChar w:fldCharType="separate"/>
            </w:r>
            <w:r w:rsidR="00034CF4">
              <w:rPr>
                <w:noProof/>
                <w:webHidden/>
              </w:rPr>
              <w:t>4</w:t>
            </w:r>
            <w:r w:rsidR="00297370">
              <w:rPr>
                <w:noProof/>
                <w:webHidden/>
              </w:rPr>
              <w:fldChar w:fldCharType="end"/>
            </w:r>
          </w:hyperlink>
        </w:p>
        <w:p w14:paraId="3D9F8393" w14:textId="557840F1" w:rsidR="00297370" w:rsidRDefault="00BE1726">
          <w:pPr>
            <w:pStyle w:val="TM2"/>
            <w:tabs>
              <w:tab w:val="left" w:pos="880"/>
              <w:tab w:val="right" w:leader="dot" w:pos="9062"/>
            </w:tabs>
            <w:rPr>
              <w:rFonts w:eastAsiaTheme="minorEastAsia"/>
              <w:noProof/>
              <w:lang w:val="fr-CH" w:eastAsia="fr-CH"/>
            </w:rPr>
          </w:pPr>
          <w:hyperlink w:anchor="_Toc49330770" w:history="1">
            <w:r w:rsidR="00297370" w:rsidRPr="00202923">
              <w:rPr>
                <w:rStyle w:val="Lienhypertexte"/>
                <w:noProof/>
                <w:spacing w:val="2"/>
                <w:lang w:val="de-CH"/>
              </w:rPr>
              <w:t>3.4</w:t>
            </w:r>
            <w:r w:rsidR="00297370">
              <w:rPr>
                <w:rFonts w:eastAsiaTheme="minorEastAsia"/>
                <w:noProof/>
                <w:lang w:val="fr-CH" w:eastAsia="fr-CH"/>
              </w:rPr>
              <w:tab/>
            </w:r>
            <w:r w:rsidR="00297370" w:rsidRPr="00202923">
              <w:rPr>
                <w:rStyle w:val="Lienhypertexte"/>
                <w:noProof/>
                <w:lang w:val="de-CH"/>
              </w:rPr>
              <w:t>Verordnung vom 6. Dezember 2019 über die Inkassohilfe bei familienrechtlichen Unterhaltsansprüchen</w:t>
            </w:r>
            <w:r w:rsidR="00297370">
              <w:rPr>
                <w:noProof/>
                <w:webHidden/>
              </w:rPr>
              <w:tab/>
            </w:r>
            <w:r w:rsidR="00297370">
              <w:rPr>
                <w:noProof/>
                <w:webHidden/>
              </w:rPr>
              <w:fldChar w:fldCharType="begin"/>
            </w:r>
            <w:r w:rsidR="00297370">
              <w:rPr>
                <w:noProof/>
                <w:webHidden/>
              </w:rPr>
              <w:instrText xml:space="preserve"> PAGEREF _Toc49330770 \h </w:instrText>
            </w:r>
            <w:r w:rsidR="00297370">
              <w:rPr>
                <w:noProof/>
                <w:webHidden/>
              </w:rPr>
            </w:r>
            <w:r w:rsidR="00297370">
              <w:rPr>
                <w:noProof/>
                <w:webHidden/>
              </w:rPr>
              <w:fldChar w:fldCharType="separate"/>
            </w:r>
            <w:r w:rsidR="00034CF4">
              <w:rPr>
                <w:noProof/>
                <w:webHidden/>
              </w:rPr>
              <w:t>4</w:t>
            </w:r>
            <w:r w:rsidR="00297370">
              <w:rPr>
                <w:noProof/>
                <w:webHidden/>
              </w:rPr>
              <w:fldChar w:fldCharType="end"/>
            </w:r>
          </w:hyperlink>
        </w:p>
        <w:p w14:paraId="2B876A28" w14:textId="620356F7" w:rsidR="00297370" w:rsidRDefault="00BE1726">
          <w:pPr>
            <w:pStyle w:val="TM1"/>
            <w:rPr>
              <w:rFonts w:eastAsiaTheme="minorEastAsia"/>
              <w:noProof/>
              <w:lang w:val="fr-CH" w:eastAsia="fr-CH"/>
            </w:rPr>
          </w:pPr>
          <w:hyperlink w:anchor="_Toc49330771" w:history="1">
            <w:r w:rsidR="00297370" w:rsidRPr="00202923">
              <w:rPr>
                <w:rStyle w:val="Lienhypertexte"/>
                <w:noProof/>
                <w:lang w:val="de-CH"/>
              </w:rPr>
              <w:t>4. Kantonales Gesetzgebungsverfahren</w:t>
            </w:r>
            <w:r w:rsidR="00297370">
              <w:rPr>
                <w:noProof/>
                <w:webHidden/>
              </w:rPr>
              <w:tab/>
            </w:r>
            <w:r w:rsidR="00297370">
              <w:rPr>
                <w:noProof/>
                <w:webHidden/>
              </w:rPr>
              <w:fldChar w:fldCharType="begin"/>
            </w:r>
            <w:r w:rsidR="00297370">
              <w:rPr>
                <w:noProof/>
                <w:webHidden/>
              </w:rPr>
              <w:instrText xml:space="preserve"> PAGEREF _Toc49330771 \h </w:instrText>
            </w:r>
            <w:r w:rsidR="00297370">
              <w:rPr>
                <w:noProof/>
                <w:webHidden/>
              </w:rPr>
            </w:r>
            <w:r w:rsidR="00297370">
              <w:rPr>
                <w:noProof/>
                <w:webHidden/>
              </w:rPr>
              <w:fldChar w:fldCharType="separate"/>
            </w:r>
            <w:r w:rsidR="00034CF4">
              <w:rPr>
                <w:noProof/>
                <w:webHidden/>
              </w:rPr>
              <w:t>4</w:t>
            </w:r>
            <w:r w:rsidR="00297370">
              <w:rPr>
                <w:noProof/>
                <w:webHidden/>
              </w:rPr>
              <w:fldChar w:fldCharType="end"/>
            </w:r>
          </w:hyperlink>
        </w:p>
        <w:p w14:paraId="05004C83" w14:textId="7B8EA61D" w:rsidR="00297370" w:rsidRDefault="00BE1726">
          <w:pPr>
            <w:pStyle w:val="TM1"/>
            <w:rPr>
              <w:rFonts w:eastAsiaTheme="minorEastAsia"/>
              <w:noProof/>
              <w:lang w:val="fr-CH" w:eastAsia="fr-CH"/>
            </w:rPr>
          </w:pPr>
          <w:hyperlink w:anchor="_Toc49330772" w:history="1">
            <w:r w:rsidR="00297370" w:rsidRPr="00202923">
              <w:rPr>
                <w:rStyle w:val="Lienhypertexte"/>
                <w:noProof/>
                <w:lang w:val="de-CH"/>
              </w:rPr>
              <w:t>5. Notwendigkeit eines separaten Gesetzes</w:t>
            </w:r>
            <w:r w:rsidR="00297370">
              <w:rPr>
                <w:noProof/>
                <w:webHidden/>
              </w:rPr>
              <w:tab/>
            </w:r>
            <w:r w:rsidR="00297370">
              <w:rPr>
                <w:noProof/>
                <w:webHidden/>
              </w:rPr>
              <w:fldChar w:fldCharType="begin"/>
            </w:r>
            <w:r w:rsidR="00297370">
              <w:rPr>
                <w:noProof/>
                <w:webHidden/>
              </w:rPr>
              <w:instrText xml:space="preserve"> PAGEREF _Toc49330772 \h </w:instrText>
            </w:r>
            <w:r w:rsidR="00297370">
              <w:rPr>
                <w:noProof/>
                <w:webHidden/>
              </w:rPr>
            </w:r>
            <w:r w:rsidR="00297370">
              <w:rPr>
                <w:noProof/>
                <w:webHidden/>
              </w:rPr>
              <w:fldChar w:fldCharType="separate"/>
            </w:r>
            <w:r w:rsidR="00034CF4">
              <w:rPr>
                <w:noProof/>
                <w:webHidden/>
              </w:rPr>
              <w:t>5</w:t>
            </w:r>
            <w:r w:rsidR="00297370">
              <w:rPr>
                <w:noProof/>
                <w:webHidden/>
              </w:rPr>
              <w:fldChar w:fldCharType="end"/>
            </w:r>
          </w:hyperlink>
        </w:p>
        <w:p w14:paraId="7783F81B" w14:textId="3305BBF6" w:rsidR="00297370" w:rsidRDefault="00BE1726">
          <w:pPr>
            <w:pStyle w:val="TM1"/>
            <w:rPr>
              <w:rFonts w:eastAsiaTheme="minorEastAsia"/>
              <w:noProof/>
              <w:lang w:val="fr-CH" w:eastAsia="fr-CH"/>
            </w:rPr>
          </w:pPr>
          <w:hyperlink w:anchor="_Toc49330773" w:history="1">
            <w:r w:rsidR="00297370" w:rsidRPr="00202923">
              <w:rPr>
                <w:rStyle w:val="Lienhypertexte"/>
                <w:noProof/>
                <w:lang w:val="de-CH"/>
              </w:rPr>
              <w:t>6. Erläuterung nach Artikeln</w:t>
            </w:r>
            <w:r w:rsidR="00297370">
              <w:rPr>
                <w:noProof/>
                <w:webHidden/>
              </w:rPr>
              <w:tab/>
            </w:r>
            <w:r w:rsidR="00297370">
              <w:rPr>
                <w:noProof/>
                <w:webHidden/>
              </w:rPr>
              <w:fldChar w:fldCharType="begin"/>
            </w:r>
            <w:r w:rsidR="00297370">
              <w:rPr>
                <w:noProof/>
                <w:webHidden/>
              </w:rPr>
              <w:instrText xml:space="preserve"> PAGEREF _Toc49330773 \h </w:instrText>
            </w:r>
            <w:r w:rsidR="00297370">
              <w:rPr>
                <w:noProof/>
                <w:webHidden/>
              </w:rPr>
            </w:r>
            <w:r w:rsidR="00297370">
              <w:rPr>
                <w:noProof/>
                <w:webHidden/>
              </w:rPr>
              <w:fldChar w:fldCharType="separate"/>
            </w:r>
            <w:r w:rsidR="00034CF4">
              <w:rPr>
                <w:noProof/>
                <w:webHidden/>
              </w:rPr>
              <w:t>5</w:t>
            </w:r>
            <w:r w:rsidR="00297370">
              <w:rPr>
                <w:noProof/>
                <w:webHidden/>
              </w:rPr>
              <w:fldChar w:fldCharType="end"/>
            </w:r>
          </w:hyperlink>
        </w:p>
        <w:p w14:paraId="1CD21EB2" w14:textId="2970585F" w:rsidR="00297370" w:rsidRDefault="00BE1726">
          <w:pPr>
            <w:pStyle w:val="TM2"/>
            <w:tabs>
              <w:tab w:val="right" w:leader="dot" w:pos="9062"/>
            </w:tabs>
            <w:rPr>
              <w:rFonts w:eastAsiaTheme="minorEastAsia"/>
              <w:noProof/>
              <w:lang w:val="fr-CH" w:eastAsia="fr-CH"/>
            </w:rPr>
          </w:pPr>
          <w:hyperlink w:anchor="_Toc49330774" w:history="1">
            <w:r w:rsidR="00297370" w:rsidRPr="00202923">
              <w:rPr>
                <w:rStyle w:val="Lienhypertexte"/>
                <w:noProof/>
                <w:lang w:val="de-CH"/>
              </w:rPr>
              <w:t>1 Allgemeine Bestimmungen</w:t>
            </w:r>
            <w:r w:rsidR="00297370">
              <w:rPr>
                <w:noProof/>
                <w:webHidden/>
              </w:rPr>
              <w:tab/>
            </w:r>
            <w:r w:rsidR="00297370">
              <w:rPr>
                <w:noProof/>
                <w:webHidden/>
              </w:rPr>
              <w:fldChar w:fldCharType="begin"/>
            </w:r>
            <w:r w:rsidR="00297370">
              <w:rPr>
                <w:noProof/>
                <w:webHidden/>
              </w:rPr>
              <w:instrText xml:space="preserve"> PAGEREF _Toc49330774 \h </w:instrText>
            </w:r>
            <w:r w:rsidR="00297370">
              <w:rPr>
                <w:noProof/>
                <w:webHidden/>
              </w:rPr>
            </w:r>
            <w:r w:rsidR="00297370">
              <w:rPr>
                <w:noProof/>
                <w:webHidden/>
              </w:rPr>
              <w:fldChar w:fldCharType="separate"/>
            </w:r>
            <w:r w:rsidR="00034CF4">
              <w:rPr>
                <w:noProof/>
                <w:webHidden/>
              </w:rPr>
              <w:t>5</w:t>
            </w:r>
            <w:r w:rsidR="00297370">
              <w:rPr>
                <w:noProof/>
                <w:webHidden/>
              </w:rPr>
              <w:fldChar w:fldCharType="end"/>
            </w:r>
          </w:hyperlink>
        </w:p>
        <w:p w14:paraId="43F041F2" w14:textId="19F834AA" w:rsidR="00297370" w:rsidRDefault="00BE1726">
          <w:pPr>
            <w:pStyle w:val="TM2"/>
            <w:tabs>
              <w:tab w:val="right" w:leader="dot" w:pos="9062"/>
            </w:tabs>
            <w:rPr>
              <w:rFonts w:eastAsiaTheme="minorEastAsia"/>
              <w:noProof/>
              <w:lang w:val="fr-CH" w:eastAsia="fr-CH"/>
            </w:rPr>
          </w:pPr>
          <w:hyperlink w:anchor="_Toc49330775" w:history="1">
            <w:r w:rsidR="00297370" w:rsidRPr="00202923">
              <w:rPr>
                <w:rStyle w:val="Lienhypertexte"/>
                <w:noProof/>
                <w:lang w:val="de-CH"/>
              </w:rPr>
              <w:t>2 Modalitäten der Bevorschussung</w:t>
            </w:r>
            <w:r w:rsidR="00297370">
              <w:rPr>
                <w:noProof/>
                <w:webHidden/>
              </w:rPr>
              <w:tab/>
            </w:r>
            <w:r w:rsidR="00297370">
              <w:rPr>
                <w:noProof/>
                <w:webHidden/>
              </w:rPr>
              <w:fldChar w:fldCharType="begin"/>
            </w:r>
            <w:r w:rsidR="00297370">
              <w:rPr>
                <w:noProof/>
                <w:webHidden/>
              </w:rPr>
              <w:instrText xml:space="preserve"> PAGEREF _Toc49330775 \h </w:instrText>
            </w:r>
            <w:r w:rsidR="00297370">
              <w:rPr>
                <w:noProof/>
                <w:webHidden/>
              </w:rPr>
            </w:r>
            <w:r w:rsidR="00297370">
              <w:rPr>
                <w:noProof/>
                <w:webHidden/>
              </w:rPr>
              <w:fldChar w:fldCharType="separate"/>
            </w:r>
            <w:r w:rsidR="00034CF4">
              <w:rPr>
                <w:noProof/>
                <w:webHidden/>
              </w:rPr>
              <w:t>8</w:t>
            </w:r>
            <w:r w:rsidR="00297370">
              <w:rPr>
                <w:noProof/>
                <w:webHidden/>
              </w:rPr>
              <w:fldChar w:fldCharType="end"/>
            </w:r>
          </w:hyperlink>
        </w:p>
        <w:p w14:paraId="731EABFD" w14:textId="13E959D0" w:rsidR="00297370" w:rsidRDefault="00BE1726">
          <w:pPr>
            <w:pStyle w:val="TM2"/>
            <w:tabs>
              <w:tab w:val="right" w:leader="dot" w:pos="9062"/>
            </w:tabs>
            <w:rPr>
              <w:rFonts w:eastAsiaTheme="minorEastAsia"/>
              <w:noProof/>
              <w:lang w:val="fr-CH" w:eastAsia="fr-CH"/>
            </w:rPr>
          </w:pPr>
          <w:hyperlink w:anchor="_Toc49330776" w:history="1">
            <w:r w:rsidR="00297370" w:rsidRPr="00202923">
              <w:rPr>
                <w:rStyle w:val="Lienhypertexte"/>
                <w:noProof/>
                <w:lang w:val="de-CH"/>
              </w:rPr>
              <w:t>3 Rückerstattung und Verjährung</w:t>
            </w:r>
            <w:r w:rsidR="00297370">
              <w:rPr>
                <w:noProof/>
                <w:webHidden/>
              </w:rPr>
              <w:tab/>
            </w:r>
            <w:r w:rsidR="00297370">
              <w:rPr>
                <w:noProof/>
                <w:webHidden/>
              </w:rPr>
              <w:fldChar w:fldCharType="begin"/>
            </w:r>
            <w:r w:rsidR="00297370">
              <w:rPr>
                <w:noProof/>
                <w:webHidden/>
              </w:rPr>
              <w:instrText xml:space="preserve"> PAGEREF _Toc49330776 \h </w:instrText>
            </w:r>
            <w:r w:rsidR="00297370">
              <w:rPr>
                <w:noProof/>
                <w:webHidden/>
              </w:rPr>
            </w:r>
            <w:r w:rsidR="00297370">
              <w:rPr>
                <w:noProof/>
                <w:webHidden/>
              </w:rPr>
              <w:fldChar w:fldCharType="separate"/>
            </w:r>
            <w:r w:rsidR="00034CF4">
              <w:rPr>
                <w:noProof/>
                <w:webHidden/>
              </w:rPr>
              <w:t>12</w:t>
            </w:r>
            <w:r w:rsidR="00297370">
              <w:rPr>
                <w:noProof/>
                <w:webHidden/>
              </w:rPr>
              <w:fldChar w:fldCharType="end"/>
            </w:r>
          </w:hyperlink>
        </w:p>
        <w:p w14:paraId="7AB90942" w14:textId="4E29681D" w:rsidR="00297370" w:rsidRDefault="00BE1726">
          <w:pPr>
            <w:pStyle w:val="TM2"/>
            <w:tabs>
              <w:tab w:val="right" w:leader="dot" w:pos="9062"/>
            </w:tabs>
            <w:rPr>
              <w:rFonts w:eastAsiaTheme="minorEastAsia"/>
              <w:noProof/>
              <w:lang w:val="fr-CH" w:eastAsia="fr-CH"/>
            </w:rPr>
          </w:pPr>
          <w:hyperlink w:anchor="_Toc49330777" w:history="1">
            <w:r w:rsidR="00297370" w:rsidRPr="00202923">
              <w:rPr>
                <w:rStyle w:val="Lienhypertexte"/>
                <w:noProof/>
                <w:lang w:val="de-CH"/>
              </w:rPr>
              <w:t>4 Verfahren</w:t>
            </w:r>
            <w:r w:rsidR="00297370">
              <w:rPr>
                <w:noProof/>
                <w:webHidden/>
              </w:rPr>
              <w:tab/>
            </w:r>
            <w:r w:rsidR="00297370">
              <w:rPr>
                <w:noProof/>
                <w:webHidden/>
              </w:rPr>
              <w:fldChar w:fldCharType="begin"/>
            </w:r>
            <w:r w:rsidR="00297370">
              <w:rPr>
                <w:noProof/>
                <w:webHidden/>
              </w:rPr>
              <w:instrText xml:space="preserve"> PAGEREF _Toc49330777 \h </w:instrText>
            </w:r>
            <w:r w:rsidR="00297370">
              <w:rPr>
                <w:noProof/>
                <w:webHidden/>
              </w:rPr>
            </w:r>
            <w:r w:rsidR="00297370">
              <w:rPr>
                <w:noProof/>
                <w:webHidden/>
              </w:rPr>
              <w:fldChar w:fldCharType="separate"/>
            </w:r>
            <w:r w:rsidR="00034CF4">
              <w:rPr>
                <w:noProof/>
                <w:webHidden/>
              </w:rPr>
              <w:t>12</w:t>
            </w:r>
            <w:r w:rsidR="00297370">
              <w:rPr>
                <w:noProof/>
                <w:webHidden/>
              </w:rPr>
              <w:fldChar w:fldCharType="end"/>
            </w:r>
          </w:hyperlink>
        </w:p>
        <w:p w14:paraId="27A52F06" w14:textId="063F047B" w:rsidR="00297370" w:rsidRDefault="00BE1726">
          <w:pPr>
            <w:pStyle w:val="TM2"/>
            <w:tabs>
              <w:tab w:val="right" w:leader="dot" w:pos="9062"/>
            </w:tabs>
            <w:rPr>
              <w:rFonts w:eastAsiaTheme="minorEastAsia"/>
              <w:noProof/>
              <w:lang w:val="fr-CH" w:eastAsia="fr-CH"/>
            </w:rPr>
          </w:pPr>
          <w:hyperlink w:anchor="_Toc49330778" w:history="1">
            <w:r w:rsidR="00297370" w:rsidRPr="00202923">
              <w:rPr>
                <w:rStyle w:val="Lienhypertexte"/>
                <w:noProof/>
                <w:lang w:val="de-CH"/>
              </w:rPr>
              <w:t>5 Finanzierung</w:t>
            </w:r>
            <w:r w:rsidR="00297370">
              <w:rPr>
                <w:noProof/>
                <w:webHidden/>
              </w:rPr>
              <w:tab/>
            </w:r>
            <w:r w:rsidR="00297370">
              <w:rPr>
                <w:noProof/>
                <w:webHidden/>
              </w:rPr>
              <w:fldChar w:fldCharType="begin"/>
            </w:r>
            <w:r w:rsidR="00297370">
              <w:rPr>
                <w:noProof/>
                <w:webHidden/>
              </w:rPr>
              <w:instrText xml:space="preserve"> PAGEREF _Toc49330778 \h </w:instrText>
            </w:r>
            <w:r w:rsidR="00297370">
              <w:rPr>
                <w:noProof/>
                <w:webHidden/>
              </w:rPr>
            </w:r>
            <w:r w:rsidR="00297370">
              <w:rPr>
                <w:noProof/>
                <w:webHidden/>
              </w:rPr>
              <w:fldChar w:fldCharType="separate"/>
            </w:r>
            <w:r w:rsidR="00034CF4">
              <w:rPr>
                <w:noProof/>
                <w:webHidden/>
              </w:rPr>
              <w:t>15</w:t>
            </w:r>
            <w:r w:rsidR="00297370">
              <w:rPr>
                <w:noProof/>
                <w:webHidden/>
              </w:rPr>
              <w:fldChar w:fldCharType="end"/>
            </w:r>
          </w:hyperlink>
        </w:p>
        <w:p w14:paraId="0709D160" w14:textId="7F6922B7" w:rsidR="00297370" w:rsidRDefault="00BE1726">
          <w:pPr>
            <w:pStyle w:val="TM2"/>
            <w:tabs>
              <w:tab w:val="right" w:leader="dot" w:pos="9062"/>
            </w:tabs>
            <w:rPr>
              <w:rFonts w:eastAsiaTheme="minorEastAsia"/>
              <w:noProof/>
              <w:lang w:val="fr-CH" w:eastAsia="fr-CH"/>
            </w:rPr>
          </w:pPr>
          <w:hyperlink w:anchor="_Toc49330779" w:history="1">
            <w:r w:rsidR="00297370" w:rsidRPr="00202923">
              <w:rPr>
                <w:rStyle w:val="Lienhypertexte"/>
                <w:noProof/>
                <w:lang w:val="de-CH"/>
              </w:rPr>
              <w:t>6 Inkassohilfe</w:t>
            </w:r>
            <w:r w:rsidR="00297370">
              <w:rPr>
                <w:noProof/>
                <w:webHidden/>
              </w:rPr>
              <w:tab/>
            </w:r>
            <w:r w:rsidR="00297370">
              <w:rPr>
                <w:noProof/>
                <w:webHidden/>
              </w:rPr>
              <w:fldChar w:fldCharType="begin"/>
            </w:r>
            <w:r w:rsidR="00297370">
              <w:rPr>
                <w:noProof/>
                <w:webHidden/>
              </w:rPr>
              <w:instrText xml:space="preserve"> PAGEREF _Toc49330779 \h </w:instrText>
            </w:r>
            <w:r w:rsidR="00297370">
              <w:rPr>
                <w:noProof/>
                <w:webHidden/>
              </w:rPr>
            </w:r>
            <w:r w:rsidR="00297370">
              <w:rPr>
                <w:noProof/>
                <w:webHidden/>
              </w:rPr>
              <w:fldChar w:fldCharType="separate"/>
            </w:r>
            <w:r w:rsidR="00034CF4">
              <w:rPr>
                <w:noProof/>
                <w:webHidden/>
              </w:rPr>
              <w:t>15</w:t>
            </w:r>
            <w:r w:rsidR="00297370">
              <w:rPr>
                <w:noProof/>
                <w:webHidden/>
              </w:rPr>
              <w:fldChar w:fldCharType="end"/>
            </w:r>
          </w:hyperlink>
        </w:p>
        <w:p w14:paraId="1EB1FB56" w14:textId="7F756E74" w:rsidR="00297370" w:rsidRDefault="00BE1726">
          <w:pPr>
            <w:pStyle w:val="TM2"/>
            <w:tabs>
              <w:tab w:val="right" w:leader="dot" w:pos="9062"/>
            </w:tabs>
            <w:rPr>
              <w:rFonts w:eastAsiaTheme="minorEastAsia"/>
              <w:noProof/>
              <w:lang w:val="fr-CH" w:eastAsia="fr-CH"/>
            </w:rPr>
          </w:pPr>
          <w:hyperlink w:anchor="_Toc49330780" w:history="1">
            <w:r w:rsidR="00297370" w:rsidRPr="00202923">
              <w:rPr>
                <w:rStyle w:val="Lienhypertexte"/>
                <w:noProof/>
                <w:lang w:val="de-CH"/>
              </w:rPr>
              <w:t>7 Schlussbestimmungen</w:t>
            </w:r>
            <w:r w:rsidR="00297370">
              <w:rPr>
                <w:noProof/>
                <w:webHidden/>
              </w:rPr>
              <w:tab/>
            </w:r>
            <w:r w:rsidR="00297370">
              <w:rPr>
                <w:noProof/>
                <w:webHidden/>
              </w:rPr>
              <w:fldChar w:fldCharType="begin"/>
            </w:r>
            <w:r w:rsidR="00297370">
              <w:rPr>
                <w:noProof/>
                <w:webHidden/>
              </w:rPr>
              <w:instrText xml:space="preserve"> PAGEREF _Toc49330780 \h </w:instrText>
            </w:r>
            <w:r w:rsidR="00297370">
              <w:rPr>
                <w:noProof/>
                <w:webHidden/>
              </w:rPr>
            </w:r>
            <w:r w:rsidR="00297370">
              <w:rPr>
                <w:noProof/>
                <w:webHidden/>
              </w:rPr>
              <w:fldChar w:fldCharType="separate"/>
            </w:r>
            <w:r w:rsidR="00034CF4">
              <w:rPr>
                <w:noProof/>
                <w:webHidden/>
              </w:rPr>
              <w:t>17</w:t>
            </w:r>
            <w:r w:rsidR="00297370">
              <w:rPr>
                <w:noProof/>
                <w:webHidden/>
              </w:rPr>
              <w:fldChar w:fldCharType="end"/>
            </w:r>
          </w:hyperlink>
        </w:p>
        <w:p w14:paraId="2D03D335" w14:textId="4FF36FE3" w:rsidR="00297370" w:rsidRDefault="00BE1726">
          <w:pPr>
            <w:pStyle w:val="TM1"/>
            <w:rPr>
              <w:rFonts w:eastAsiaTheme="minorEastAsia"/>
              <w:noProof/>
              <w:lang w:val="fr-CH" w:eastAsia="fr-CH"/>
            </w:rPr>
          </w:pPr>
          <w:hyperlink w:anchor="_Toc49330781" w:history="1">
            <w:r w:rsidR="00297370" w:rsidRPr="00202923">
              <w:rPr>
                <w:rStyle w:val="Lienhypertexte"/>
                <w:noProof/>
                <w:lang w:val="de-CH"/>
              </w:rPr>
              <w:t>7. Finanzielle und personelle Auswirkungen</w:t>
            </w:r>
            <w:r w:rsidR="00297370">
              <w:rPr>
                <w:noProof/>
                <w:webHidden/>
              </w:rPr>
              <w:tab/>
            </w:r>
            <w:r w:rsidR="00297370">
              <w:rPr>
                <w:noProof/>
                <w:webHidden/>
              </w:rPr>
              <w:fldChar w:fldCharType="begin"/>
            </w:r>
            <w:r w:rsidR="00297370">
              <w:rPr>
                <w:noProof/>
                <w:webHidden/>
              </w:rPr>
              <w:instrText xml:space="preserve"> PAGEREF _Toc49330781 \h </w:instrText>
            </w:r>
            <w:r w:rsidR="00297370">
              <w:rPr>
                <w:noProof/>
                <w:webHidden/>
              </w:rPr>
            </w:r>
            <w:r w:rsidR="00297370">
              <w:rPr>
                <w:noProof/>
                <w:webHidden/>
              </w:rPr>
              <w:fldChar w:fldCharType="separate"/>
            </w:r>
            <w:r w:rsidR="00034CF4">
              <w:rPr>
                <w:noProof/>
                <w:webHidden/>
              </w:rPr>
              <w:t>18</w:t>
            </w:r>
            <w:r w:rsidR="00297370">
              <w:rPr>
                <w:noProof/>
                <w:webHidden/>
              </w:rPr>
              <w:fldChar w:fldCharType="end"/>
            </w:r>
          </w:hyperlink>
        </w:p>
        <w:p w14:paraId="06CA5E3E" w14:textId="4030EE9F" w:rsidR="00297370" w:rsidRDefault="00BE1726">
          <w:pPr>
            <w:pStyle w:val="TM1"/>
            <w:rPr>
              <w:rFonts w:eastAsiaTheme="minorEastAsia"/>
              <w:noProof/>
              <w:lang w:val="fr-CH" w:eastAsia="fr-CH"/>
            </w:rPr>
          </w:pPr>
          <w:hyperlink w:anchor="_Toc49330782" w:history="1">
            <w:r w:rsidR="00297370" w:rsidRPr="00202923">
              <w:rPr>
                <w:rStyle w:val="Lienhypertexte"/>
                <w:noProof/>
                <w:lang w:val="de-CH"/>
              </w:rPr>
              <w:t>8. Auswirkungen auf die nachhaltige Entwicklung</w:t>
            </w:r>
            <w:r w:rsidR="00297370">
              <w:rPr>
                <w:noProof/>
                <w:webHidden/>
              </w:rPr>
              <w:tab/>
            </w:r>
            <w:r w:rsidR="00297370">
              <w:rPr>
                <w:noProof/>
                <w:webHidden/>
              </w:rPr>
              <w:fldChar w:fldCharType="begin"/>
            </w:r>
            <w:r w:rsidR="00297370">
              <w:rPr>
                <w:noProof/>
                <w:webHidden/>
              </w:rPr>
              <w:instrText xml:space="preserve"> PAGEREF _Toc49330782 \h </w:instrText>
            </w:r>
            <w:r w:rsidR="00297370">
              <w:rPr>
                <w:noProof/>
                <w:webHidden/>
              </w:rPr>
            </w:r>
            <w:r w:rsidR="00297370">
              <w:rPr>
                <w:noProof/>
                <w:webHidden/>
              </w:rPr>
              <w:fldChar w:fldCharType="separate"/>
            </w:r>
            <w:r w:rsidR="00034CF4">
              <w:rPr>
                <w:noProof/>
                <w:webHidden/>
              </w:rPr>
              <w:t>21</w:t>
            </w:r>
            <w:r w:rsidR="00297370">
              <w:rPr>
                <w:noProof/>
                <w:webHidden/>
              </w:rPr>
              <w:fldChar w:fldCharType="end"/>
            </w:r>
          </w:hyperlink>
        </w:p>
        <w:p w14:paraId="1C8E16AA" w14:textId="7F5A12BA" w:rsidR="00297370" w:rsidRDefault="00BE1726">
          <w:pPr>
            <w:pStyle w:val="TM1"/>
            <w:rPr>
              <w:rFonts w:eastAsiaTheme="minorEastAsia"/>
              <w:noProof/>
              <w:lang w:val="fr-CH" w:eastAsia="fr-CH"/>
            </w:rPr>
          </w:pPr>
          <w:hyperlink w:anchor="_Toc49330783" w:history="1">
            <w:r w:rsidR="00297370" w:rsidRPr="00202923">
              <w:rPr>
                <w:rStyle w:val="Lienhypertexte"/>
                <w:noProof/>
                <w:lang w:val="de-CH"/>
              </w:rPr>
              <w:t>9. Verfassungsmässigkeit, Vereinbarkeit mit dem Bundesrecht und dem Europarecht</w:t>
            </w:r>
            <w:r w:rsidR="00297370">
              <w:rPr>
                <w:noProof/>
                <w:webHidden/>
              </w:rPr>
              <w:tab/>
            </w:r>
            <w:r w:rsidR="00297370">
              <w:rPr>
                <w:noProof/>
                <w:webHidden/>
              </w:rPr>
              <w:fldChar w:fldCharType="begin"/>
            </w:r>
            <w:r w:rsidR="00297370">
              <w:rPr>
                <w:noProof/>
                <w:webHidden/>
              </w:rPr>
              <w:instrText xml:space="preserve"> PAGEREF _Toc49330783 \h </w:instrText>
            </w:r>
            <w:r w:rsidR="00297370">
              <w:rPr>
                <w:noProof/>
                <w:webHidden/>
              </w:rPr>
            </w:r>
            <w:r w:rsidR="00297370">
              <w:rPr>
                <w:noProof/>
                <w:webHidden/>
              </w:rPr>
              <w:fldChar w:fldCharType="separate"/>
            </w:r>
            <w:r w:rsidR="00034CF4">
              <w:rPr>
                <w:noProof/>
                <w:webHidden/>
              </w:rPr>
              <w:t>21</w:t>
            </w:r>
            <w:r w:rsidR="00297370">
              <w:rPr>
                <w:noProof/>
                <w:webHidden/>
              </w:rPr>
              <w:fldChar w:fldCharType="end"/>
            </w:r>
          </w:hyperlink>
        </w:p>
        <w:p w14:paraId="12083CB2" w14:textId="772DAB15" w:rsidR="00297370" w:rsidRDefault="00BE1726">
          <w:pPr>
            <w:pStyle w:val="TM1"/>
            <w:rPr>
              <w:rFonts w:eastAsiaTheme="minorEastAsia"/>
              <w:noProof/>
              <w:lang w:val="fr-CH" w:eastAsia="fr-CH"/>
            </w:rPr>
          </w:pPr>
          <w:hyperlink w:anchor="_Toc49330784" w:history="1">
            <w:r w:rsidR="00297370" w:rsidRPr="00202923">
              <w:rPr>
                <w:rStyle w:val="Lienhypertexte"/>
                <w:noProof/>
                <w:lang w:val="de-CH"/>
              </w:rPr>
              <w:t>10. Gesetzes- und Finanzreferendum</w:t>
            </w:r>
            <w:r w:rsidR="00297370">
              <w:rPr>
                <w:noProof/>
                <w:webHidden/>
              </w:rPr>
              <w:tab/>
            </w:r>
            <w:r w:rsidR="00297370">
              <w:rPr>
                <w:noProof/>
                <w:webHidden/>
              </w:rPr>
              <w:fldChar w:fldCharType="begin"/>
            </w:r>
            <w:r w:rsidR="00297370">
              <w:rPr>
                <w:noProof/>
                <w:webHidden/>
              </w:rPr>
              <w:instrText xml:space="preserve"> PAGEREF _Toc49330784 \h </w:instrText>
            </w:r>
            <w:r w:rsidR="00297370">
              <w:rPr>
                <w:noProof/>
                <w:webHidden/>
              </w:rPr>
            </w:r>
            <w:r w:rsidR="00297370">
              <w:rPr>
                <w:noProof/>
                <w:webHidden/>
              </w:rPr>
              <w:fldChar w:fldCharType="separate"/>
            </w:r>
            <w:r w:rsidR="00034CF4">
              <w:rPr>
                <w:noProof/>
                <w:webHidden/>
              </w:rPr>
              <w:t>21</w:t>
            </w:r>
            <w:r w:rsidR="00297370">
              <w:rPr>
                <w:noProof/>
                <w:webHidden/>
              </w:rPr>
              <w:fldChar w:fldCharType="end"/>
            </w:r>
          </w:hyperlink>
        </w:p>
        <w:p w14:paraId="610D3056" w14:textId="32DF2582" w:rsidR="00297370" w:rsidRDefault="00BE1726">
          <w:pPr>
            <w:pStyle w:val="TM1"/>
            <w:rPr>
              <w:rFonts w:eastAsiaTheme="minorEastAsia"/>
              <w:noProof/>
              <w:lang w:val="fr-CH" w:eastAsia="fr-CH"/>
            </w:rPr>
          </w:pPr>
          <w:hyperlink w:anchor="_Toc49330785" w:history="1">
            <w:r w:rsidR="00297370" w:rsidRPr="00202923">
              <w:rPr>
                <w:rStyle w:val="Lienhypertexte"/>
                <w:noProof/>
                <w:lang w:val="de-CH"/>
              </w:rPr>
              <w:t>11. Inkrafttreten</w:t>
            </w:r>
            <w:r w:rsidR="00297370">
              <w:rPr>
                <w:noProof/>
                <w:webHidden/>
              </w:rPr>
              <w:tab/>
            </w:r>
            <w:r w:rsidR="00297370">
              <w:rPr>
                <w:noProof/>
                <w:webHidden/>
              </w:rPr>
              <w:fldChar w:fldCharType="begin"/>
            </w:r>
            <w:r w:rsidR="00297370">
              <w:rPr>
                <w:noProof/>
                <w:webHidden/>
              </w:rPr>
              <w:instrText xml:space="preserve"> PAGEREF _Toc49330785 \h </w:instrText>
            </w:r>
            <w:r w:rsidR="00297370">
              <w:rPr>
                <w:noProof/>
                <w:webHidden/>
              </w:rPr>
            </w:r>
            <w:r w:rsidR="00297370">
              <w:rPr>
                <w:noProof/>
                <w:webHidden/>
              </w:rPr>
              <w:fldChar w:fldCharType="separate"/>
            </w:r>
            <w:r w:rsidR="00034CF4">
              <w:rPr>
                <w:noProof/>
                <w:webHidden/>
              </w:rPr>
              <w:t>21</w:t>
            </w:r>
            <w:r w:rsidR="00297370">
              <w:rPr>
                <w:noProof/>
                <w:webHidden/>
              </w:rPr>
              <w:fldChar w:fldCharType="end"/>
            </w:r>
          </w:hyperlink>
        </w:p>
        <w:p w14:paraId="52042B82" w14:textId="08709FB6" w:rsidR="00297370" w:rsidRDefault="00BE1726">
          <w:pPr>
            <w:pStyle w:val="TM1"/>
            <w:rPr>
              <w:rFonts w:eastAsiaTheme="minorEastAsia"/>
              <w:noProof/>
              <w:lang w:val="fr-CH" w:eastAsia="fr-CH"/>
            </w:rPr>
          </w:pPr>
          <w:hyperlink w:anchor="_Toc49330786" w:history="1">
            <w:r w:rsidR="00297370" w:rsidRPr="00202923">
              <w:rPr>
                <w:rStyle w:val="Lienhypertexte"/>
                <w:noProof/>
                <w:lang w:val="de-CH"/>
              </w:rPr>
              <w:t>12. Schluss</w:t>
            </w:r>
            <w:r w:rsidR="00297370">
              <w:rPr>
                <w:noProof/>
                <w:webHidden/>
              </w:rPr>
              <w:tab/>
            </w:r>
            <w:r w:rsidR="00297370">
              <w:rPr>
                <w:noProof/>
                <w:webHidden/>
              </w:rPr>
              <w:fldChar w:fldCharType="begin"/>
            </w:r>
            <w:r w:rsidR="00297370">
              <w:rPr>
                <w:noProof/>
                <w:webHidden/>
              </w:rPr>
              <w:instrText xml:space="preserve"> PAGEREF _Toc49330786 \h </w:instrText>
            </w:r>
            <w:r w:rsidR="00297370">
              <w:rPr>
                <w:noProof/>
                <w:webHidden/>
              </w:rPr>
            </w:r>
            <w:r w:rsidR="00297370">
              <w:rPr>
                <w:noProof/>
                <w:webHidden/>
              </w:rPr>
              <w:fldChar w:fldCharType="separate"/>
            </w:r>
            <w:r w:rsidR="00034CF4">
              <w:rPr>
                <w:noProof/>
                <w:webHidden/>
              </w:rPr>
              <w:t>21</w:t>
            </w:r>
            <w:r w:rsidR="00297370">
              <w:rPr>
                <w:noProof/>
                <w:webHidden/>
              </w:rPr>
              <w:fldChar w:fldCharType="end"/>
            </w:r>
          </w:hyperlink>
        </w:p>
        <w:p w14:paraId="39933ACC" w14:textId="6380A850" w:rsidR="005511A6" w:rsidRPr="00137E2E" w:rsidRDefault="0048409D">
          <w:pPr>
            <w:pStyle w:val="06atexteprincipal"/>
            <w:rPr>
              <w:lang w:val="de-CH"/>
            </w:rPr>
          </w:pPr>
          <w:r w:rsidRPr="00137E2E">
            <w:rPr>
              <w:lang w:val="de-CH"/>
            </w:rPr>
            <w:lastRenderedPageBreak/>
            <w:fldChar w:fldCharType="end"/>
          </w:r>
        </w:p>
      </w:sdtContent>
    </w:sdt>
    <w:p w14:paraId="34E3DD38" w14:textId="77777777" w:rsidR="00CD751B" w:rsidRPr="00137E2E" w:rsidRDefault="00CD751B" w:rsidP="00CD751B">
      <w:pPr>
        <w:pStyle w:val="Titre1"/>
        <w:jc w:val="both"/>
        <w:rPr>
          <w:lang w:val="de-CH"/>
        </w:rPr>
      </w:pPr>
      <w:bookmarkStart w:id="0" w:name="_Toc49330761"/>
      <w:r w:rsidRPr="00137E2E">
        <w:rPr>
          <w:lang w:val="de-CH"/>
        </w:rPr>
        <w:t>1. Einführung</w:t>
      </w:r>
      <w:bookmarkEnd w:id="0"/>
      <w:r w:rsidRPr="00137E2E">
        <w:rPr>
          <w:lang w:val="de-CH"/>
        </w:rPr>
        <w:t xml:space="preserve"> </w:t>
      </w:r>
    </w:p>
    <w:p w14:paraId="24AA8EAD" w14:textId="77777777" w:rsidR="00777B92" w:rsidRPr="00137E2E" w:rsidRDefault="001C6000" w:rsidP="003865AB">
      <w:pPr>
        <w:pStyle w:val="06atexteprincipal"/>
        <w:jc w:val="both"/>
        <w:rPr>
          <w:spacing w:val="2"/>
          <w:lang w:val="de-CH" w:eastAsia="en-US"/>
        </w:rPr>
      </w:pPr>
      <w:r w:rsidRPr="00137E2E">
        <w:rPr>
          <w:spacing w:val="2"/>
          <w:lang w:val="de-CH"/>
        </w:rPr>
        <w:t xml:space="preserve">Die Überlegungen auf gesamtschweizerischer und interkantonaler Ebene hinsichtlich einer Harmonisierung der Regeln für die Inkassohilfe und die Bevorschussung von Unterhaltsbeiträgen mündeten zum einen in Empfehlungen zur Ausgestaltung der Alimentenbevorschussung (2013) und zum anderen in einer Inkassohilfeverordnung des Bundes (2019). </w:t>
      </w:r>
    </w:p>
    <w:p w14:paraId="3E305AD0" w14:textId="41C68646" w:rsidR="00F25AC2" w:rsidRPr="00137E2E" w:rsidRDefault="00470D76" w:rsidP="003865AB">
      <w:pPr>
        <w:pStyle w:val="06atexteprincipal"/>
        <w:jc w:val="both"/>
        <w:rPr>
          <w:spacing w:val="2"/>
          <w:lang w:val="de-CH" w:eastAsia="en-US"/>
        </w:rPr>
      </w:pPr>
      <w:r w:rsidRPr="00137E2E">
        <w:rPr>
          <w:spacing w:val="2"/>
          <w:lang w:val="de-CH"/>
        </w:rPr>
        <w:t xml:space="preserve">Was das materielle Recht anbelangt, so hat das Bundesparlament im </w:t>
      </w:r>
      <w:r w:rsidR="00FD7FEE" w:rsidRPr="00137E2E">
        <w:rPr>
          <w:spacing w:val="2"/>
          <w:lang w:val="de-CH"/>
        </w:rPr>
        <w:t>Jahr</w:t>
      </w:r>
      <w:r w:rsidR="000A39BF" w:rsidRPr="00137E2E">
        <w:rPr>
          <w:spacing w:val="2"/>
          <w:lang w:val="de-CH"/>
        </w:rPr>
        <w:t> </w:t>
      </w:r>
      <w:r w:rsidRPr="00137E2E">
        <w:rPr>
          <w:spacing w:val="2"/>
          <w:lang w:val="de-CH"/>
        </w:rPr>
        <w:t xml:space="preserve">2015 eine neue Art der Bemessung der Kindesunterhaltsbeiträge Kind eingeführt; seither werden die Kosten für die Kinderbetreuung durch den betreuenden Elternteil berücksichtigt, wodurch die Ungleichbehandlung von Kindern verheirateter bzw. geschiedener und von Kindern unverheirateter Eltern beseitigt wird. </w:t>
      </w:r>
    </w:p>
    <w:p w14:paraId="6018C0D7" w14:textId="62247341" w:rsidR="00470D76" w:rsidRPr="00137E2E" w:rsidRDefault="00470D76" w:rsidP="003865AB">
      <w:pPr>
        <w:pStyle w:val="06atexteprincipal"/>
        <w:jc w:val="both"/>
        <w:rPr>
          <w:spacing w:val="2"/>
          <w:lang w:val="de-CH" w:eastAsia="en-US"/>
        </w:rPr>
      </w:pPr>
      <w:r w:rsidRPr="00137E2E">
        <w:rPr>
          <w:spacing w:val="2"/>
          <w:lang w:val="de-CH"/>
        </w:rPr>
        <w:t xml:space="preserve">Auf kantonaler Ebene hat der Gesetzgeber </w:t>
      </w:r>
      <w:r w:rsidR="00E72B81" w:rsidRPr="00137E2E">
        <w:rPr>
          <w:spacing w:val="2"/>
          <w:lang w:val="de-CH"/>
        </w:rPr>
        <w:t xml:space="preserve">im Jahr 2012 </w:t>
      </w:r>
      <w:r w:rsidRPr="00137E2E">
        <w:rPr>
          <w:spacing w:val="2"/>
          <w:lang w:val="de-CH"/>
        </w:rPr>
        <w:t xml:space="preserve">bei der Revision des Einführungsgesetzes zum Schweizerischen Zivilgesetzbuch (EGZGB; SGF 210.1) beschlossen, die Bereiche Inkasso und Bevorschussung von Unterhaltsbeiträgen in einem Spezialgesetz </w:t>
      </w:r>
      <w:r w:rsidR="00E72B81" w:rsidRPr="00137E2E">
        <w:rPr>
          <w:spacing w:val="2"/>
          <w:lang w:val="de-CH"/>
        </w:rPr>
        <w:t>zu regeln</w:t>
      </w:r>
      <w:r w:rsidRPr="00137E2E">
        <w:rPr>
          <w:spacing w:val="2"/>
          <w:lang w:val="de-CH"/>
        </w:rPr>
        <w:t xml:space="preserve">. </w:t>
      </w:r>
    </w:p>
    <w:p w14:paraId="30AAEBCC" w14:textId="3A32DA64" w:rsidR="00222C0A" w:rsidRPr="00137E2E" w:rsidRDefault="001C6000" w:rsidP="003865AB">
      <w:pPr>
        <w:pStyle w:val="06atexteprincipal"/>
        <w:jc w:val="both"/>
        <w:rPr>
          <w:spacing w:val="2"/>
          <w:lang w:val="de-CH" w:eastAsia="en-US"/>
        </w:rPr>
      </w:pPr>
      <w:r w:rsidRPr="00137E2E">
        <w:rPr>
          <w:spacing w:val="2"/>
          <w:lang w:val="de-CH"/>
        </w:rPr>
        <w:t>Der Beschluss, der aktuell die Entrichtung der Unterhaltsvorschüsse regelt, ist über 25</w:t>
      </w:r>
      <w:r w:rsidR="00216406" w:rsidRPr="00137E2E">
        <w:rPr>
          <w:spacing w:val="2"/>
          <w:lang w:val="de-CH"/>
        </w:rPr>
        <w:t> Jahre</w:t>
      </w:r>
      <w:r w:rsidRPr="00137E2E">
        <w:rPr>
          <w:spacing w:val="2"/>
          <w:lang w:val="de-CH"/>
        </w:rPr>
        <w:t xml:space="preserve"> alt. Seit damals haben sich die Struktur und die Zusammensetzung der Familieneinheit wie auch die dortigen Rollen stark verändert. Vor allem die wirtschaftliche Unabhängigkeit der Frauen nimmt im Allgemeinen tendenziell zu. </w:t>
      </w:r>
    </w:p>
    <w:p w14:paraId="2824B5F8" w14:textId="1B49076E" w:rsidR="001C6000" w:rsidRPr="00137E2E" w:rsidRDefault="001C6000" w:rsidP="003865AB">
      <w:pPr>
        <w:pStyle w:val="06atexteprincipal"/>
        <w:jc w:val="both"/>
        <w:rPr>
          <w:spacing w:val="2"/>
          <w:lang w:val="de-CH" w:eastAsia="en-US"/>
        </w:rPr>
      </w:pPr>
      <w:r w:rsidRPr="00137E2E">
        <w:rPr>
          <w:spacing w:val="2"/>
          <w:lang w:val="de-CH"/>
        </w:rPr>
        <w:t>Schlies</w:t>
      </w:r>
      <w:r w:rsidR="00FD7FEE" w:rsidRPr="00137E2E">
        <w:rPr>
          <w:spacing w:val="2"/>
          <w:lang w:val="de-CH"/>
        </w:rPr>
        <w:t>slich hat der Grosse Rat am 16. Oktober </w:t>
      </w:r>
      <w:r w:rsidRPr="00137E2E">
        <w:rPr>
          <w:spacing w:val="2"/>
          <w:lang w:val="de-CH"/>
        </w:rPr>
        <w:t xml:space="preserve">2019 noch eine Motion angenommen, welche die Anhebung des Vorschusses zugunsten des jüngsten Kindes verlangt. </w:t>
      </w:r>
    </w:p>
    <w:p w14:paraId="2365C22A" w14:textId="77777777" w:rsidR="00CD751B" w:rsidRPr="00137E2E" w:rsidRDefault="001C6000" w:rsidP="003865AB">
      <w:pPr>
        <w:pStyle w:val="06atexteprincipal"/>
        <w:jc w:val="both"/>
        <w:rPr>
          <w:spacing w:val="2"/>
          <w:lang w:val="de-CH" w:eastAsia="en-US"/>
        </w:rPr>
      </w:pPr>
      <w:r w:rsidRPr="00137E2E">
        <w:rPr>
          <w:spacing w:val="2"/>
          <w:lang w:val="de-CH"/>
        </w:rPr>
        <w:t xml:space="preserve">All diese Gründe bestimmen die Anpassung der kantonalen Regeln in Sachen Inkassohilfe und Bevorschussung von Unterhaltsbeiträgen. Weil das Bundesrecht die Inkassohilfe nun nahezu vollständig regelt, betrifft das vorliegende Gesetz hauptsächlich die Bevorschussung. </w:t>
      </w:r>
    </w:p>
    <w:p w14:paraId="11D67B49" w14:textId="77777777" w:rsidR="00E64520" w:rsidRPr="00137E2E" w:rsidRDefault="00CD751B" w:rsidP="00D26BC1">
      <w:pPr>
        <w:pStyle w:val="Titre1"/>
        <w:jc w:val="both"/>
        <w:rPr>
          <w:lang w:val="de-CH"/>
        </w:rPr>
      </w:pPr>
      <w:bookmarkStart w:id="1" w:name="_Toc49330762"/>
      <w:r w:rsidRPr="00137E2E">
        <w:rPr>
          <w:lang w:val="de-CH"/>
        </w:rPr>
        <w:t>2. Kontext der Revision</w:t>
      </w:r>
      <w:bookmarkEnd w:id="1"/>
      <w:r w:rsidRPr="00137E2E">
        <w:rPr>
          <w:lang w:val="de-CH"/>
        </w:rPr>
        <w:t xml:space="preserve"> </w:t>
      </w:r>
    </w:p>
    <w:p w14:paraId="6C445192" w14:textId="77777777" w:rsidR="00E64520" w:rsidRPr="00137E2E" w:rsidRDefault="00CD751B" w:rsidP="00D26BC1">
      <w:pPr>
        <w:pStyle w:val="Titre2"/>
        <w:jc w:val="both"/>
        <w:rPr>
          <w:lang w:val="de-CH"/>
        </w:rPr>
      </w:pPr>
      <w:bookmarkStart w:id="2" w:name="_Toc49330763"/>
      <w:r w:rsidRPr="00137E2E">
        <w:rPr>
          <w:lang w:val="de-CH"/>
        </w:rPr>
        <w:t>2.1 Alimentenhilfe</w:t>
      </w:r>
      <w:bookmarkEnd w:id="2"/>
      <w:r w:rsidRPr="00137E2E">
        <w:rPr>
          <w:lang w:val="de-CH"/>
        </w:rPr>
        <w:t xml:space="preserve"> </w:t>
      </w:r>
    </w:p>
    <w:p w14:paraId="13FA34C5" w14:textId="2B667229" w:rsidR="009D025D" w:rsidRPr="00137E2E" w:rsidRDefault="009D025D" w:rsidP="00D26BC1">
      <w:pPr>
        <w:pStyle w:val="06atexteprincipal"/>
        <w:spacing w:line="240" w:lineRule="auto"/>
        <w:jc w:val="both"/>
        <w:rPr>
          <w:spacing w:val="2"/>
          <w:lang w:val="de-CH" w:eastAsia="en-US"/>
        </w:rPr>
      </w:pPr>
      <w:r w:rsidRPr="00137E2E">
        <w:rPr>
          <w:lang w:val="de-CH"/>
        </w:rPr>
        <w:t xml:space="preserve">Die </w:t>
      </w:r>
      <w:r w:rsidRPr="00137E2E">
        <w:rPr>
          <w:spacing w:val="2"/>
          <w:lang w:val="de-CH"/>
        </w:rPr>
        <w:t>vom Gemeinwesen geleistete Inkassohilfe und Alimentenbevorschussung verfolgen beide ein soziales Ziel, nämlich die Sicherung des Unterhalts der Kinder, der Ehegatten und der eingetragenen Partner, wenn die unterhaltspflichtige Person ihre Verpflichtungen nicht erfüllt, um so dem Armutsrisiko vorzubeugen</w:t>
      </w:r>
      <w:r w:rsidRPr="00137E2E">
        <w:rPr>
          <w:lang w:val="de-CH"/>
        </w:rPr>
        <w:t xml:space="preserve">. </w:t>
      </w:r>
      <w:r w:rsidRPr="00137E2E">
        <w:rPr>
          <w:spacing w:val="2"/>
          <w:lang w:val="de-CH"/>
        </w:rPr>
        <w:t>Zusammen bilden die Inkassohilfe und die Alimentenbevorschussung die zwei Komponenten der so genannten «Alimentenhilfe».</w:t>
      </w:r>
    </w:p>
    <w:p w14:paraId="2E7C18C2" w14:textId="143657CE" w:rsidR="00C900ED" w:rsidRPr="00137E2E" w:rsidRDefault="00C841DB" w:rsidP="007B41EB">
      <w:pPr>
        <w:pStyle w:val="06atexteprincipal"/>
        <w:spacing w:line="240" w:lineRule="auto"/>
        <w:jc w:val="both"/>
        <w:rPr>
          <w:spacing w:val="2"/>
          <w:lang w:val="de-CH"/>
        </w:rPr>
      </w:pPr>
      <w:r w:rsidRPr="00137E2E">
        <w:rPr>
          <w:spacing w:val="2"/>
          <w:lang w:val="de-CH"/>
        </w:rPr>
        <w:t xml:space="preserve">Diese Hilfe ist für Personen bestimmt, deren Unterhaltsbeiträge unvollständig, unpünktlich, unregelmässig oder gar nicht bezahlt werden. Anspruchsberechtigt können grundsätzlich Kinder, Frauen und Männer sein. In der Praxis sind es aber in aller Regel Kinder und Frauen, umgekehrt sind grossmehrheitlich Männer unterhaltspflichtig. Sehr problematisch kann die Lage für Frauen und Kinder sein, die in Einelternhaushalten leben, da solche Haushalte besonders von Armut bedroht sind. </w:t>
      </w:r>
      <w:r w:rsidR="00C900ED" w:rsidRPr="00137E2E">
        <w:rPr>
          <w:spacing w:val="2"/>
          <w:lang w:val="de-CH"/>
        </w:rPr>
        <w:br w:type="page"/>
      </w:r>
    </w:p>
    <w:p w14:paraId="00C71E3F" w14:textId="76A55972" w:rsidR="009D025D" w:rsidRPr="00137E2E" w:rsidRDefault="00C841DB" w:rsidP="00D26BC1">
      <w:pPr>
        <w:pStyle w:val="06atexteprincipal"/>
        <w:spacing w:line="240" w:lineRule="auto"/>
        <w:jc w:val="both"/>
        <w:rPr>
          <w:spacing w:val="2"/>
          <w:lang w:val="de-CH" w:eastAsia="en-US"/>
        </w:rPr>
      </w:pPr>
      <w:r w:rsidRPr="00137E2E">
        <w:rPr>
          <w:spacing w:val="2"/>
          <w:lang w:val="de-CH"/>
        </w:rPr>
        <w:lastRenderedPageBreak/>
        <w:t>Gemäss der Schweizerischen Sozialhilfestatistik</w:t>
      </w:r>
      <w:r w:rsidR="00E72B81" w:rsidRPr="00137E2E">
        <w:rPr>
          <w:spacing w:val="2"/>
          <w:lang w:val="de-CH"/>
        </w:rPr>
        <w:t xml:space="preserve"> zum Jahr </w:t>
      </w:r>
      <w:r w:rsidR="00FD7FEE" w:rsidRPr="00137E2E">
        <w:rPr>
          <w:spacing w:val="2"/>
          <w:lang w:val="de-CH"/>
        </w:rPr>
        <w:t>20</w:t>
      </w:r>
      <w:r w:rsidRPr="00137E2E">
        <w:rPr>
          <w:spacing w:val="2"/>
          <w:lang w:val="de-CH"/>
        </w:rPr>
        <w:t>17 sind 98,6</w:t>
      </w:r>
      <w:r w:rsidR="00FD7FEE" w:rsidRPr="00137E2E">
        <w:rPr>
          <w:spacing w:val="2"/>
          <w:lang w:val="de-CH"/>
        </w:rPr>
        <w:t> %</w:t>
      </w:r>
      <w:r w:rsidRPr="00137E2E">
        <w:rPr>
          <w:spacing w:val="2"/>
          <w:lang w:val="de-CH"/>
        </w:rPr>
        <w:t xml:space="preserve"> der </w:t>
      </w:r>
      <w:r w:rsidR="006E629F">
        <w:rPr>
          <w:spacing w:val="2"/>
          <w:lang w:val="de-CH"/>
        </w:rPr>
        <w:t>Personen, die</w:t>
      </w:r>
      <w:r w:rsidRPr="00137E2E">
        <w:rPr>
          <w:spacing w:val="2"/>
          <w:lang w:val="de-CH"/>
        </w:rPr>
        <w:t xml:space="preserve"> Alimentenbevorschussung</w:t>
      </w:r>
      <w:r w:rsidR="006E629F">
        <w:rPr>
          <w:spacing w:val="2"/>
          <w:lang w:val="de-CH"/>
        </w:rPr>
        <w:t>en</w:t>
      </w:r>
      <w:r w:rsidRPr="00137E2E">
        <w:rPr>
          <w:spacing w:val="2"/>
          <w:lang w:val="de-CH"/>
        </w:rPr>
        <w:t xml:space="preserve"> </w:t>
      </w:r>
      <w:r w:rsidR="006E629F">
        <w:rPr>
          <w:spacing w:val="2"/>
          <w:lang w:val="de-CH"/>
        </w:rPr>
        <w:t xml:space="preserve">beantragen, </w:t>
      </w:r>
      <w:r w:rsidRPr="00137E2E">
        <w:rPr>
          <w:spacing w:val="2"/>
          <w:lang w:val="de-CH"/>
        </w:rPr>
        <w:t>Frauen. Die Sicherstellung der Unterhaltsleistungen mittels der Alimentenhilfe ist deshalb sozialpolitisch notwendig.</w:t>
      </w:r>
      <w:r w:rsidRPr="00137E2E">
        <w:rPr>
          <w:rStyle w:val="Appelnotedebasdep"/>
          <w:spacing w:val="2"/>
          <w:lang w:val="de-CH"/>
        </w:rPr>
        <w:footnoteReference w:id="1"/>
      </w:r>
      <w:r w:rsidRPr="00137E2E">
        <w:rPr>
          <w:spacing w:val="2"/>
          <w:lang w:val="de-CH"/>
        </w:rPr>
        <w:t xml:space="preserve"> </w:t>
      </w:r>
    </w:p>
    <w:p w14:paraId="71DFFE99" w14:textId="77777777" w:rsidR="000D35F2" w:rsidRPr="00137E2E" w:rsidRDefault="00CD751B" w:rsidP="00D26BC1">
      <w:pPr>
        <w:pStyle w:val="Titre2"/>
        <w:jc w:val="both"/>
        <w:rPr>
          <w:lang w:val="de-CH"/>
        </w:rPr>
      </w:pPr>
      <w:bookmarkStart w:id="3" w:name="_Toc49330764"/>
      <w:r w:rsidRPr="00137E2E">
        <w:rPr>
          <w:lang w:val="de-CH"/>
        </w:rPr>
        <w:t>2.2 Bevorschussung von Unterhaltsbeiträgen</w:t>
      </w:r>
      <w:bookmarkEnd w:id="3"/>
      <w:r w:rsidRPr="00137E2E">
        <w:rPr>
          <w:lang w:val="de-CH"/>
        </w:rPr>
        <w:t xml:space="preserve"> </w:t>
      </w:r>
    </w:p>
    <w:p w14:paraId="393717C3" w14:textId="16B34B42" w:rsidR="000D35F2" w:rsidRPr="00137E2E" w:rsidRDefault="000D35F2" w:rsidP="00D26BC1">
      <w:pPr>
        <w:pStyle w:val="06atexteprincipal"/>
        <w:spacing w:line="240" w:lineRule="auto"/>
        <w:jc w:val="both"/>
        <w:rPr>
          <w:spacing w:val="2"/>
          <w:lang w:val="de-CH" w:eastAsia="en-US"/>
        </w:rPr>
      </w:pPr>
      <w:r w:rsidRPr="00137E2E">
        <w:rPr>
          <w:spacing w:val="2"/>
          <w:lang w:val="de-CH"/>
        </w:rPr>
        <w:t>Das Gemeinwesen kann Unterhaltsbeiträge vorschiessen, wenn die unterhaltspflichtige Person ihren Verpflichtungen nicht nachkommt. Mit dem Vorschuss soll die Zahlung eines vom kantonalen Recht definierten Unterhaltsbeitrag</w:t>
      </w:r>
      <w:r w:rsidR="006E629F">
        <w:rPr>
          <w:spacing w:val="2"/>
          <w:lang w:val="de-CH"/>
        </w:rPr>
        <w:t>s</w:t>
      </w:r>
      <w:r w:rsidRPr="00137E2E">
        <w:rPr>
          <w:spacing w:val="2"/>
          <w:lang w:val="de-CH"/>
        </w:rPr>
        <w:t xml:space="preserve"> sichergestellt werden, der die Deckung der Grundbedürfnisse der unterhaltsberechtigten Person garantier</w:t>
      </w:r>
      <w:r w:rsidR="006E629F">
        <w:rPr>
          <w:spacing w:val="2"/>
          <w:lang w:val="de-CH"/>
        </w:rPr>
        <w:t>en sollte</w:t>
      </w:r>
      <w:r w:rsidRPr="00137E2E">
        <w:rPr>
          <w:spacing w:val="2"/>
          <w:lang w:val="de-CH"/>
        </w:rPr>
        <w:t xml:space="preserve">. </w:t>
      </w:r>
    </w:p>
    <w:p w14:paraId="119773AD" w14:textId="5FA76D2F" w:rsidR="000D35F2" w:rsidRPr="00137E2E" w:rsidRDefault="000D35F2" w:rsidP="00D26BC1">
      <w:pPr>
        <w:pStyle w:val="06atexteprincipal"/>
        <w:spacing w:line="240" w:lineRule="auto"/>
        <w:jc w:val="both"/>
        <w:rPr>
          <w:spacing w:val="2"/>
          <w:lang w:val="de-CH" w:eastAsia="en-US"/>
        </w:rPr>
      </w:pPr>
      <w:r w:rsidRPr="00137E2E">
        <w:rPr>
          <w:spacing w:val="2"/>
          <w:lang w:val="de-CH"/>
        </w:rPr>
        <w:t>Das Zivilgesetzbuch (ZGB) lädt die Kantone ein, sowohl für Ehegatten wie auch für Kinder die Ausrichtung von Vorschüssen zu regeln (</w:t>
      </w:r>
      <w:r w:rsidR="00216406" w:rsidRPr="00137E2E">
        <w:rPr>
          <w:spacing w:val="2"/>
          <w:lang w:val="de-CH"/>
        </w:rPr>
        <w:t>Art. </w:t>
      </w:r>
      <w:r w:rsidRPr="00137E2E">
        <w:rPr>
          <w:spacing w:val="2"/>
          <w:lang w:val="de-CH"/>
        </w:rPr>
        <w:t xml:space="preserve">131a </w:t>
      </w:r>
      <w:r w:rsidR="00216406" w:rsidRPr="00137E2E">
        <w:rPr>
          <w:spacing w:val="2"/>
          <w:lang w:val="de-CH"/>
        </w:rPr>
        <w:t>Abs. </w:t>
      </w:r>
      <w:r w:rsidRPr="00137E2E">
        <w:rPr>
          <w:spacing w:val="2"/>
          <w:lang w:val="de-CH"/>
        </w:rPr>
        <w:t xml:space="preserve">1 und </w:t>
      </w:r>
      <w:r w:rsidR="00216406" w:rsidRPr="00137E2E">
        <w:rPr>
          <w:spacing w:val="2"/>
          <w:lang w:val="de-CH"/>
        </w:rPr>
        <w:t>Art. </w:t>
      </w:r>
      <w:r w:rsidRPr="00137E2E">
        <w:rPr>
          <w:spacing w:val="2"/>
          <w:lang w:val="de-CH"/>
        </w:rPr>
        <w:t xml:space="preserve">293 </w:t>
      </w:r>
      <w:r w:rsidR="00216406" w:rsidRPr="00137E2E">
        <w:rPr>
          <w:spacing w:val="2"/>
          <w:lang w:val="de-CH"/>
        </w:rPr>
        <w:t>Abs. </w:t>
      </w:r>
      <w:r w:rsidRPr="00137E2E">
        <w:rPr>
          <w:spacing w:val="2"/>
          <w:lang w:val="de-CH"/>
        </w:rPr>
        <w:t xml:space="preserve">2). Der Bereich der Alimentenbevorschussung ist dem kantonalen öffentlichen Recht vorbehalten. Sämtliche Kantone haben Rechtsgrundlagen zur Bevorschussung von Kinderalimenten geschaffen; dagegen haben lediglich der Kanton Zug und die Westschweizer Kantone, mit Ausnahme des Kantons Waadt (Abschaffung des Vorschusses Vorschüsse für Ehegatten oder Ex-Ehegatten im 2018), rechtliche Bestimmungen zur Bevorschussung von Ehegattenalimenten erlassen. </w:t>
      </w:r>
    </w:p>
    <w:p w14:paraId="7A3D7389" w14:textId="77777777" w:rsidR="000D35F2" w:rsidRPr="00137E2E" w:rsidRDefault="00CD751B" w:rsidP="00D26BC1">
      <w:pPr>
        <w:pStyle w:val="Titre2"/>
        <w:jc w:val="both"/>
        <w:rPr>
          <w:lang w:val="de-CH"/>
        </w:rPr>
      </w:pPr>
      <w:bookmarkStart w:id="4" w:name="_Toc49330765"/>
      <w:r w:rsidRPr="00137E2E">
        <w:rPr>
          <w:lang w:val="de-CH"/>
        </w:rPr>
        <w:t>2.3 Inkassohilfe</w:t>
      </w:r>
      <w:bookmarkEnd w:id="4"/>
      <w:r w:rsidRPr="00137E2E">
        <w:rPr>
          <w:lang w:val="de-CH"/>
        </w:rPr>
        <w:t xml:space="preserve"> </w:t>
      </w:r>
    </w:p>
    <w:p w14:paraId="228637BF" w14:textId="0699FE92" w:rsidR="00495425" w:rsidRPr="00137E2E" w:rsidRDefault="00DE2F4F" w:rsidP="00D26BC1">
      <w:pPr>
        <w:pStyle w:val="06atexteprincipal"/>
        <w:spacing w:line="240" w:lineRule="auto"/>
        <w:jc w:val="both"/>
        <w:rPr>
          <w:spacing w:val="2"/>
          <w:lang w:val="de-CH" w:eastAsia="en-US"/>
        </w:rPr>
      </w:pPr>
      <w:r w:rsidRPr="00137E2E">
        <w:rPr>
          <w:spacing w:val="2"/>
          <w:lang w:val="de-CH"/>
        </w:rPr>
        <w:t xml:space="preserve">Im Gegensatz zur Alimentenbevorschussung werden bei der Inkassohilfe keine öffentlichen Gelder an die berechtigten Personen ausbezahlt. Mit der in </w:t>
      </w:r>
      <w:r w:rsidR="00216406" w:rsidRPr="00137E2E">
        <w:rPr>
          <w:spacing w:val="2"/>
          <w:lang w:val="de-CH"/>
        </w:rPr>
        <w:t>Artikel </w:t>
      </w:r>
      <w:r w:rsidRPr="00137E2E">
        <w:rPr>
          <w:spacing w:val="2"/>
          <w:lang w:val="de-CH"/>
        </w:rPr>
        <w:t xml:space="preserve">131 </w:t>
      </w:r>
      <w:r w:rsidR="00216406" w:rsidRPr="00137E2E">
        <w:rPr>
          <w:spacing w:val="2"/>
          <w:lang w:val="de-CH"/>
        </w:rPr>
        <w:t>Abs. </w:t>
      </w:r>
      <w:r w:rsidRPr="00137E2E">
        <w:rPr>
          <w:spacing w:val="2"/>
          <w:lang w:val="de-CH"/>
        </w:rPr>
        <w:t xml:space="preserve">1 und </w:t>
      </w:r>
      <w:r w:rsidR="00216406" w:rsidRPr="00137E2E">
        <w:rPr>
          <w:spacing w:val="2"/>
          <w:lang w:val="de-CH"/>
        </w:rPr>
        <w:t>Artikel </w:t>
      </w:r>
      <w:r w:rsidRPr="00137E2E">
        <w:rPr>
          <w:spacing w:val="2"/>
          <w:lang w:val="de-CH"/>
        </w:rPr>
        <w:t xml:space="preserve">290 </w:t>
      </w:r>
      <w:r w:rsidR="00216406" w:rsidRPr="00137E2E">
        <w:rPr>
          <w:spacing w:val="2"/>
          <w:lang w:val="de-CH"/>
        </w:rPr>
        <w:t>Abs. </w:t>
      </w:r>
      <w:r w:rsidRPr="00137E2E">
        <w:rPr>
          <w:spacing w:val="2"/>
          <w:lang w:val="de-CH"/>
        </w:rPr>
        <w:t>1 ZGB geregelten Inkassohilfe soll die ans</w:t>
      </w:r>
      <w:r w:rsidR="0048409D" w:rsidRPr="00137E2E">
        <w:rPr>
          <w:spacing w:val="2"/>
          <w:lang w:val="de-CH"/>
        </w:rPr>
        <w:t>pruchs</w:t>
      </w:r>
      <w:r w:rsidRPr="00137E2E">
        <w:rPr>
          <w:spacing w:val="2"/>
          <w:lang w:val="de-CH"/>
        </w:rPr>
        <w:t>berechtigte Person im Verfahren zur Durchsetzung der in einem Unterhaltstitel festgelegten Unterhaltsa</w:t>
      </w:r>
      <w:r w:rsidR="00C900ED" w:rsidRPr="00137E2E">
        <w:rPr>
          <w:spacing w:val="2"/>
          <w:lang w:val="de-CH"/>
        </w:rPr>
        <w:t>nsprüche unterstützt werden, z. </w:t>
      </w:r>
      <w:r w:rsidRPr="00137E2E">
        <w:rPr>
          <w:spacing w:val="2"/>
          <w:lang w:val="de-CH"/>
        </w:rPr>
        <w:t xml:space="preserve">B. bei der Einleitung von Betreibungen oder beim Einreichen von (zivil- oder strafrechtlichen) Anträgen bei den zuständigen Gerichtsbehörden. </w:t>
      </w:r>
    </w:p>
    <w:p w14:paraId="1215604C" w14:textId="25499F5E" w:rsidR="000D35F2" w:rsidRPr="00137E2E" w:rsidRDefault="00DE2F4F" w:rsidP="00D26BC1">
      <w:pPr>
        <w:pStyle w:val="06atexteprincipal"/>
        <w:spacing w:line="240" w:lineRule="auto"/>
        <w:jc w:val="both"/>
        <w:rPr>
          <w:spacing w:val="2"/>
          <w:lang w:val="de-CH" w:eastAsia="en-US"/>
        </w:rPr>
      </w:pPr>
      <w:r w:rsidRPr="00137E2E">
        <w:rPr>
          <w:spacing w:val="2"/>
          <w:lang w:val="de-CH"/>
        </w:rPr>
        <w:t xml:space="preserve">Die Inkassohilfe steht sämtlichen berechtigten Personen offen, die ein Gesuch stellen, unabhängig davon, ob sie Alimentenbevorschussung erhalten oder nicht. Eine Person kann also die Inkassohilfe in Anspruch nehmen, ohne die Voraussetzungen für die Alimentenbevorschussung zu erfüllen. </w:t>
      </w:r>
    </w:p>
    <w:p w14:paraId="591C0924" w14:textId="77777777" w:rsidR="00DE2F4F" w:rsidRPr="00137E2E" w:rsidRDefault="00CD751B" w:rsidP="00D26BC1">
      <w:pPr>
        <w:pStyle w:val="Titre1"/>
        <w:jc w:val="both"/>
        <w:rPr>
          <w:lang w:val="de-CH"/>
        </w:rPr>
      </w:pPr>
      <w:bookmarkStart w:id="5" w:name="_Toc49330766"/>
      <w:r w:rsidRPr="00137E2E">
        <w:rPr>
          <w:lang w:val="de-CH"/>
        </w:rPr>
        <w:t>3. Arbeiten auf Bundesebene</w:t>
      </w:r>
      <w:bookmarkEnd w:id="5"/>
      <w:r w:rsidRPr="00137E2E">
        <w:rPr>
          <w:lang w:val="de-CH"/>
        </w:rPr>
        <w:t xml:space="preserve"> </w:t>
      </w:r>
    </w:p>
    <w:p w14:paraId="23979980" w14:textId="77777777" w:rsidR="00EC40C9" w:rsidRPr="00137E2E" w:rsidRDefault="00CD751B" w:rsidP="00EC40C9">
      <w:pPr>
        <w:pStyle w:val="Titre2"/>
        <w:ind w:left="425" w:hanging="425"/>
        <w:jc w:val="both"/>
        <w:rPr>
          <w:lang w:val="de-CH"/>
        </w:rPr>
      </w:pPr>
      <w:bookmarkStart w:id="6" w:name="_Toc49330767"/>
      <w:r w:rsidRPr="00137E2E">
        <w:rPr>
          <w:lang w:val="de-CH"/>
        </w:rPr>
        <w:t>3.1</w:t>
      </w:r>
      <w:r w:rsidRPr="00137E2E">
        <w:rPr>
          <w:lang w:val="de-CH"/>
        </w:rPr>
        <w:tab/>
        <w:t>Bericht «Harmonisierung Alimentenbevorschussung und Alimenteninkasso»</w:t>
      </w:r>
      <w:bookmarkEnd w:id="6"/>
      <w:r w:rsidRPr="00137E2E">
        <w:rPr>
          <w:lang w:val="de-CH"/>
        </w:rPr>
        <w:t xml:space="preserve"> </w:t>
      </w:r>
    </w:p>
    <w:p w14:paraId="09E87ACD" w14:textId="35DBFCFE" w:rsidR="00963DC4" w:rsidRPr="00137E2E" w:rsidRDefault="00963DC4" w:rsidP="00963DC4">
      <w:pPr>
        <w:pStyle w:val="06atexteprincipal"/>
        <w:jc w:val="both"/>
        <w:rPr>
          <w:lang w:val="de-CH"/>
        </w:rPr>
      </w:pPr>
      <w:r w:rsidRPr="00137E2E">
        <w:rPr>
          <w:lang w:val="de-CH"/>
        </w:rPr>
        <w:t>Im Juni</w:t>
      </w:r>
      <w:r w:rsidR="00FD7FEE" w:rsidRPr="00137E2E">
        <w:rPr>
          <w:lang w:val="de-CH"/>
        </w:rPr>
        <w:t> 20</w:t>
      </w:r>
      <w:r w:rsidRPr="00137E2E">
        <w:rPr>
          <w:lang w:val="de-CH"/>
        </w:rPr>
        <w:t>06 hat der Nationalrat das Postulat 06.3003 der Kommission für soziale Sicherheit und Gesundheit des Nationalrats (SGK-N) vom 13. Januar</w:t>
      </w:r>
      <w:r w:rsidR="00FD7FEE" w:rsidRPr="00137E2E">
        <w:rPr>
          <w:lang w:val="de-CH"/>
        </w:rPr>
        <w:t> 20</w:t>
      </w:r>
      <w:r w:rsidRPr="00137E2E">
        <w:rPr>
          <w:lang w:val="de-CH"/>
        </w:rPr>
        <w:t>06 angenommen, das eine Harmonisierung der Gesetzgebung betreffend Alimentenbevorschussung und Alimenteninkasso fordert.</w:t>
      </w:r>
    </w:p>
    <w:p w14:paraId="151AC200" w14:textId="77777777" w:rsidR="00C900ED" w:rsidRPr="00137E2E" w:rsidRDefault="00963DC4" w:rsidP="003E71E1">
      <w:pPr>
        <w:pStyle w:val="06atexteprincipal"/>
        <w:jc w:val="both"/>
        <w:rPr>
          <w:lang w:val="de-CH"/>
        </w:rPr>
      </w:pPr>
      <w:r w:rsidRPr="00137E2E">
        <w:rPr>
          <w:lang w:val="de-CH"/>
        </w:rPr>
        <w:t>In Erfüllung dieses Po</w:t>
      </w:r>
      <w:r w:rsidR="00FD7FEE" w:rsidRPr="00137E2E">
        <w:rPr>
          <w:lang w:val="de-CH"/>
        </w:rPr>
        <w:t>stulats hat der Bundesrat am 4. Mai </w:t>
      </w:r>
      <w:r w:rsidRPr="00137E2E">
        <w:rPr>
          <w:lang w:val="de-CH"/>
        </w:rPr>
        <w:t xml:space="preserve">2011 den Bericht «Harmonisierung Alimentenbevorschussung und Alimenteninkasso» (Harmonisierungs-Bericht) verabschiedet; darin werden die Entwicklung, die Ausgestaltung und die Ziele der Inkassohilfe und der Alimentenbevorschussung beschrieben. </w:t>
      </w:r>
    </w:p>
    <w:p w14:paraId="65FA0B6B" w14:textId="77777777" w:rsidR="00C900ED" w:rsidRPr="00137E2E" w:rsidRDefault="00C900ED">
      <w:pPr>
        <w:rPr>
          <w:rFonts w:ascii="Times New Roman" w:eastAsia="Times New Roman" w:hAnsi="Times New Roman" w:cs="Times New Roman"/>
          <w:sz w:val="24"/>
          <w:szCs w:val="24"/>
          <w:lang w:val="de-CH" w:eastAsia="fr-FR"/>
        </w:rPr>
      </w:pPr>
      <w:r w:rsidRPr="00137E2E">
        <w:rPr>
          <w:lang w:val="de-CH"/>
        </w:rPr>
        <w:br w:type="page"/>
      </w:r>
    </w:p>
    <w:p w14:paraId="36BBBFE6" w14:textId="3E914467" w:rsidR="00EC40C9" w:rsidRPr="00137E2E" w:rsidRDefault="00963DC4" w:rsidP="003E71E1">
      <w:pPr>
        <w:pStyle w:val="06atexteprincipal"/>
        <w:jc w:val="both"/>
        <w:rPr>
          <w:lang w:val="de-CH"/>
        </w:rPr>
      </w:pPr>
      <w:r w:rsidRPr="00137E2E">
        <w:rPr>
          <w:lang w:val="de-CH"/>
        </w:rPr>
        <w:lastRenderedPageBreak/>
        <w:t xml:space="preserve">Der Bericht kommt zum Schluss, dass das vom Bundesgesetzgeber verfolgte Ziel der Alimentenhilfe – soll heissen: Sicherung des Unterhaltsanspruchs und Verhinderung von Armut – in den Kantonen nur teilweise erreicht wird. </w:t>
      </w:r>
    </w:p>
    <w:p w14:paraId="5BBDA196" w14:textId="77777777" w:rsidR="00A36F1B" w:rsidRPr="00137E2E" w:rsidRDefault="00CD751B" w:rsidP="00A36F1B">
      <w:pPr>
        <w:pStyle w:val="Titre2"/>
        <w:ind w:left="425" w:hanging="425"/>
        <w:jc w:val="both"/>
        <w:rPr>
          <w:lang w:val="de-CH"/>
        </w:rPr>
      </w:pPr>
      <w:bookmarkStart w:id="7" w:name="_Toc49330768"/>
      <w:r w:rsidRPr="00137E2E">
        <w:rPr>
          <w:lang w:val="de-CH"/>
        </w:rPr>
        <w:t>3.2</w:t>
      </w:r>
      <w:r w:rsidRPr="00137E2E">
        <w:rPr>
          <w:lang w:val="de-CH"/>
        </w:rPr>
        <w:tab/>
        <w:t>Empfehlungen der Konferenz der kantonalen Sozialdirektorinnen und Sozialdirektoren</w:t>
      </w:r>
      <w:bookmarkEnd w:id="7"/>
      <w:r w:rsidRPr="00137E2E">
        <w:rPr>
          <w:lang w:val="de-CH"/>
        </w:rPr>
        <w:t xml:space="preserve"> </w:t>
      </w:r>
    </w:p>
    <w:p w14:paraId="14ECD8D4" w14:textId="3809DF71" w:rsidR="003E71E1" w:rsidRPr="00137E2E" w:rsidRDefault="003E71E1" w:rsidP="003E71E1">
      <w:pPr>
        <w:pStyle w:val="06atexteprincipal"/>
        <w:jc w:val="both"/>
        <w:rPr>
          <w:lang w:val="de-CH"/>
        </w:rPr>
      </w:pPr>
      <w:r w:rsidRPr="00137E2E">
        <w:rPr>
          <w:lang w:val="de-CH"/>
        </w:rPr>
        <w:t>Die Notwendigkeit einer Harmonisierung der gesetzlichen Grundlagen im Bereich der Bevorschussung von Unterhaltsbeiträgen ist anerkannt</w:t>
      </w:r>
      <w:r w:rsidRPr="00137E2E">
        <w:rPr>
          <w:rStyle w:val="Appelnotedebasdep"/>
          <w:lang w:val="de-CH"/>
        </w:rPr>
        <w:footnoteReference w:id="2"/>
      </w:r>
      <w:r w:rsidRPr="00137E2E">
        <w:rPr>
          <w:lang w:val="de-CH"/>
        </w:rPr>
        <w:t>. Zurzeit ist nicht absehbar, ob, wann und auf welchem Weg eine solche Harmonisierung erfolgen wird.</w:t>
      </w:r>
      <w:r w:rsidRPr="00137E2E">
        <w:rPr>
          <w:rStyle w:val="Appelnotedebasdep"/>
          <w:lang w:val="de-CH"/>
        </w:rPr>
        <w:footnoteReference w:id="3"/>
      </w:r>
      <w:r w:rsidRPr="00137E2E">
        <w:rPr>
          <w:lang w:val="de-CH"/>
        </w:rPr>
        <w:t xml:space="preserve"> Einen ersten Schritt in diese Richtung unternahm die Konferenz der kantonalen Sozialdirektorinnen und Sozialdirektoren (SODK) mit der Ausarbeitung der am 28.</w:t>
      </w:r>
      <w:r w:rsidR="00FD7FEE" w:rsidRPr="00137E2E">
        <w:rPr>
          <w:lang w:val="de-CH"/>
        </w:rPr>
        <w:t> </w:t>
      </w:r>
      <w:r w:rsidRPr="00137E2E">
        <w:rPr>
          <w:lang w:val="de-CH"/>
        </w:rPr>
        <w:t>Juni</w:t>
      </w:r>
      <w:r w:rsidR="00FD7FEE" w:rsidRPr="00137E2E">
        <w:rPr>
          <w:lang w:val="de-CH"/>
        </w:rPr>
        <w:t> 20</w:t>
      </w:r>
      <w:r w:rsidRPr="00137E2E">
        <w:rPr>
          <w:lang w:val="de-CH"/>
        </w:rPr>
        <w:t xml:space="preserve">13 genehmigten Empfehlungen zur Ausgestaltung der Alimentenbevorschussung (nachfolgend: SODK-Empfehlungen). </w:t>
      </w:r>
    </w:p>
    <w:p w14:paraId="5D46EE9E" w14:textId="77777777" w:rsidR="00DE2F4F" w:rsidRPr="00137E2E" w:rsidRDefault="00CD751B" w:rsidP="00D26BC1">
      <w:pPr>
        <w:pStyle w:val="Titre2"/>
        <w:jc w:val="both"/>
        <w:rPr>
          <w:lang w:val="de-CH"/>
        </w:rPr>
      </w:pPr>
      <w:bookmarkStart w:id="8" w:name="_Toc49330769"/>
      <w:r w:rsidRPr="00137E2E">
        <w:rPr>
          <w:lang w:val="de-CH"/>
        </w:rPr>
        <w:t>3.3 Revision des Kindesunterhaltsrechts</w:t>
      </w:r>
      <w:bookmarkEnd w:id="8"/>
      <w:r w:rsidRPr="00137E2E">
        <w:rPr>
          <w:lang w:val="de-CH"/>
        </w:rPr>
        <w:t xml:space="preserve"> </w:t>
      </w:r>
    </w:p>
    <w:p w14:paraId="053D06AF" w14:textId="0616A47D" w:rsidR="00DE2F4F" w:rsidRPr="00137E2E" w:rsidRDefault="00FD7FEE" w:rsidP="00254312">
      <w:pPr>
        <w:pStyle w:val="06atexteprincipal"/>
        <w:jc w:val="both"/>
        <w:rPr>
          <w:spacing w:val="2"/>
          <w:lang w:val="de-CH" w:eastAsia="en-US"/>
        </w:rPr>
      </w:pPr>
      <w:r w:rsidRPr="00137E2E">
        <w:rPr>
          <w:spacing w:val="2"/>
          <w:lang w:val="de-CH"/>
        </w:rPr>
        <w:t>Die am 20. März </w:t>
      </w:r>
      <w:r w:rsidR="00DA7212" w:rsidRPr="00137E2E">
        <w:rPr>
          <w:spacing w:val="2"/>
          <w:lang w:val="de-CH"/>
        </w:rPr>
        <w:t>2015 vom Parlament verabschiedete und am 1. Januar</w:t>
      </w:r>
      <w:r w:rsidRPr="00137E2E">
        <w:rPr>
          <w:spacing w:val="2"/>
          <w:lang w:val="de-CH"/>
        </w:rPr>
        <w:t> 20</w:t>
      </w:r>
      <w:r w:rsidR="00DA7212" w:rsidRPr="00137E2E">
        <w:rPr>
          <w:spacing w:val="2"/>
          <w:lang w:val="de-CH"/>
        </w:rPr>
        <w:t>17 in Kraft gesetzte Revision des Kindesunterhaltsrechts umfasst insbesondere die Berücksichtigung der indirekten Kosten für die Kinderbetreuung bei der Bemessung des Unterhaltsbeitrags (</w:t>
      </w:r>
      <w:r w:rsidR="00216406" w:rsidRPr="00137E2E">
        <w:rPr>
          <w:spacing w:val="2"/>
          <w:lang w:val="de-CH"/>
        </w:rPr>
        <w:t>Art. </w:t>
      </w:r>
      <w:r w:rsidR="00DA7212" w:rsidRPr="00137E2E">
        <w:rPr>
          <w:spacing w:val="2"/>
          <w:lang w:val="de-CH"/>
        </w:rPr>
        <w:t xml:space="preserve">285 </w:t>
      </w:r>
      <w:r w:rsidR="00216406" w:rsidRPr="00137E2E">
        <w:rPr>
          <w:spacing w:val="2"/>
          <w:lang w:val="de-CH"/>
        </w:rPr>
        <w:t>Abs. </w:t>
      </w:r>
      <w:r w:rsidR="00DA7212" w:rsidRPr="00137E2E">
        <w:rPr>
          <w:spacing w:val="2"/>
          <w:lang w:val="de-CH"/>
        </w:rPr>
        <w:t xml:space="preserve">2 ZGB). Diese Kosten entsprechen dem monatlichen Negativsaldo des obhutsberechtigten Elternteils, der sich direkt aus der Betreuung des Kindes ergibt. </w:t>
      </w:r>
    </w:p>
    <w:p w14:paraId="11360E8A" w14:textId="284BABD8" w:rsidR="00DA7212" w:rsidRPr="00137E2E" w:rsidRDefault="00DA7212" w:rsidP="00D26BC1">
      <w:pPr>
        <w:pStyle w:val="06atexteprincipal"/>
        <w:spacing w:line="240" w:lineRule="auto"/>
        <w:jc w:val="both"/>
        <w:rPr>
          <w:spacing w:val="2"/>
          <w:lang w:val="de-CH" w:eastAsia="en-US"/>
        </w:rPr>
      </w:pPr>
      <w:r w:rsidRPr="00137E2E">
        <w:rPr>
          <w:spacing w:val="2"/>
          <w:lang w:val="de-CH"/>
        </w:rPr>
        <w:t xml:space="preserve">Um der Verpflichtung, die der Bundesrat im Bericht «Harmonisierung» eingegangen ist, Folge zu leisten, hat ihm der Gesetzgeber zur Verbesserung und gesamtschweizerischen Vereinheitlichung der Inkassohilfe in </w:t>
      </w:r>
      <w:r w:rsidR="00216406" w:rsidRPr="00137E2E">
        <w:rPr>
          <w:spacing w:val="2"/>
          <w:lang w:val="de-CH"/>
        </w:rPr>
        <w:t>Artikel </w:t>
      </w:r>
      <w:r w:rsidRPr="00137E2E">
        <w:rPr>
          <w:spacing w:val="2"/>
          <w:lang w:val="de-CH"/>
        </w:rPr>
        <w:t xml:space="preserve">131 </w:t>
      </w:r>
      <w:r w:rsidR="00216406" w:rsidRPr="00137E2E">
        <w:rPr>
          <w:spacing w:val="2"/>
          <w:lang w:val="de-CH"/>
        </w:rPr>
        <w:t>Abs. </w:t>
      </w:r>
      <w:r w:rsidRPr="00137E2E">
        <w:rPr>
          <w:spacing w:val="2"/>
          <w:lang w:val="de-CH"/>
        </w:rPr>
        <w:t xml:space="preserve">2 und </w:t>
      </w:r>
      <w:r w:rsidR="00216406" w:rsidRPr="00137E2E">
        <w:rPr>
          <w:spacing w:val="2"/>
          <w:lang w:val="de-CH"/>
        </w:rPr>
        <w:t>Artikel </w:t>
      </w:r>
      <w:r w:rsidRPr="00137E2E">
        <w:rPr>
          <w:spacing w:val="2"/>
          <w:lang w:val="de-CH"/>
        </w:rPr>
        <w:t xml:space="preserve">290 </w:t>
      </w:r>
      <w:r w:rsidR="00216406" w:rsidRPr="00137E2E">
        <w:rPr>
          <w:spacing w:val="2"/>
          <w:lang w:val="de-CH"/>
        </w:rPr>
        <w:t>Abs. </w:t>
      </w:r>
      <w:r w:rsidRPr="00137E2E">
        <w:rPr>
          <w:spacing w:val="2"/>
          <w:lang w:val="de-CH"/>
        </w:rPr>
        <w:t xml:space="preserve">2 ZGB die Kompetenz zum Erlass einer entsprechenden Verordnung übertragen. </w:t>
      </w:r>
    </w:p>
    <w:p w14:paraId="61D888FD" w14:textId="640E1759" w:rsidR="00B032F1" w:rsidRPr="00137E2E" w:rsidRDefault="00CD751B" w:rsidP="00EC40C9">
      <w:pPr>
        <w:pStyle w:val="Titre2"/>
        <w:ind w:left="425" w:hanging="425"/>
        <w:jc w:val="both"/>
        <w:rPr>
          <w:spacing w:val="2"/>
          <w:lang w:val="de-CH"/>
        </w:rPr>
      </w:pPr>
      <w:bookmarkStart w:id="9" w:name="_Toc49330770"/>
      <w:r w:rsidRPr="00137E2E">
        <w:rPr>
          <w:spacing w:val="2"/>
          <w:lang w:val="de-CH"/>
        </w:rPr>
        <w:t>3.4</w:t>
      </w:r>
      <w:r w:rsidRPr="00137E2E">
        <w:rPr>
          <w:spacing w:val="2"/>
          <w:lang w:val="de-CH"/>
        </w:rPr>
        <w:tab/>
      </w:r>
      <w:r w:rsidRPr="00137E2E">
        <w:rPr>
          <w:lang w:val="de-CH"/>
        </w:rPr>
        <w:t>Verordnung vom 6. Dezember</w:t>
      </w:r>
      <w:r w:rsidR="00FD7FEE" w:rsidRPr="00137E2E">
        <w:rPr>
          <w:lang w:val="de-CH"/>
        </w:rPr>
        <w:t> 20</w:t>
      </w:r>
      <w:r w:rsidRPr="00137E2E">
        <w:rPr>
          <w:lang w:val="de-CH"/>
        </w:rPr>
        <w:t>19 über die Inkassohilfe bei familienrechtlichen Unterhaltsansprüchen</w:t>
      </w:r>
      <w:bookmarkEnd w:id="9"/>
      <w:r w:rsidRPr="00137E2E">
        <w:rPr>
          <w:b w:val="0"/>
          <w:lang w:val="de-CH"/>
        </w:rPr>
        <w:t xml:space="preserve"> </w:t>
      </w:r>
    </w:p>
    <w:p w14:paraId="4B0C4F57" w14:textId="62608C78" w:rsidR="00B032F1" w:rsidRPr="00137E2E" w:rsidRDefault="00772418" w:rsidP="00D26BC1">
      <w:pPr>
        <w:pStyle w:val="06atexteprincipal"/>
        <w:spacing w:line="240" w:lineRule="auto"/>
        <w:jc w:val="both"/>
        <w:rPr>
          <w:spacing w:val="2"/>
          <w:lang w:val="de-CH" w:eastAsia="en-US"/>
        </w:rPr>
      </w:pPr>
      <w:r w:rsidRPr="00137E2E">
        <w:rPr>
          <w:spacing w:val="2"/>
          <w:lang w:val="de-CH"/>
        </w:rPr>
        <w:t>Die Verordnung vom 6. Dezember</w:t>
      </w:r>
      <w:r w:rsidR="00FD7FEE" w:rsidRPr="00137E2E">
        <w:rPr>
          <w:spacing w:val="2"/>
          <w:lang w:val="de-CH"/>
        </w:rPr>
        <w:t> 20</w:t>
      </w:r>
      <w:r w:rsidRPr="00137E2E">
        <w:rPr>
          <w:spacing w:val="2"/>
          <w:lang w:val="de-CH"/>
        </w:rPr>
        <w:t>19 über die Inkassohilfe bei familienrechtlichen Unterhaltsansprüchen (Inkassohilfeverordnung, InkHV)</w:t>
      </w:r>
      <w:r w:rsidRPr="00137E2E">
        <w:rPr>
          <w:rStyle w:val="Appelnotedebasdep"/>
          <w:lang w:val="de-CH"/>
        </w:rPr>
        <w:footnoteReference w:id="4"/>
      </w:r>
      <w:r w:rsidRPr="00137E2E">
        <w:rPr>
          <w:lang w:val="de-CH"/>
        </w:rPr>
        <w:t xml:space="preserve"> tritt am </w:t>
      </w:r>
      <w:r w:rsidRPr="00137E2E">
        <w:rPr>
          <w:spacing w:val="2"/>
          <w:lang w:val="de-CH"/>
        </w:rPr>
        <w:t>1.</w:t>
      </w:r>
      <w:r w:rsidRPr="00137E2E">
        <w:rPr>
          <w:spacing w:val="2"/>
          <w:vertAlign w:val="superscript"/>
          <w:lang w:val="de-CH"/>
        </w:rPr>
        <w:t xml:space="preserve"> </w:t>
      </w:r>
      <w:r w:rsidRPr="00137E2E">
        <w:rPr>
          <w:spacing w:val="2"/>
          <w:lang w:val="de-CH"/>
        </w:rPr>
        <w:t>Januar</w:t>
      </w:r>
      <w:r w:rsidR="00FD7FEE" w:rsidRPr="00137E2E">
        <w:rPr>
          <w:spacing w:val="2"/>
          <w:lang w:val="de-CH"/>
        </w:rPr>
        <w:t> 20</w:t>
      </w:r>
      <w:r w:rsidRPr="00137E2E">
        <w:rPr>
          <w:spacing w:val="2"/>
          <w:lang w:val="de-CH"/>
        </w:rPr>
        <w:t>22 in Kraft; von diesem Zeitpunkt an wird die Inkassohilfe schweizweit einheitlich nach eidgenössischen Regeln geregelt, welche die aktuell geltenden kantonalen Regeln ersetzen werden. In der kantonalen Gesetzgebung werden nur ein paar Punkte b</w:t>
      </w:r>
      <w:r w:rsidR="001C7429" w:rsidRPr="00137E2E">
        <w:rPr>
          <w:spacing w:val="2"/>
          <w:lang w:val="de-CH"/>
        </w:rPr>
        <w:t>ehandelte werden müssen, wie z. </w:t>
      </w:r>
      <w:r w:rsidRPr="00137E2E">
        <w:rPr>
          <w:spacing w:val="2"/>
          <w:lang w:val="de-CH"/>
        </w:rPr>
        <w:t xml:space="preserve">B. die Rechtsmittel (vgl. </w:t>
      </w:r>
      <w:r w:rsidR="00216406" w:rsidRPr="00137E2E">
        <w:rPr>
          <w:spacing w:val="2"/>
          <w:lang w:val="de-CH"/>
        </w:rPr>
        <w:t>A</w:t>
      </w:r>
      <w:r w:rsidR="006E629F">
        <w:rPr>
          <w:spacing w:val="2"/>
          <w:lang w:val="de-CH"/>
        </w:rPr>
        <w:t>bsatz 6, A</w:t>
      </w:r>
      <w:r w:rsidR="00216406" w:rsidRPr="00137E2E">
        <w:rPr>
          <w:spacing w:val="2"/>
          <w:lang w:val="de-CH"/>
        </w:rPr>
        <w:t>rt. </w:t>
      </w:r>
      <w:r w:rsidR="006E629F">
        <w:rPr>
          <w:spacing w:val="2"/>
          <w:lang w:val="de-CH"/>
        </w:rPr>
        <w:t>19</w:t>
      </w:r>
      <w:r w:rsidR="000A39BF" w:rsidRPr="00137E2E">
        <w:rPr>
          <w:spacing w:val="2"/>
          <w:lang w:val="de-CH"/>
        </w:rPr>
        <w:t xml:space="preserve"> </w:t>
      </w:r>
      <w:r w:rsidR="006E629F">
        <w:rPr>
          <w:spacing w:val="2"/>
          <w:lang w:val="de-CH"/>
        </w:rPr>
        <w:t>bis</w:t>
      </w:r>
      <w:r w:rsidRPr="00137E2E">
        <w:rPr>
          <w:spacing w:val="2"/>
          <w:lang w:val="de-CH"/>
        </w:rPr>
        <w:t xml:space="preserve"> </w:t>
      </w:r>
      <w:r w:rsidR="006E629F">
        <w:rPr>
          <w:spacing w:val="2"/>
          <w:lang w:val="de-CH"/>
        </w:rPr>
        <w:t>24</w:t>
      </w:r>
      <w:r w:rsidRPr="00137E2E">
        <w:rPr>
          <w:spacing w:val="2"/>
          <w:lang w:val="de-CH"/>
        </w:rPr>
        <w:t>).</w:t>
      </w:r>
      <w:r w:rsidRPr="00137E2E">
        <w:rPr>
          <w:lang w:val="de-CH"/>
        </w:rPr>
        <w:t xml:space="preserve"> </w:t>
      </w:r>
    </w:p>
    <w:p w14:paraId="324C98FE" w14:textId="77777777" w:rsidR="00B032F1" w:rsidRPr="00137E2E" w:rsidRDefault="00CD751B" w:rsidP="00CD751B">
      <w:pPr>
        <w:pStyle w:val="Titre1"/>
        <w:jc w:val="both"/>
        <w:rPr>
          <w:lang w:val="de-CH"/>
        </w:rPr>
      </w:pPr>
      <w:bookmarkStart w:id="10" w:name="_Toc49330771"/>
      <w:r w:rsidRPr="00137E2E">
        <w:rPr>
          <w:lang w:val="de-CH"/>
        </w:rPr>
        <w:t>4. Kantonales Gesetzgebungsverfahren</w:t>
      </w:r>
      <w:bookmarkEnd w:id="10"/>
      <w:r w:rsidRPr="00137E2E">
        <w:rPr>
          <w:lang w:val="de-CH"/>
        </w:rPr>
        <w:t xml:space="preserve"> </w:t>
      </w:r>
    </w:p>
    <w:p w14:paraId="3F9620B0" w14:textId="369B51BA" w:rsidR="00D36E04" w:rsidRPr="00137E2E" w:rsidRDefault="00D36E04" w:rsidP="00D26BC1">
      <w:pPr>
        <w:pStyle w:val="06atexteprincipal"/>
        <w:spacing w:line="240" w:lineRule="auto"/>
        <w:jc w:val="both"/>
        <w:rPr>
          <w:spacing w:val="2"/>
          <w:lang w:val="de-CH" w:eastAsia="en-US"/>
        </w:rPr>
      </w:pPr>
      <w:r w:rsidRPr="00137E2E">
        <w:rPr>
          <w:spacing w:val="2"/>
          <w:lang w:val="de-CH"/>
        </w:rPr>
        <w:t>Im Kanton Freiburg werden die Bereiche Inkassohilfe und Bevorschussung von Unterhaltsbeiträgen im Be</w:t>
      </w:r>
      <w:r w:rsidR="00216406" w:rsidRPr="00137E2E">
        <w:rPr>
          <w:spacing w:val="2"/>
          <w:lang w:val="de-CH"/>
        </w:rPr>
        <w:t>schluss des Staatsrates vom 14. Dezember </w:t>
      </w:r>
      <w:r w:rsidRPr="00137E2E">
        <w:rPr>
          <w:spacing w:val="2"/>
          <w:lang w:val="de-CH"/>
        </w:rPr>
        <w:t>1993 über die Eintreibung von Unterhaltsforderungen und die Ausrichtung von Vorschüssen für den Unterhalt des Kindes, Ehegat</w:t>
      </w:r>
      <w:r w:rsidR="00216406" w:rsidRPr="00137E2E">
        <w:rPr>
          <w:spacing w:val="2"/>
          <w:lang w:val="de-CH"/>
        </w:rPr>
        <w:t>ten oder Ex-Ehegatten (EUB; SGF </w:t>
      </w:r>
      <w:r w:rsidRPr="00137E2E">
        <w:rPr>
          <w:spacing w:val="2"/>
          <w:lang w:val="de-CH"/>
        </w:rPr>
        <w:t xml:space="preserve">212.0.22) geregelt. </w:t>
      </w:r>
    </w:p>
    <w:p w14:paraId="3010315A" w14:textId="77777777" w:rsidR="00C900ED" w:rsidRPr="00137E2E" w:rsidRDefault="00C900ED">
      <w:pPr>
        <w:rPr>
          <w:rFonts w:ascii="Times New Roman" w:eastAsia="Times New Roman" w:hAnsi="Times New Roman" w:cs="Times New Roman"/>
          <w:spacing w:val="2"/>
          <w:sz w:val="24"/>
          <w:szCs w:val="24"/>
          <w:lang w:val="de-CH" w:eastAsia="fr-FR"/>
        </w:rPr>
      </w:pPr>
      <w:r w:rsidRPr="00137E2E">
        <w:rPr>
          <w:spacing w:val="2"/>
          <w:lang w:val="de-CH"/>
        </w:rPr>
        <w:br w:type="page"/>
      </w:r>
    </w:p>
    <w:p w14:paraId="7D70E6A9" w14:textId="252DC9BF" w:rsidR="006A3E0D" w:rsidRPr="00137E2E" w:rsidRDefault="00C900ED" w:rsidP="00D26BC1">
      <w:pPr>
        <w:pStyle w:val="06atexteprincipal"/>
        <w:spacing w:line="240" w:lineRule="auto"/>
        <w:jc w:val="both"/>
        <w:rPr>
          <w:spacing w:val="2"/>
          <w:lang w:val="de-CH" w:eastAsia="en-US"/>
        </w:rPr>
      </w:pPr>
      <w:r w:rsidRPr="00137E2E">
        <w:rPr>
          <w:spacing w:val="2"/>
          <w:lang w:val="de-CH"/>
        </w:rPr>
        <w:lastRenderedPageBreak/>
        <w:t>Als am 10. </w:t>
      </w:r>
      <w:r w:rsidR="006A3E0D" w:rsidRPr="00137E2E">
        <w:rPr>
          <w:spacing w:val="2"/>
          <w:lang w:val="de-CH"/>
        </w:rPr>
        <w:t>Februar</w:t>
      </w:r>
      <w:r w:rsidR="00FD7FEE" w:rsidRPr="00137E2E">
        <w:rPr>
          <w:spacing w:val="2"/>
          <w:lang w:val="de-CH"/>
        </w:rPr>
        <w:t> 20</w:t>
      </w:r>
      <w:r w:rsidR="006A3E0D" w:rsidRPr="00137E2E">
        <w:rPr>
          <w:spacing w:val="2"/>
          <w:lang w:val="de-CH"/>
        </w:rPr>
        <w:t>12 das revidierte EGZGB verabschiedet wurde, hatte der Grosse Rat die Bereiche Bevorschussung und Inkasso von Unterhaltsbeiträgen der Spezialgesetzgebung vorbehalten (</w:t>
      </w:r>
      <w:r w:rsidR="00216406" w:rsidRPr="00137E2E">
        <w:rPr>
          <w:spacing w:val="2"/>
          <w:lang w:val="de-CH"/>
        </w:rPr>
        <w:t>Art. </w:t>
      </w:r>
      <w:r w:rsidR="006A3E0D" w:rsidRPr="00137E2E">
        <w:rPr>
          <w:spacing w:val="2"/>
          <w:lang w:val="de-CH"/>
        </w:rPr>
        <w:t xml:space="preserve">2 </w:t>
      </w:r>
      <w:r w:rsidR="00216406" w:rsidRPr="00137E2E">
        <w:rPr>
          <w:spacing w:val="2"/>
          <w:lang w:val="de-CH"/>
        </w:rPr>
        <w:t>Abs. </w:t>
      </w:r>
      <w:r w:rsidR="006A3E0D" w:rsidRPr="00137E2E">
        <w:rPr>
          <w:spacing w:val="2"/>
          <w:lang w:val="de-CH"/>
        </w:rPr>
        <w:t xml:space="preserve">1 </w:t>
      </w:r>
      <w:r w:rsidR="00216406" w:rsidRPr="00137E2E">
        <w:rPr>
          <w:spacing w:val="2"/>
          <w:lang w:val="de-CH"/>
        </w:rPr>
        <w:t>Bst. </w:t>
      </w:r>
      <w:r w:rsidR="006A3E0D" w:rsidRPr="00137E2E">
        <w:rPr>
          <w:spacing w:val="2"/>
          <w:lang w:val="de-CH"/>
        </w:rPr>
        <w:t>d), wobei die Bestimmungen des EUB bis zum Inkrafttreten des kantonalen Gesetzes über Eintreibung und Bevorschussung von Unterhaltsbeiträgen weiter gelten sollten (</w:t>
      </w:r>
      <w:r w:rsidR="00216406" w:rsidRPr="00137E2E">
        <w:rPr>
          <w:spacing w:val="2"/>
          <w:lang w:val="de-CH"/>
        </w:rPr>
        <w:t>Art. </w:t>
      </w:r>
      <w:r w:rsidR="006A3E0D" w:rsidRPr="00137E2E">
        <w:rPr>
          <w:spacing w:val="2"/>
          <w:lang w:val="de-CH"/>
        </w:rPr>
        <w:t xml:space="preserve">89 </w:t>
      </w:r>
      <w:r w:rsidR="00216406" w:rsidRPr="00137E2E">
        <w:rPr>
          <w:spacing w:val="2"/>
          <w:lang w:val="de-CH"/>
        </w:rPr>
        <w:t>Abs. </w:t>
      </w:r>
      <w:r w:rsidR="006A3E0D" w:rsidRPr="00137E2E">
        <w:rPr>
          <w:spacing w:val="2"/>
          <w:lang w:val="de-CH"/>
        </w:rPr>
        <w:t xml:space="preserve">2 </w:t>
      </w:r>
      <w:r w:rsidR="00216406" w:rsidRPr="00137E2E">
        <w:rPr>
          <w:spacing w:val="2"/>
          <w:lang w:val="de-CH"/>
        </w:rPr>
        <w:t>Bst. </w:t>
      </w:r>
      <w:r w:rsidR="006A3E0D" w:rsidRPr="00137E2E">
        <w:rPr>
          <w:spacing w:val="2"/>
          <w:lang w:val="de-CH"/>
        </w:rPr>
        <w:t xml:space="preserve">a). </w:t>
      </w:r>
    </w:p>
    <w:p w14:paraId="6F4DE2B8" w14:textId="2CF9BCF9" w:rsidR="00772418" w:rsidRPr="00137E2E" w:rsidRDefault="00772418" w:rsidP="00D26BC1">
      <w:pPr>
        <w:pStyle w:val="06atexteprincipal"/>
        <w:spacing w:line="240" w:lineRule="auto"/>
        <w:jc w:val="both"/>
        <w:rPr>
          <w:spacing w:val="2"/>
          <w:lang w:val="de-CH" w:eastAsia="en-US"/>
        </w:rPr>
      </w:pPr>
      <w:r w:rsidRPr="00137E2E">
        <w:rPr>
          <w:spacing w:val="2"/>
          <w:lang w:val="de-CH"/>
        </w:rPr>
        <w:t>Die Anpassungsarbeiten am EUB waren im Laufe</w:t>
      </w:r>
      <w:r w:rsidR="00FD7FEE" w:rsidRPr="00137E2E">
        <w:rPr>
          <w:spacing w:val="2"/>
          <w:lang w:val="de-CH"/>
        </w:rPr>
        <w:t> 20</w:t>
      </w:r>
      <w:r w:rsidRPr="00137E2E">
        <w:rPr>
          <w:spacing w:val="2"/>
          <w:lang w:val="de-CH"/>
        </w:rPr>
        <w:t xml:space="preserve">09 gestartet, wurden jedoch in der Folge in Erwartung der Änderung des Kindesunterhaltsrechts und der Verabschiedung von schweizweit einheitlichen Regeln für die Inkassohilfe </w:t>
      </w:r>
      <w:r w:rsidR="00E72B81" w:rsidRPr="00137E2E">
        <w:rPr>
          <w:spacing w:val="2"/>
          <w:lang w:val="de-CH"/>
        </w:rPr>
        <w:t>unterbrochen</w:t>
      </w:r>
      <w:r w:rsidRPr="00137E2E">
        <w:rPr>
          <w:spacing w:val="2"/>
          <w:lang w:val="de-CH"/>
        </w:rPr>
        <w:t xml:space="preserve">. </w:t>
      </w:r>
    </w:p>
    <w:p w14:paraId="19FF9A77" w14:textId="4267F583" w:rsidR="00772418" w:rsidRPr="00137E2E" w:rsidRDefault="00216406" w:rsidP="00D26BC1">
      <w:pPr>
        <w:pStyle w:val="06atexteprincipal"/>
        <w:spacing w:line="240" w:lineRule="auto"/>
        <w:jc w:val="both"/>
        <w:rPr>
          <w:spacing w:val="2"/>
          <w:lang w:val="de-CH" w:eastAsia="en-US"/>
        </w:rPr>
      </w:pPr>
      <w:r w:rsidRPr="00137E2E">
        <w:rPr>
          <w:spacing w:val="2"/>
          <w:lang w:val="de-CH"/>
        </w:rPr>
        <w:t>Am 16. </w:t>
      </w:r>
      <w:r w:rsidR="006A3E0D" w:rsidRPr="00137E2E">
        <w:rPr>
          <w:spacing w:val="2"/>
          <w:lang w:val="de-CH"/>
        </w:rPr>
        <w:t>Oktober</w:t>
      </w:r>
      <w:r w:rsidR="00FD7FEE" w:rsidRPr="00137E2E">
        <w:rPr>
          <w:spacing w:val="2"/>
          <w:lang w:val="de-CH"/>
        </w:rPr>
        <w:t> 20</w:t>
      </w:r>
      <w:r w:rsidR="006A3E0D" w:rsidRPr="00137E2E">
        <w:rPr>
          <w:spacing w:val="2"/>
          <w:lang w:val="de-CH"/>
        </w:rPr>
        <w:t>19 hat der Grosse Rat die Motion der Grossräte Moussa und Morel verabschiedet, die vom Staatsrat eine Änderung des EGZGB verlangte</w:t>
      </w:r>
      <w:r w:rsidR="00E72B81" w:rsidRPr="00137E2E">
        <w:rPr>
          <w:spacing w:val="2"/>
          <w:lang w:val="de-CH"/>
        </w:rPr>
        <w:t>n</w:t>
      </w:r>
      <w:r w:rsidR="006A3E0D" w:rsidRPr="00137E2E">
        <w:rPr>
          <w:spacing w:val="2"/>
          <w:lang w:val="de-CH"/>
        </w:rPr>
        <w:t>; zum einen sollte der Betrag und die Modalitäten der Ausrichtung von Unterhaltsvorschüssen zugunsten der Kinder, der Ehegatten und der Ex-Ehegatten direkt darin festgelegt werden, zum anderen sollte der Höchstbetrag des Vorschusses für das jüngste Kind auf monatlich 650</w:t>
      </w:r>
      <w:r w:rsidR="00FD7FEE" w:rsidRPr="00137E2E">
        <w:rPr>
          <w:spacing w:val="2"/>
          <w:lang w:val="de-CH"/>
        </w:rPr>
        <w:t> Franken</w:t>
      </w:r>
      <w:r w:rsidR="006A3E0D" w:rsidRPr="00137E2E">
        <w:rPr>
          <w:spacing w:val="2"/>
          <w:lang w:val="de-CH"/>
        </w:rPr>
        <w:t xml:space="preserve"> erhöht werden, wenn die Mutter oder der Vater keinen Beitrag bezieht. </w:t>
      </w:r>
      <w:r w:rsidR="006E629F">
        <w:rPr>
          <w:spacing w:val="2"/>
          <w:lang w:val="de-CH"/>
        </w:rPr>
        <w:t xml:space="preserve">Der Entwurf entspricht diesem Vorstoss. </w:t>
      </w:r>
    </w:p>
    <w:p w14:paraId="7DD5972D" w14:textId="77777777" w:rsidR="00772418" w:rsidRPr="00137E2E" w:rsidRDefault="00CD751B" w:rsidP="00D26BC1">
      <w:pPr>
        <w:pStyle w:val="Titre1"/>
        <w:jc w:val="both"/>
        <w:rPr>
          <w:lang w:val="de-CH"/>
        </w:rPr>
      </w:pPr>
      <w:bookmarkStart w:id="11" w:name="_Toc49330772"/>
      <w:r w:rsidRPr="00137E2E">
        <w:rPr>
          <w:lang w:val="de-CH"/>
        </w:rPr>
        <w:t>5. Notwendigkeit eines separaten Gesetzes</w:t>
      </w:r>
      <w:bookmarkEnd w:id="11"/>
      <w:r w:rsidRPr="00137E2E">
        <w:rPr>
          <w:lang w:val="de-CH"/>
        </w:rPr>
        <w:t xml:space="preserve"> </w:t>
      </w:r>
    </w:p>
    <w:p w14:paraId="2A7C3DB7" w14:textId="1F935309" w:rsidR="006E629F" w:rsidRDefault="001F6B6C" w:rsidP="00D26BC1">
      <w:pPr>
        <w:pStyle w:val="06atexteprincipal"/>
        <w:spacing w:line="240" w:lineRule="auto"/>
        <w:jc w:val="both"/>
        <w:rPr>
          <w:spacing w:val="2"/>
          <w:lang w:val="de-CH"/>
        </w:rPr>
      </w:pPr>
      <w:r w:rsidRPr="00137E2E">
        <w:rPr>
          <w:spacing w:val="2"/>
          <w:lang w:val="de-CH"/>
        </w:rPr>
        <w:t xml:space="preserve">Der Gesetzgeber von 2012 hat den Bereich der Inkassohilfe und der Bevorschussung von Unterhaltsbeiträgen der Spezialgesetzgebung vorbehalten. </w:t>
      </w:r>
      <w:r w:rsidR="006E629F">
        <w:rPr>
          <w:spacing w:val="2"/>
          <w:lang w:val="de-CH"/>
        </w:rPr>
        <w:t>Um de</w:t>
      </w:r>
      <w:r w:rsidR="00EE1FFC">
        <w:rPr>
          <w:spacing w:val="2"/>
          <w:lang w:val="de-CH"/>
        </w:rPr>
        <w:t>m</w:t>
      </w:r>
      <w:r w:rsidR="006E629F">
        <w:rPr>
          <w:spacing w:val="2"/>
          <w:lang w:val="de-CH"/>
        </w:rPr>
        <w:t xml:space="preserve"> </w:t>
      </w:r>
      <w:r w:rsidR="00EE1FFC">
        <w:rPr>
          <w:spacing w:val="2"/>
          <w:lang w:val="de-CH"/>
        </w:rPr>
        <w:t>ursprünglichen</w:t>
      </w:r>
      <w:r w:rsidR="006E629F">
        <w:rPr>
          <w:spacing w:val="2"/>
          <w:lang w:val="de-CH"/>
        </w:rPr>
        <w:t xml:space="preserve"> Auftrag des Gesetzgebers</w:t>
      </w:r>
      <w:r w:rsidR="00EE1FFC">
        <w:rPr>
          <w:spacing w:val="2"/>
          <w:lang w:val="de-CH"/>
        </w:rPr>
        <w:t xml:space="preserve"> gerecht zu werden</w:t>
      </w:r>
      <w:r w:rsidR="006E629F">
        <w:rPr>
          <w:spacing w:val="2"/>
          <w:lang w:val="de-CH"/>
        </w:rPr>
        <w:t xml:space="preserve">, zieht der Staatsrat </w:t>
      </w:r>
      <w:r w:rsidR="00D26FE8">
        <w:rPr>
          <w:spacing w:val="2"/>
          <w:lang w:val="de-CH"/>
        </w:rPr>
        <w:t>das</w:t>
      </w:r>
      <w:r w:rsidR="006E629F">
        <w:rPr>
          <w:spacing w:val="2"/>
          <w:lang w:val="de-CH"/>
        </w:rPr>
        <w:t xml:space="preserve"> Spezialgesetz </w:t>
      </w:r>
      <w:r w:rsidR="00D26FE8">
        <w:rPr>
          <w:spacing w:val="2"/>
          <w:lang w:val="de-CH"/>
        </w:rPr>
        <w:t>einer</w:t>
      </w:r>
      <w:r w:rsidR="006E629F">
        <w:rPr>
          <w:spacing w:val="2"/>
          <w:lang w:val="de-CH"/>
        </w:rPr>
        <w:t xml:space="preserve"> </w:t>
      </w:r>
      <w:r w:rsidR="006E629F" w:rsidRPr="00137E2E">
        <w:rPr>
          <w:spacing w:val="2"/>
          <w:lang w:val="de-CH"/>
        </w:rPr>
        <w:t>Änderung des EGZGB</w:t>
      </w:r>
      <w:r w:rsidR="006E629F">
        <w:rPr>
          <w:spacing w:val="2"/>
          <w:lang w:val="de-CH"/>
        </w:rPr>
        <w:t xml:space="preserve">, wie sie von den Motionären </w:t>
      </w:r>
      <w:r w:rsidR="00EE1FFC">
        <w:rPr>
          <w:spacing w:val="2"/>
          <w:lang w:val="de-CH"/>
        </w:rPr>
        <w:t>verlangt</w:t>
      </w:r>
      <w:r w:rsidR="006E629F">
        <w:rPr>
          <w:spacing w:val="2"/>
          <w:lang w:val="de-CH"/>
        </w:rPr>
        <w:t xml:space="preserve"> wird, vor. </w:t>
      </w:r>
    </w:p>
    <w:p w14:paraId="17B1D5EE" w14:textId="77777777" w:rsidR="00883179" w:rsidRPr="00137E2E" w:rsidRDefault="00CD751B" w:rsidP="00D26BC1">
      <w:pPr>
        <w:pStyle w:val="Titre1"/>
        <w:jc w:val="both"/>
        <w:rPr>
          <w:lang w:val="de-CH"/>
        </w:rPr>
      </w:pPr>
      <w:bookmarkStart w:id="12" w:name="_Toc49330773"/>
      <w:r w:rsidRPr="00137E2E">
        <w:rPr>
          <w:lang w:val="de-CH"/>
        </w:rPr>
        <w:t>6. Erläuterung nach Artikeln</w:t>
      </w:r>
      <w:bookmarkEnd w:id="12"/>
      <w:r w:rsidRPr="00137E2E">
        <w:rPr>
          <w:lang w:val="de-CH"/>
        </w:rPr>
        <w:t xml:space="preserve"> </w:t>
      </w:r>
    </w:p>
    <w:p w14:paraId="1C68D378" w14:textId="77777777" w:rsidR="00883179" w:rsidRPr="00137E2E" w:rsidRDefault="00734967" w:rsidP="00D26BC1">
      <w:pPr>
        <w:pStyle w:val="Titre2"/>
        <w:jc w:val="both"/>
        <w:rPr>
          <w:lang w:val="de-CH"/>
        </w:rPr>
      </w:pPr>
      <w:bookmarkStart w:id="13" w:name="_Toc49330774"/>
      <w:r w:rsidRPr="00137E2E">
        <w:rPr>
          <w:lang w:val="de-CH"/>
        </w:rPr>
        <w:t>1 Allgemeine Bestimmungen</w:t>
      </w:r>
      <w:bookmarkEnd w:id="13"/>
      <w:r w:rsidRPr="00137E2E">
        <w:rPr>
          <w:lang w:val="de-CH"/>
        </w:rPr>
        <w:t xml:space="preserve"> </w:t>
      </w:r>
    </w:p>
    <w:p w14:paraId="7C856B6C" w14:textId="77777777" w:rsidR="00883179" w:rsidRPr="00137E2E" w:rsidRDefault="009B46D1" w:rsidP="00D26BC1">
      <w:pPr>
        <w:numPr>
          <w:ilvl w:val="0"/>
          <w:numId w:val="40"/>
        </w:numPr>
        <w:spacing w:after="180" w:line="240" w:lineRule="auto"/>
        <w:ind w:left="646" w:hanging="646"/>
        <w:contextualSpacing/>
        <w:jc w:val="both"/>
        <w:rPr>
          <w:rFonts w:ascii="Times New Roman" w:hAnsi="Times New Roman" w:cs="Times New Roman"/>
          <w:b/>
          <w:sz w:val="24"/>
          <w:szCs w:val="24"/>
          <w:lang w:val="de-CH"/>
        </w:rPr>
      </w:pPr>
      <w:r w:rsidRPr="00137E2E">
        <w:rPr>
          <w:rFonts w:ascii="Times New Roman" w:hAnsi="Times New Roman" w:cs="Times New Roman"/>
          <w:b/>
          <w:sz w:val="24"/>
          <w:lang w:val="de-CH"/>
        </w:rPr>
        <w:t xml:space="preserve">Ziel </w:t>
      </w:r>
    </w:p>
    <w:p w14:paraId="2576FD5B" w14:textId="523097F9" w:rsidR="00C56C1E" w:rsidRPr="00137E2E" w:rsidRDefault="004F1628" w:rsidP="00D26BC1">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Ab de</w:t>
      </w:r>
      <w:r w:rsidR="00216406" w:rsidRPr="00137E2E">
        <w:rPr>
          <w:rFonts w:ascii="Times New Roman" w:hAnsi="Times New Roman" w:cs="Times New Roman"/>
          <w:sz w:val="24"/>
          <w:lang w:val="de-CH"/>
        </w:rPr>
        <w:t>m Inkrafttreten der InkHV am 1. </w:t>
      </w:r>
      <w:r w:rsidRPr="00137E2E">
        <w:rPr>
          <w:rFonts w:ascii="Times New Roman" w:hAnsi="Times New Roman" w:cs="Times New Roman"/>
          <w:sz w:val="24"/>
          <w:lang w:val="de-CH"/>
        </w:rPr>
        <w:t>Januar</w:t>
      </w:r>
      <w:r w:rsidR="00FD7FEE" w:rsidRPr="00137E2E">
        <w:rPr>
          <w:rFonts w:ascii="Times New Roman" w:hAnsi="Times New Roman" w:cs="Times New Roman"/>
          <w:sz w:val="24"/>
          <w:lang w:val="de-CH"/>
        </w:rPr>
        <w:t> 20</w:t>
      </w:r>
      <w:r w:rsidRPr="00137E2E">
        <w:rPr>
          <w:rFonts w:ascii="Times New Roman" w:hAnsi="Times New Roman" w:cs="Times New Roman"/>
          <w:sz w:val="24"/>
          <w:lang w:val="de-CH"/>
        </w:rPr>
        <w:t xml:space="preserve">22 </w:t>
      </w:r>
      <w:r w:rsidR="00EE1FFC">
        <w:rPr>
          <w:rFonts w:ascii="Times New Roman" w:hAnsi="Times New Roman" w:cs="Times New Roman"/>
          <w:sz w:val="24"/>
          <w:lang w:val="de-CH"/>
        </w:rPr>
        <w:t>richtet</w:t>
      </w:r>
      <w:r w:rsidR="00EE1FFC" w:rsidRPr="00137E2E">
        <w:rPr>
          <w:rFonts w:ascii="Times New Roman" w:hAnsi="Times New Roman" w:cs="Times New Roman"/>
          <w:sz w:val="24"/>
          <w:lang w:val="de-CH"/>
        </w:rPr>
        <w:t xml:space="preserve"> </w:t>
      </w:r>
      <w:r w:rsidRPr="00137E2E">
        <w:rPr>
          <w:rFonts w:ascii="Times New Roman" w:hAnsi="Times New Roman" w:cs="Times New Roman"/>
          <w:sz w:val="24"/>
          <w:lang w:val="de-CH"/>
        </w:rPr>
        <w:t xml:space="preserve">sich der Inkassobereich nach dem Bundesrecht. Das neue kantonale Gesetz </w:t>
      </w:r>
      <w:r w:rsidR="00EE1FFC">
        <w:rPr>
          <w:rFonts w:ascii="Times New Roman" w:hAnsi="Times New Roman" w:cs="Times New Roman"/>
          <w:sz w:val="24"/>
          <w:lang w:val="de-CH"/>
        </w:rPr>
        <w:t>umfasst</w:t>
      </w:r>
      <w:r w:rsidR="00EE1FFC" w:rsidRPr="00137E2E">
        <w:rPr>
          <w:rFonts w:ascii="Times New Roman" w:hAnsi="Times New Roman" w:cs="Times New Roman"/>
          <w:sz w:val="24"/>
          <w:lang w:val="de-CH"/>
        </w:rPr>
        <w:t xml:space="preserve"> </w:t>
      </w:r>
      <w:r w:rsidRPr="00137E2E">
        <w:rPr>
          <w:rFonts w:ascii="Times New Roman" w:hAnsi="Times New Roman" w:cs="Times New Roman"/>
          <w:sz w:val="24"/>
          <w:lang w:val="de-CH"/>
        </w:rPr>
        <w:t xml:space="preserve">somit hauptsächlich Regeln über die Bevorschussung der Unterhaltsbeiträge sowie ein paar Bestimmungen über die Eintreibung. Darüber hinaus wird die Umsetzung der Bundesverordnung in der Ausführungsregelung erfolgen. </w:t>
      </w:r>
    </w:p>
    <w:p w14:paraId="60E24DEB" w14:textId="055CCF8E" w:rsidR="009B46D1" w:rsidRPr="00137E2E" w:rsidRDefault="00A04EC9" w:rsidP="00D26BC1">
      <w:pPr>
        <w:numPr>
          <w:ilvl w:val="0"/>
          <w:numId w:val="40"/>
        </w:numPr>
        <w:spacing w:line="240" w:lineRule="auto"/>
        <w:ind w:left="644" w:hanging="644"/>
        <w:contextualSpacing/>
        <w:jc w:val="both"/>
        <w:rPr>
          <w:rFonts w:ascii="Times New Roman" w:hAnsi="Times New Roman" w:cs="Times New Roman"/>
          <w:b/>
          <w:sz w:val="24"/>
          <w:szCs w:val="24"/>
          <w:lang w:val="de-CH"/>
        </w:rPr>
      </w:pPr>
      <w:r w:rsidRPr="00137E2E">
        <w:rPr>
          <w:rFonts w:ascii="Times New Roman" w:hAnsi="Times New Roman" w:cs="Times New Roman"/>
          <w:b/>
          <w:sz w:val="24"/>
          <w:lang w:val="de-CH"/>
        </w:rPr>
        <w:t xml:space="preserve">Unterhaltsberechtigte Personen </w:t>
      </w:r>
    </w:p>
    <w:p w14:paraId="64D4239C" w14:textId="23E1AC70" w:rsidR="004373EA" w:rsidRPr="00137E2E" w:rsidRDefault="00216406" w:rsidP="00D26BC1">
      <w:pPr>
        <w:spacing w:line="240" w:lineRule="auto"/>
        <w:jc w:val="both"/>
        <w:rPr>
          <w:rFonts w:ascii="Times New Roman" w:hAnsi="Times New Roman" w:cs="Times New Roman"/>
          <w:sz w:val="24"/>
          <w:szCs w:val="24"/>
          <w:lang w:val="de-CH"/>
        </w:rPr>
      </w:pPr>
      <w:r w:rsidRPr="00137E2E">
        <w:rPr>
          <w:rFonts w:ascii="Times New Roman" w:hAnsi="Times New Roman" w:cs="Times New Roman"/>
          <w:i/>
          <w:sz w:val="24"/>
          <w:lang w:val="de-CH"/>
        </w:rPr>
        <w:t>Absatz </w:t>
      </w:r>
      <w:r w:rsidR="004373EA" w:rsidRPr="00137E2E">
        <w:rPr>
          <w:rFonts w:ascii="Times New Roman" w:hAnsi="Times New Roman" w:cs="Times New Roman"/>
          <w:i/>
          <w:sz w:val="24"/>
          <w:lang w:val="de-CH"/>
        </w:rPr>
        <w:t>1:</w:t>
      </w:r>
      <w:r w:rsidR="004373EA" w:rsidRPr="00137E2E">
        <w:rPr>
          <w:rFonts w:ascii="Times New Roman" w:hAnsi="Times New Roman" w:cs="Times New Roman"/>
          <w:sz w:val="24"/>
          <w:lang w:val="de-CH"/>
        </w:rPr>
        <w:t xml:space="preserve"> Die Bevorschussung von Unterhaltsbeiträgen richtet sich an minder- und volljährige Kinder, wobei Letztere in Ausbildung sein müssen, in Übereinstimmung mit dem Bundeszivilrecht (</w:t>
      </w:r>
      <w:r w:rsidRPr="00137E2E">
        <w:rPr>
          <w:rFonts w:ascii="Times New Roman" w:hAnsi="Times New Roman" w:cs="Times New Roman"/>
          <w:sz w:val="24"/>
          <w:lang w:val="de-CH"/>
        </w:rPr>
        <w:t>Art. </w:t>
      </w:r>
      <w:r w:rsidR="004373EA" w:rsidRPr="00137E2E">
        <w:rPr>
          <w:rFonts w:ascii="Times New Roman" w:hAnsi="Times New Roman" w:cs="Times New Roman"/>
          <w:sz w:val="24"/>
          <w:lang w:val="de-CH"/>
        </w:rPr>
        <w:t xml:space="preserve">277 </w:t>
      </w:r>
      <w:r w:rsidRPr="00137E2E">
        <w:rPr>
          <w:rFonts w:ascii="Times New Roman" w:hAnsi="Times New Roman" w:cs="Times New Roman"/>
          <w:sz w:val="24"/>
          <w:lang w:val="de-CH"/>
        </w:rPr>
        <w:t>Abs. </w:t>
      </w:r>
      <w:r w:rsidR="004373EA" w:rsidRPr="00137E2E">
        <w:rPr>
          <w:rFonts w:ascii="Times New Roman" w:hAnsi="Times New Roman" w:cs="Times New Roman"/>
          <w:sz w:val="24"/>
          <w:lang w:val="de-CH"/>
        </w:rPr>
        <w:t xml:space="preserve">2 ZGB). </w:t>
      </w:r>
    </w:p>
    <w:p w14:paraId="3966FF73" w14:textId="02BE3D4A" w:rsidR="0041607F" w:rsidRPr="00137E2E" w:rsidRDefault="00C6069E" w:rsidP="00D26BC1">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Der Staatsrat schlägt die Abschaffung der Bevorschussung von Unterhaltsbeiträgen zugunsten von Ehegatten bzw. Ex-Ehegatten oder Partnerinnen und Partnern bzw. Ex-Partnerinnen und Ex-Partnern bei einer eingetragenen Partne</w:t>
      </w:r>
      <w:r w:rsidR="00216406" w:rsidRPr="00137E2E">
        <w:rPr>
          <w:rFonts w:ascii="Times New Roman" w:hAnsi="Times New Roman" w:cs="Times New Roman"/>
          <w:sz w:val="24"/>
          <w:lang w:val="de-CH"/>
        </w:rPr>
        <w:t>rschaft abzuschaffen vor. Am 1. </w:t>
      </w:r>
      <w:r w:rsidRPr="00137E2E">
        <w:rPr>
          <w:rFonts w:ascii="Times New Roman" w:hAnsi="Times New Roman" w:cs="Times New Roman"/>
          <w:sz w:val="24"/>
          <w:lang w:val="de-CH"/>
        </w:rPr>
        <w:t>Januar</w:t>
      </w:r>
      <w:r w:rsidR="00FD7FEE" w:rsidRPr="00137E2E">
        <w:rPr>
          <w:rFonts w:ascii="Times New Roman" w:hAnsi="Times New Roman" w:cs="Times New Roman"/>
          <w:sz w:val="24"/>
          <w:lang w:val="de-CH"/>
        </w:rPr>
        <w:t> 20</w:t>
      </w:r>
      <w:r w:rsidRPr="00137E2E">
        <w:rPr>
          <w:rFonts w:ascii="Times New Roman" w:hAnsi="Times New Roman" w:cs="Times New Roman"/>
          <w:sz w:val="24"/>
          <w:lang w:val="de-CH"/>
        </w:rPr>
        <w:t>17 ist der geänderte Unterhaltsanspruch in Kraft getreten, wodurch eine neue Art der Berechnung der Beiträge zugunsten des Kindes eingeführt wurde: Seither sind die Kosten für die Betreuung des Kindes (indirekte Kosten) fester Bestandteil des ausschl</w:t>
      </w:r>
      <w:r w:rsidR="0048409D" w:rsidRPr="00137E2E">
        <w:rPr>
          <w:rFonts w:ascii="Times New Roman" w:hAnsi="Times New Roman" w:cs="Times New Roman"/>
          <w:sz w:val="24"/>
          <w:lang w:val="de-CH"/>
        </w:rPr>
        <w:t>iesslich dem Kinde zugute</w:t>
      </w:r>
      <w:r w:rsidRPr="00137E2E">
        <w:rPr>
          <w:rFonts w:ascii="Times New Roman" w:hAnsi="Times New Roman" w:cs="Times New Roman"/>
          <w:sz w:val="24"/>
          <w:lang w:val="de-CH"/>
        </w:rPr>
        <w:t>kommenden Unterhaltsbeitrags (</w:t>
      </w:r>
      <w:r w:rsidR="00216406" w:rsidRPr="00137E2E">
        <w:rPr>
          <w:rFonts w:ascii="Times New Roman" w:hAnsi="Times New Roman" w:cs="Times New Roman"/>
          <w:sz w:val="24"/>
          <w:lang w:val="de-CH"/>
        </w:rPr>
        <w:t>Art. </w:t>
      </w:r>
      <w:r w:rsidRPr="00137E2E">
        <w:rPr>
          <w:rFonts w:ascii="Times New Roman" w:hAnsi="Times New Roman" w:cs="Times New Roman"/>
          <w:sz w:val="24"/>
          <w:lang w:val="de-CH"/>
        </w:rPr>
        <w:t xml:space="preserve">285 </w:t>
      </w:r>
      <w:r w:rsidR="00216406" w:rsidRPr="00137E2E">
        <w:rPr>
          <w:rFonts w:ascii="Times New Roman" w:hAnsi="Times New Roman" w:cs="Times New Roman"/>
          <w:sz w:val="24"/>
          <w:lang w:val="de-CH"/>
        </w:rPr>
        <w:t>Abs. </w:t>
      </w:r>
      <w:r w:rsidRPr="00137E2E">
        <w:rPr>
          <w:rFonts w:ascii="Times New Roman" w:hAnsi="Times New Roman" w:cs="Times New Roman"/>
          <w:sz w:val="24"/>
          <w:lang w:val="de-CH"/>
        </w:rPr>
        <w:t xml:space="preserve">2 ZGB). Bei einer Scheidung hat </w:t>
      </w:r>
      <w:r w:rsidR="00E35F1C" w:rsidRPr="00137E2E">
        <w:rPr>
          <w:rFonts w:ascii="Times New Roman" w:hAnsi="Times New Roman" w:cs="Times New Roman"/>
          <w:sz w:val="24"/>
          <w:lang w:val="de-CH"/>
        </w:rPr>
        <w:t xml:space="preserve">die </w:t>
      </w:r>
      <w:r w:rsidRPr="00137E2E">
        <w:rPr>
          <w:rFonts w:ascii="Times New Roman" w:hAnsi="Times New Roman" w:cs="Times New Roman"/>
          <w:sz w:val="24"/>
          <w:lang w:val="de-CH"/>
        </w:rPr>
        <w:t xml:space="preserve">unterhaltspflichtige </w:t>
      </w:r>
      <w:r w:rsidR="00E35F1C" w:rsidRPr="00137E2E">
        <w:rPr>
          <w:rFonts w:ascii="Times New Roman" w:hAnsi="Times New Roman" w:cs="Times New Roman"/>
          <w:sz w:val="24"/>
          <w:lang w:val="de-CH"/>
        </w:rPr>
        <w:t xml:space="preserve">Person </w:t>
      </w:r>
      <w:r w:rsidRPr="00137E2E">
        <w:rPr>
          <w:rFonts w:ascii="Times New Roman" w:hAnsi="Times New Roman" w:cs="Times New Roman"/>
          <w:sz w:val="24"/>
          <w:lang w:val="de-CH"/>
        </w:rPr>
        <w:t xml:space="preserve">nach der Entrichtung des Unterhaltsbeitrags zugunsten des Kindes oftmals nicht mehr genug Geld übrig, um noch zum Unterhalt der Ex-Ehegattin oder des Ex-Ehegatten beizutragen. Aus diesem Grund hat der obhutsberechtigte Elternteil keinen Anspruch mehr auf einen </w:t>
      </w:r>
      <w:r w:rsidRPr="00137E2E">
        <w:rPr>
          <w:rFonts w:ascii="Times New Roman" w:hAnsi="Times New Roman" w:cs="Times New Roman"/>
          <w:sz w:val="24"/>
          <w:lang w:val="de-CH"/>
        </w:rPr>
        <w:lastRenderedPageBreak/>
        <w:t xml:space="preserve">Unterhaltsbeitrag für sich selbst; das ist sehr regelmässig bei Scheidungen der Fall, wo die Beteiligten keine hohen Einkommen erzielen (soll heissen: die grosse Mehrheit der Fälle, in denen der obhutsberechtigte Elternteil die Entrichtung der Bevorschussung einfordern kann). Die Anzahl Scheidungen, in denen dem Ex-Ehegatten ein Unterhaltsbeitrag zugesprochen wird, ist schon rückläufig, seit im </w:t>
      </w:r>
      <w:r w:rsidR="00FD7FEE" w:rsidRPr="00137E2E">
        <w:rPr>
          <w:rFonts w:ascii="Times New Roman" w:hAnsi="Times New Roman" w:cs="Times New Roman"/>
          <w:sz w:val="24"/>
          <w:lang w:val="de-CH"/>
        </w:rPr>
        <w:t>Jahr</w:t>
      </w:r>
      <w:r w:rsidR="00216406" w:rsidRPr="00137E2E">
        <w:rPr>
          <w:rFonts w:ascii="Times New Roman" w:hAnsi="Times New Roman" w:cs="Times New Roman"/>
          <w:sz w:val="24"/>
          <w:lang w:val="de-CH"/>
        </w:rPr>
        <w:t> </w:t>
      </w:r>
      <w:r w:rsidRPr="00137E2E">
        <w:rPr>
          <w:rFonts w:ascii="Times New Roman" w:hAnsi="Times New Roman" w:cs="Times New Roman"/>
          <w:sz w:val="24"/>
          <w:lang w:val="de-CH"/>
        </w:rPr>
        <w:t xml:space="preserve">2000 das neue Scheidungsrecht in Kraft getreten ist. Dieses konkretisierte nämlich nebst dem Grundsatz der ehelichen Solidarität auch das sogenannte </w:t>
      </w:r>
      <w:r w:rsidRPr="00137E2E">
        <w:rPr>
          <w:rFonts w:ascii="Times New Roman" w:hAnsi="Times New Roman" w:cs="Times New Roman"/>
          <w:i/>
          <w:sz w:val="24"/>
          <w:lang w:val="de-CH"/>
        </w:rPr>
        <w:t>clean break-Prinzip</w:t>
      </w:r>
      <w:r w:rsidRPr="00137E2E">
        <w:rPr>
          <w:rFonts w:ascii="Times New Roman" w:hAnsi="Times New Roman" w:cs="Times New Roman"/>
          <w:sz w:val="24"/>
          <w:lang w:val="de-CH"/>
        </w:rPr>
        <w:t xml:space="preserve">, wonach nach der Scheidung ‒ soweit möglich ‒ jeder Ehegatte für seine Versorgung verantwortlich ist und ihm der Übergang in die eigene wirtschaftliche Selbstständigkeit erleichtert werden muss. Die Änderung des Unterhaltsanspruchs von 2017 hat diesen Trend lediglich verstärkt. </w:t>
      </w:r>
    </w:p>
    <w:p w14:paraId="3F62A835" w14:textId="0C06FE02" w:rsidR="009A5B93" w:rsidRPr="00137E2E" w:rsidRDefault="009A5B93" w:rsidP="00D26BC1">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Nur fünf Kantone eröffnen noch einen Anspruch auf Bevorschussung von Unterhaltsbeiträgen zugunsten von Ehegatten und Ex-Ehegatten</w:t>
      </w:r>
      <w:r w:rsidR="00E35F1C" w:rsidRPr="00137E2E">
        <w:rPr>
          <w:rFonts w:ascii="Times New Roman" w:hAnsi="Times New Roman" w:cs="Times New Roman"/>
          <w:sz w:val="24"/>
          <w:lang w:val="de-CH"/>
        </w:rPr>
        <w:t>, nämlich di</w:t>
      </w:r>
      <w:r w:rsidRPr="00137E2E">
        <w:rPr>
          <w:rFonts w:ascii="Times New Roman" w:hAnsi="Times New Roman" w:cs="Times New Roman"/>
          <w:sz w:val="24"/>
          <w:lang w:val="de-CH"/>
        </w:rPr>
        <w:t xml:space="preserve">e Kantone Genf, Jura, Neuenburg, Wallis und Zug. </w:t>
      </w:r>
      <w:r w:rsidR="00E35F1C" w:rsidRPr="00137E2E">
        <w:rPr>
          <w:rFonts w:ascii="Times New Roman" w:hAnsi="Times New Roman" w:cs="Times New Roman"/>
          <w:sz w:val="24"/>
          <w:lang w:val="de-CH"/>
        </w:rPr>
        <w:t xml:space="preserve">Genf und Zug </w:t>
      </w:r>
      <w:r w:rsidRPr="00137E2E">
        <w:rPr>
          <w:rFonts w:ascii="Times New Roman" w:hAnsi="Times New Roman" w:cs="Times New Roman"/>
          <w:sz w:val="24"/>
          <w:lang w:val="de-CH"/>
        </w:rPr>
        <w:t xml:space="preserve">jedoch nur, wenn die Ehegatten und Ex-Ehegatten </w:t>
      </w:r>
      <w:r w:rsidR="00E35F1C" w:rsidRPr="00137E2E">
        <w:rPr>
          <w:rFonts w:ascii="Times New Roman" w:hAnsi="Times New Roman" w:cs="Times New Roman"/>
          <w:sz w:val="24"/>
          <w:lang w:val="de-CH"/>
        </w:rPr>
        <w:t xml:space="preserve">für den Unterhalt von </w:t>
      </w:r>
      <w:r w:rsidRPr="00137E2E">
        <w:rPr>
          <w:rFonts w:ascii="Times New Roman" w:hAnsi="Times New Roman" w:cs="Times New Roman"/>
          <w:sz w:val="24"/>
          <w:lang w:val="de-CH"/>
        </w:rPr>
        <w:t>Kinder</w:t>
      </w:r>
      <w:r w:rsidR="00E35F1C" w:rsidRPr="00137E2E">
        <w:rPr>
          <w:rFonts w:ascii="Times New Roman" w:hAnsi="Times New Roman" w:cs="Times New Roman"/>
          <w:sz w:val="24"/>
          <w:lang w:val="de-CH"/>
        </w:rPr>
        <w:t>n</w:t>
      </w:r>
      <w:r w:rsidRPr="00137E2E">
        <w:rPr>
          <w:rFonts w:ascii="Times New Roman" w:hAnsi="Times New Roman" w:cs="Times New Roman"/>
          <w:sz w:val="24"/>
          <w:lang w:val="de-CH"/>
        </w:rPr>
        <w:t xml:space="preserve"> unter 18</w:t>
      </w:r>
      <w:r w:rsidR="00216406" w:rsidRPr="00137E2E">
        <w:rPr>
          <w:rFonts w:ascii="Times New Roman" w:hAnsi="Times New Roman" w:cs="Times New Roman"/>
          <w:sz w:val="24"/>
          <w:lang w:val="de-CH"/>
        </w:rPr>
        <w:t> Jahre</w:t>
      </w:r>
      <w:r w:rsidRPr="00137E2E">
        <w:rPr>
          <w:rFonts w:ascii="Times New Roman" w:hAnsi="Times New Roman" w:cs="Times New Roman"/>
          <w:sz w:val="24"/>
          <w:lang w:val="de-CH"/>
        </w:rPr>
        <w:t xml:space="preserve">n </w:t>
      </w:r>
      <w:r w:rsidR="00E35F1C" w:rsidRPr="00137E2E">
        <w:rPr>
          <w:rFonts w:ascii="Times New Roman" w:hAnsi="Times New Roman" w:cs="Times New Roman"/>
          <w:sz w:val="24"/>
          <w:lang w:val="de-CH"/>
        </w:rPr>
        <w:t>aufkommen</w:t>
      </w:r>
      <w:r w:rsidRPr="00137E2E">
        <w:rPr>
          <w:rFonts w:ascii="Times New Roman" w:hAnsi="Times New Roman" w:cs="Times New Roman"/>
          <w:sz w:val="24"/>
          <w:lang w:val="de-CH"/>
        </w:rPr>
        <w:t xml:space="preserve">. Dem ist anzufügen, dass die Gesetzgebungen dieser Kantone mindestens 20-jährig sind. </w:t>
      </w:r>
    </w:p>
    <w:p w14:paraId="46DBD364" w14:textId="1ED1E421" w:rsidR="003B69A3" w:rsidRPr="00137E2E" w:rsidRDefault="003B69A3" w:rsidP="00D26BC1">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Anfang</w:t>
      </w:r>
      <w:r w:rsidR="00FD7FEE" w:rsidRPr="00137E2E">
        <w:rPr>
          <w:rFonts w:ascii="Times New Roman" w:hAnsi="Times New Roman" w:cs="Times New Roman"/>
          <w:sz w:val="24"/>
          <w:lang w:val="de-CH"/>
        </w:rPr>
        <w:t> 20</w:t>
      </w:r>
      <w:r w:rsidRPr="00137E2E">
        <w:rPr>
          <w:rFonts w:ascii="Times New Roman" w:hAnsi="Times New Roman" w:cs="Times New Roman"/>
          <w:sz w:val="24"/>
          <w:lang w:val="de-CH"/>
        </w:rPr>
        <w:t>20</w:t>
      </w:r>
      <w:r w:rsidR="00216406" w:rsidRPr="00137E2E">
        <w:rPr>
          <w:rFonts w:ascii="Times New Roman" w:hAnsi="Times New Roman" w:cs="Times New Roman"/>
          <w:sz w:val="24"/>
          <w:lang w:val="de-CH"/>
        </w:rPr>
        <w:t xml:space="preserve"> gab es im Kanton Freiburg 1227 </w:t>
      </w:r>
      <w:r w:rsidRPr="00137E2E">
        <w:rPr>
          <w:rFonts w:ascii="Times New Roman" w:hAnsi="Times New Roman" w:cs="Times New Roman"/>
          <w:sz w:val="24"/>
          <w:lang w:val="de-CH"/>
        </w:rPr>
        <w:t>Bezügerinnen und Bezüger v</w:t>
      </w:r>
      <w:r w:rsidR="00216406" w:rsidRPr="00137E2E">
        <w:rPr>
          <w:rFonts w:ascii="Times New Roman" w:hAnsi="Times New Roman" w:cs="Times New Roman"/>
          <w:sz w:val="24"/>
          <w:lang w:val="de-CH"/>
        </w:rPr>
        <w:t>on Bevorschussungen, wovon 1166 </w:t>
      </w:r>
      <w:r w:rsidRPr="00137E2E">
        <w:rPr>
          <w:rFonts w:ascii="Times New Roman" w:hAnsi="Times New Roman" w:cs="Times New Roman"/>
          <w:sz w:val="24"/>
          <w:lang w:val="de-CH"/>
        </w:rPr>
        <w:t>Kinder (95</w:t>
      </w:r>
      <w:r w:rsidR="00FD7FEE" w:rsidRPr="00137E2E">
        <w:rPr>
          <w:rFonts w:ascii="Times New Roman" w:hAnsi="Times New Roman" w:cs="Times New Roman"/>
          <w:sz w:val="24"/>
          <w:lang w:val="de-CH"/>
        </w:rPr>
        <w:t> %</w:t>
      </w:r>
      <w:r w:rsidRPr="00137E2E">
        <w:rPr>
          <w:rFonts w:ascii="Times New Roman" w:hAnsi="Times New Roman" w:cs="Times New Roman"/>
          <w:sz w:val="24"/>
          <w:lang w:val="de-CH"/>
        </w:rPr>
        <w:t xml:space="preserve">) und </w:t>
      </w:r>
      <w:r w:rsidR="00216406" w:rsidRPr="00137E2E">
        <w:rPr>
          <w:rFonts w:ascii="Times New Roman" w:hAnsi="Times New Roman" w:cs="Times New Roman"/>
          <w:sz w:val="24"/>
          <w:lang w:val="de-CH"/>
        </w:rPr>
        <w:t>61 </w:t>
      </w:r>
      <w:r w:rsidRPr="00137E2E">
        <w:rPr>
          <w:rFonts w:ascii="Times New Roman" w:hAnsi="Times New Roman" w:cs="Times New Roman"/>
          <w:sz w:val="24"/>
          <w:lang w:val="de-CH"/>
        </w:rPr>
        <w:t>Ehegatten</w:t>
      </w:r>
      <w:r w:rsidR="00E35F1C" w:rsidRPr="00137E2E">
        <w:rPr>
          <w:rFonts w:ascii="Times New Roman" w:hAnsi="Times New Roman" w:cs="Times New Roman"/>
          <w:sz w:val="24"/>
          <w:lang w:val="de-CH"/>
        </w:rPr>
        <w:t xml:space="preserve"> oder Ex-Ehegatten</w:t>
      </w:r>
      <w:r w:rsidRPr="00137E2E">
        <w:rPr>
          <w:rFonts w:ascii="Times New Roman" w:hAnsi="Times New Roman" w:cs="Times New Roman"/>
          <w:sz w:val="24"/>
          <w:lang w:val="de-CH"/>
        </w:rPr>
        <w:t xml:space="preserve"> (5</w:t>
      </w:r>
      <w:r w:rsidR="00FD7FEE" w:rsidRPr="00137E2E">
        <w:rPr>
          <w:rFonts w:ascii="Times New Roman" w:hAnsi="Times New Roman" w:cs="Times New Roman"/>
          <w:sz w:val="24"/>
          <w:lang w:val="de-CH"/>
        </w:rPr>
        <w:t> %</w:t>
      </w:r>
      <w:r w:rsidRPr="00137E2E">
        <w:rPr>
          <w:rFonts w:ascii="Times New Roman" w:hAnsi="Times New Roman" w:cs="Times New Roman"/>
          <w:sz w:val="24"/>
          <w:lang w:val="de-CH"/>
        </w:rPr>
        <w:t>). Von diesen 5</w:t>
      </w:r>
      <w:r w:rsidR="00FD7FEE" w:rsidRPr="00137E2E">
        <w:rPr>
          <w:rFonts w:ascii="Times New Roman" w:hAnsi="Times New Roman" w:cs="Times New Roman"/>
          <w:sz w:val="24"/>
          <w:lang w:val="de-CH"/>
        </w:rPr>
        <w:t> %</w:t>
      </w:r>
      <w:r w:rsidRPr="00137E2E">
        <w:rPr>
          <w:rFonts w:ascii="Times New Roman" w:hAnsi="Times New Roman" w:cs="Times New Roman"/>
          <w:sz w:val="24"/>
          <w:lang w:val="de-CH"/>
        </w:rPr>
        <w:t xml:space="preserve"> erhielten 57</w:t>
      </w:r>
      <w:r w:rsidR="00FD7FEE" w:rsidRPr="00137E2E">
        <w:rPr>
          <w:rFonts w:ascii="Times New Roman" w:hAnsi="Times New Roman" w:cs="Times New Roman"/>
          <w:sz w:val="24"/>
          <w:lang w:val="de-CH"/>
        </w:rPr>
        <w:t> %</w:t>
      </w:r>
      <w:r w:rsidR="00216406" w:rsidRPr="00137E2E">
        <w:rPr>
          <w:rFonts w:ascii="Times New Roman" w:hAnsi="Times New Roman" w:cs="Times New Roman"/>
          <w:sz w:val="24"/>
          <w:lang w:val="de-CH"/>
        </w:rPr>
        <w:t xml:space="preserve"> (35 </w:t>
      </w:r>
      <w:r w:rsidRPr="00137E2E">
        <w:rPr>
          <w:rFonts w:ascii="Times New Roman" w:hAnsi="Times New Roman" w:cs="Times New Roman"/>
          <w:sz w:val="24"/>
          <w:lang w:val="de-CH"/>
        </w:rPr>
        <w:t>Personen) auch eine Bevorschussung zugunsten des Kindes, wohingegen 43</w:t>
      </w:r>
      <w:r w:rsidR="00FD7FEE" w:rsidRPr="00137E2E">
        <w:rPr>
          <w:rFonts w:ascii="Times New Roman" w:hAnsi="Times New Roman" w:cs="Times New Roman"/>
          <w:sz w:val="24"/>
          <w:lang w:val="de-CH"/>
        </w:rPr>
        <w:t> %</w:t>
      </w:r>
      <w:r w:rsidR="00216406" w:rsidRPr="00137E2E">
        <w:rPr>
          <w:rFonts w:ascii="Times New Roman" w:hAnsi="Times New Roman" w:cs="Times New Roman"/>
          <w:sz w:val="24"/>
          <w:lang w:val="de-CH"/>
        </w:rPr>
        <w:t xml:space="preserve"> (26 </w:t>
      </w:r>
      <w:r w:rsidRPr="00137E2E">
        <w:rPr>
          <w:rFonts w:ascii="Times New Roman" w:hAnsi="Times New Roman" w:cs="Times New Roman"/>
          <w:sz w:val="24"/>
          <w:lang w:val="de-CH"/>
        </w:rPr>
        <w:t xml:space="preserve">Personen) die Bevorschussung ausschliesslich für sich selbst bezogen. Die erste Kategorie wird angesichts der Anhebung des Betrags der Bevorschussung zugunsten des Kinds durch die Abschaffung der Bevorschussung für Ehegatten und Ex-Ehegatten keinen Nachteil erfahren, im Gegenteil: Die Situation der Eltern von zwei Kindern oder mehr wird sich verbessern. Einzig die zweite Kategorie wird einen Verlust erleiden; dieser wird jedoch für manche durch eine Anhebung der Ergänzungsleistungen abgeschwächt. </w:t>
      </w:r>
    </w:p>
    <w:p w14:paraId="7A4990DF" w14:textId="5084EC83" w:rsidR="00705001" w:rsidRPr="00137E2E" w:rsidRDefault="00216406" w:rsidP="00D26BC1">
      <w:pPr>
        <w:spacing w:line="240" w:lineRule="auto"/>
        <w:jc w:val="both"/>
        <w:rPr>
          <w:rFonts w:ascii="Times New Roman" w:hAnsi="Times New Roman" w:cs="Times New Roman"/>
          <w:sz w:val="24"/>
          <w:szCs w:val="24"/>
          <w:lang w:val="de-CH"/>
        </w:rPr>
      </w:pPr>
      <w:r w:rsidRPr="00137E2E">
        <w:rPr>
          <w:rFonts w:ascii="Times New Roman" w:hAnsi="Times New Roman" w:cs="Times New Roman"/>
          <w:i/>
          <w:sz w:val="24"/>
          <w:lang w:val="de-CH"/>
        </w:rPr>
        <w:t>Absatz </w:t>
      </w:r>
      <w:r w:rsidR="00D4074E" w:rsidRPr="00137E2E">
        <w:rPr>
          <w:rFonts w:ascii="Times New Roman" w:hAnsi="Times New Roman" w:cs="Times New Roman"/>
          <w:i/>
          <w:sz w:val="24"/>
          <w:lang w:val="de-CH"/>
        </w:rPr>
        <w:t xml:space="preserve">2: </w:t>
      </w:r>
      <w:r w:rsidR="00D4074E" w:rsidRPr="00137E2E">
        <w:rPr>
          <w:rFonts w:ascii="Times New Roman" w:hAnsi="Times New Roman" w:cs="Times New Roman"/>
          <w:sz w:val="24"/>
          <w:lang w:val="de-CH"/>
        </w:rPr>
        <w:t xml:space="preserve">Die Gewährung der Bevorschussung setzt voraus, dass die antragstellende Person ihren zivilrechtlichen Wohnsitz (im Sinne von </w:t>
      </w:r>
      <w:r w:rsidRPr="00137E2E">
        <w:rPr>
          <w:rFonts w:ascii="Times New Roman" w:hAnsi="Times New Roman" w:cs="Times New Roman"/>
          <w:sz w:val="24"/>
          <w:lang w:val="de-CH"/>
        </w:rPr>
        <w:t>Art. </w:t>
      </w:r>
      <w:r w:rsidR="00D4074E" w:rsidRPr="00137E2E">
        <w:rPr>
          <w:rFonts w:ascii="Times New Roman" w:hAnsi="Times New Roman" w:cs="Times New Roman"/>
          <w:sz w:val="24"/>
          <w:lang w:val="de-CH"/>
        </w:rPr>
        <w:t xml:space="preserve">23ff. ZGB) im Kanton hat, einen Unterhaltstitel besitzt – d. h. Entscheid oder Vertrag, auf dem die Höhe des geschuldeten Unterhaltsbeitrags aufgeführt ist – und schliesslich noch, dass der Unterhaltsbeitrag gar nicht oder nur unregelmässig entrichtet wird. </w:t>
      </w:r>
    </w:p>
    <w:p w14:paraId="37D16C26" w14:textId="034B3A11" w:rsidR="00C900ED" w:rsidRPr="00137E2E" w:rsidRDefault="00216406" w:rsidP="005644D5">
      <w:pPr>
        <w:spacing w:line="240" w:lineRule="auto"/>
        <w:jc w:val="both"/>
        <w:rPr>
          <w:rFonts w:ascii="Times New Roman" w:hAnsi="Times New Roman" w:cs="Times New Roman"/>
          <w:sz w:val="24"/>
          <w:lang w:val="de-CH"/>
        </w:rPr>
      </w:pPr>
      <w:r w:rsidRPr="00137E2E">
        <w:rPr>
          <w:rFonts w:ascii="Times New Roman" w:hAnsi="Times New Roman" w:cs="Times New Roman"/>
          <w:i/>
          <w:sz w:val="24"/>
          <w:lang w:val="de-CH"/>
        </w:rPr>
        <w:t>Absatz </w:t>
      </w:r>
      <w:r w:rsidR="00705001" w:rsidRPr="00137E2E">
        <w:rPr>
          <w:rFonts w:ascii="Times New Roman" w:hAnsi="Times New Roman" w:cs="Times New Roman"/>
          <w:i/>
          <w:sz w:val="24"/>
          <w:lang w:val="de-CH"/>
        </w:rPr>
        <w:t xml:space="preserve">3: </w:t>
      </w:r>
      <w:r w:rsidR="00705001" w:rsidRPr="00137E2E">
        <w:rPr>
          <w:rFonts w:ascii="Times New Roman" w:hAnsi="Times New Roman" w:cs="Times New Roman"/>
          <w:sz w:val="24"/>
          <w:lang w:val="de-CH"/>
        </w:rPr>
        <w:t>Die Bevorschussung von Unterhaltsbeiträgen ist eine Form von Sozialhilfe im weiteren Sinn</w:t>
      </w:r>
      <w:r w:rsidR="00705001" w:rsidRPr="00137E2E">
        <w:rPr>
          <w:rStyle w:val="Appelnotedebasdep"/>
          <w:rFonts w:ascii="Times New Roman" w:hAnsi="Times New Roman" w:cs="Times New Roman"/>
          <w:sz w:val="24"/>
          <w:lang w:val="de-CH"/>
        </w:rPr>
        <w:footnoteReference w:id="5"/>
      </w:r>
      <w:r w:rsidR="00705001" w:rsidRPr="00137E2E">
        <w:rPr>
          <w:rFonts w:ascii="Times New Roman" w:hAnsi="Times New Roman" w:cs="Times New Roman"/>
          <w:sz w:val="24"/>
          <w:lang w:val="de-CH"/>
        </w:rPr>
        <w:t>. Im Sozialhilfebereich benötigen ausländische Personen jedoch eine gültige Aufenthaltsbewilligung, um ordentliche Sozialhilfe beziehen zu können</w:t>
      </w:r>
      <w:r w:rsidR="00705001" w:rsidRPr="00137E2E">
        <w:rPr>
          <w:rStyle w:val="Appelnotedebasdep"/>
          <w:rFonts w:ascii="Times New Roman" w:hAnsi="Times New Roman" w:cs="Times New Roman"/>
          <w:sz w:val="24"/>
          <w:lang w:val="de-CH"/>
        </w:rPr>
        <w:footnoteReference w:id="6"/>
      </w:r>
      <w:r w:rsidR="00705001" w:rsidRPr="00137E2E">
        <w:rPr>
          <w:rFonts w:ascii="Times New Roman" w:hAnsi="Times New Roman" w:cs="Times New Roman"/>
          <w:sz w:val="24"/>
          <w:lang w:val="de-CH"/>
        </w:rPr>
        <w:t xml:space="preserve">. Diese Bestimmung schafft dieselbe Anforderung im Bereich der Bevorschussung von Unterhaltsbeiträgen für ausländische Antragstellerinnen und Antragsteller. </w:t>
      </w:r>
    </w:p>
    <w:p w14:paraId="7347AA47" w14:textId="77FF5F83" w:rsidR="005644D5" w:rsidRPr="00137E2E" w:rsidRDefault="00705001" w:rsidP="005644D5">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Letztere müssen somit das Recht haben, im Kanton Wohnsitz zu nehmen, was bedeutet, dass ihrer Niederlassung keine gesetzlichen Hinde</w:t>
      </w:r>
      <w:r w:rsidR="00216406" w:rsidRPr="00137E2E">
        <w:rPr>
          <w:rFonts w:ascii="Times New Roman" w:hAnsi="Times New Roman" w:cs="Times New Roman"/>
          <w:sz w:val="24"/>
          <w:lang w:val="de-CH"/>
        </w:rPr>
        <w:t>rnisse im Weg stehen dürfen (z. </w:t>
      </w:r>
      <w:r w:rsidRPr="00137E2E">
        <w:rPr>
          <w:rFonts w:ascii="Times New Roman" w:hAnsi="Times New Roman" w:cs="Times New Roman"/>
          <w:sz w:val="24"/>
          <w:lang w:val="de-CH"/>
        </w:rPr>
        <w:t xml:space="preserve">B. rechtskräftiger Entscheid bzgl. Widerruf der Aufenthalts- oder Niederlassungsbewilligung oder </w:t>
      </w:r>
      <w:r w:rsidR="00E35F1C" w:rsidRPr="00137E2E">
        <w:rPr>
          <w:rFonts w:ascii="Times New Roman" w:hAnsi="Times New Roman" w:cs="Times New Roman"/>
          <w:sz w:val="24"/>
          <w:lang w:val="de-CH"/>
        </w:rPr>
        <w:t xml:space="preserve">gar </w:t>
      </w:r>
      <w:r w:rsidRPr="00137E2E">
        <w:rPr>
          <w:rFonts w:ascii="Times New Roman" w:hAnsi="Times New Roman" w:cs="Times New Roman"/>
          <w:sz w:val="24"/>
          <w:lang w:val="de-CH"/>
        </w:rPr>
        <w:t xml:space="preserve">Nichtverlängerung der Aufenthaltsbewilligung). </w:t>
      </w:r>
    </w:p>
    <w:p w14:paraId="23092A33" w14:textId="409E27C4" w:rsidR="00EE1FFC" w:rsidRPr="006E5812" w:rsidRDefault="00216406" w:rsidP="00D26BC1">
      <w:pPr>
        <w:spacing w:line="240" w:lineRule="auto"/>
        <w:jc w:val="both"/>
        <w:rPr>
          <w:rFonts w:ascii="Times New Roman" w:hAnsi="Times New Roman" w:cs="Times New Roman"/>
          <w:sz w:val="24"/>
          <w:lang w:val="de-CH"/>
        </w:rPr>
      </w:pPr>
      <w:r w:rsidRPr="00137E2E">
        <w:rPr>
          <w:rFonts w:ascii="Times New Roman" w:hAnsi="Times New Roman" w:cs="Times New Roman"/>
          <w:i/>
          <w:sz w:val="24"/>
          <w:lang w:val="de-CH"/>
        </w:rPr>
        <w:t>Absatz </w:t>
      </w:r>
      <w:r w:rsidR="00102D64" w:rsidRPr="00137E2E">
        <w:rPr>
          <w:rFonts w:ascii="Times New Roman" w:hAnsi="Times New Roman" w:cs="Times New Roman"/>
          <w:i/>
          <w:sz w:val="24"/>
          <w:lang w:val="de-CH"/>
        </w:rPr>
        <w:t>4:</w:t>
      </w:r>
      <w:r w:rsidR="00102D64" w:rsidRPr="00137E2E">
        <w:rPr>
          <w:rFonts w:ascii="Times New Roman" w:hAnsi="Times New Roman" w:cs="Times New Roman"/>
          <w:sz w:val="24"/>
          <w:lang w:val="de-CH"/>
        </w:rPr>
        <w:t xml:space="preserve"> Der Anspruch auf einen Unterhaltsbeitrag – in Form einer Geldsumme – erlischt, sobald das Kind im selben Haushalt lebt, wie der Elternteil, der zu seinem Unterhalt beitragen muss. </w:t>
      </w:r>
      <w:r w:rsidR="00EE1FFC">
        <w:rPr>
          <w:rFonts w:ascii="Times New Roman" w:hAnsi="Times New Roman" w:cs="Times New Roman"/>
          <w:sz w:val="24"/>
          <w:lang w:val="de-CH"/>
        </w:rPr>
        <w:t xml:space="preserve">Bei alternierender Obhut sind Ausnahmen möglich. </w:t>
      </w:r>
    </w:p>
    <w:p w14:paraId="35408AB7" w14:textId="66E00D5F" w:rsidR="002E6D7D" w:rsidRPr="00137E2E" w:rsidRDefault="00216406" w:rsidP="00D26BC1">
      <w:pPr>
        <w:spacing w:line="240" w:lineRule="auto"/>
        <w:jc w:val="both"/>
        <w:rPr>
          <w:rFonts w:ascii="Times New Roman" w:hAnsi="Times New Roman" w:cs="Times New Roman"/>
          <w:sz w:val="24"/>
          <w:szCs w:val="24"/>
          <w:lang w:val="de-CH"/>
        </w:rPr>
      </w:pPr>
      <w:r w:rsidRPr="00137E2E">
        <w:rPr>
          <w:rFonts w:ascii="Times New Roman" w:hAnsi="Times New Roman" w:cs="Times New Roman"/>
          <w:i/>
          <w:sz w:val="24"/>
          <w:lang w:val="de-CH"/>
        </w:rPr>
        <w:lastRenderedPageBreak/>
        <w:t>Absatz </w:t>
      </w:r>
      <w:r w:rsidR="002E6D7D" w:rsidRPr="00137E2E">
        <w:rPr>
          <w:rFonts w:ascii="Times New Roman" w:hAnsi="Times New Roman" w:cs="Times New Roman"/>
          <w:i/>
          <w:sz w:val="24"/>
          <w:lang w:val="de-CH"/>
        </w:rPr>
        <w:t>5</w:t>
      </w:r>
      <w:r w:rsidR="002E6D7D" w:rsidRPr="00137E2E">
        <w:rPr>
          <w:rFonts w:ascii="Times New Roman" w:hAnsi="Times New Roman" w:cs="Times New Roman"/>
          <w:sz w:val="24"/>
          <w:lang w:val="de-CH"/>
        </w:rPr>
        <w:t xml:space="preserve">: Die Bestimmung erinnert daran, dass die unterhaltsberechtigte Person, die Anspruch auf Bevorschussung hat, ebenfalls Anspruch auf Inkassohilfe erheben kann, auf Grundlage der InkHV. </w:t>
      </w:r>
    </w:p>
    <w:p w14:paraId="0816579D" w14:textId="77777777" w:rsidR="009B46D1" w:rsidRPr="00137E2E" w:rsidRDefault="00384A6B" w:rsidP="00D26BC1">
      <w:pPr>
        <w:numPr>
          <w:ilvl w:val="0"/>
          <w:numId w:val="40"/>
        </w:numPr>
        <w:spacing w:line="240" w:lineRule="auto"/>
        <w:ind w:left="644" w:hanging="644"/>
        <w:contextualSpacing/>
        <w:jc w:val="both"/>
        <w:rPr>
          <w:rFonts w:ascii="Times New Roman" w:hAnsi="Times New Roman" w:cs="Times New Roman"/>
          <w:b/>
          <w:sz w:val="24"/>
          <w:szCs w:val="24"/>
          <w:lang w:val="de-CH"/>
        </w:rPr>
      </w:pPr>
      <w:r w:rsidRPr="00137E2E">
        <w:rPr>
          <w:rFonts w:ascii="Times New Roman" w:hAnsi="Times New Roman" w:cs="Times New Roman"/>
          <w:b/>
          <w:sz w:val="24"/>
          <w:lang w:val="de-CH"/>
        </w:rPr>
        <w:t xml:space="preserve">Unterhaltstitel </w:t>
      </w:r>
    </w:p>
    <w:p w14:paraId="5C2BE04D" w14:textId="58F9C3DD" w:rsidR="00384A6B" w:rsidRPr="00137E2E" w:rsidRDefault="00216406" w:rsidP="00D26BC1">
      <w:pPr>
        <w:spacing w:line="240" w:lineRule="auto"/>
        <w:jc w:val="both"/>
        <w:rPr>
          <w:rFonts w:ascii="Times New Roman" w:hAnsi="Times New Roman" w:cs="Times New Roman"/>
          <w:sz w:val="24"/>
          <w:szCs w:val="24"/>
          <w:lang w:val="de-CH"/>
        </w:rPr>
      </w:pPr>
      <w:r w:rsidRPr="00137E2E">
        <w:rPr>
          <w:rFonts w:ascii="Times New Roman" w:hAnsi="Times New Roman" w:cs="Times New Roman"/>
          <w:i/>
          <w:sz w:val="24"/>
          <w:lang w:val="de-CH"/>
        </w:rPr>
        <w:t>Absatz </w:t>
      </w:r>
      <w:r w:rsidR="00384A6B" w:rsidRPr="00137E2E">
        <w:rPr>
          <w:rFonts w:ascii="Times New Roman" w:hAnsi="Times New Roman" w:cs="Times New Roman"/>
          <w:i/>
          <w:sz w:val="24"/>
          <w:lang w:val="de-CH"/>
        </w:rPr>
        <w:t>1:</w:t>
      </w:r>
      <w:r w:rsidR="00384A6B" w:rsidRPr="00137E2E">
        <w:rPr>
          <w:rFonts w:ascii="Times New Roman" w:hAnsi="Times New Roman" w:cs="Times New Roman"/>
          <w:sz w:val="24"/>
          <w:lang w:val="de-CH"/>
        </w:rPr>
        <w:t xml:space="preserve"> Der Unterhaltsbeitrag muss in einem zivilgerichtlichen Entscheid oder in einem von der Kindesschutzbehörde genehmigten Vertrag festgelegt sein. Der zivilgerichtliche Entscheid muss rechtskräftig und vollstreckbar sein, soll heissen: Er kann nicht mehr Gegenstand einer Berufung (</w:t>
      </w:r>
      <w:r w:rsidRPr="00137E2E">
        <w:rPr>
          <w:rFonts w:ascii="Times New Roman" w:hAnsi="Times New Roman" w:cs="Times New Roman"/>
          <w:sz w:val="24"/>
          <w:lang w:val="de-CH"/>
        </w:rPr>
        <w:t>Art. </w:t>
      </w:r>
      <w:r w:rsidR="00384A6B" w:rsidRPr="00137E2E">
        <w:rPr>
          <w:rFonts w:ascii="Times New Roman" w:hAnsi="Times New Roman" w:cs="Times New Roman"/>
          <w:sz w:val="24"/>
          <w:lang w:val="de-CH"/>
        </w:rPr>
        <w:t>308ff. Schweizerisc</w:t>
      </w:r>
      <w:r w:rsidR="000A39BF" w:rsidRPr="00137E2E">
        <w:rPr>
          <w:rFonts w:ascii="Times New Roman" w:hAnsi="Times New Roman" w:cs="Times New Roman"/>
          <w:sz w:val="24"/>
          <w:lang w:val="de-CH"/>
        </w:rPr>
        <w:t>he Zivilprozessordnung, ZPO; SR </w:t>
      </w:r>
      <w:r w:rsidR="00384A6B" w:rsidRPr="00137E2E">
        <w:rPr>
          <w:rFonts w:ascii="Times New Roman" w:hAnsi="Times New Roman" w:cs="Times New Roman"/>
          <w:sz w:val="24"/>
          <w:lang w:val="de-CH"/>
        </w:rPr>
        <w:t>272) oder Beschwerde sein (</w:t>
      </w:r>
      <w:r w:rsidRPr="00137E2E">
        <w:rPr>
          <w:rFonts w:ascii="Times New Roman" w:hAnsi="Times New Roman" w:cs="Times New Roman"/>
          <w:sz w:val="24"/>
          <w:lang w:val="de-CH"/>
        </w:rPr>
        <w:t>Art. </w:t>
      </w:r>
      <w:r w:rsidR="00384A6B" w:rsidRPr="00137E2E">
        <w:rPr>
          <w:rFonts w:ascii="Times New Roman" w:hAnsi="Times New Roman" w:cs="Times New Roman"/>
          <w:sz w:val="24"/>
          <w:lang w:val="de-CH"/>
        </w:rPr>
        <w:t>319ff. ZPO</w:t>
      </w:r>
      <w:r w:rsidR="000A39BF" w:rsidRPr="00137E2E">
        <w:rPr>
          <w:rFonts w:ascii="Times New Roman" w:hAnsi="Times New Roman" w:cs="Times New Roman"/>
          <w:sz w:val="24"/>
          <w:lang w:val="de-CH"/>
        </w:rPr>
        <w:t>)</w:t>
      </w:r>
      <w:r w:rsidR="00384A6B" w:rsidRPr="00137E2E">
        <w:rPr>
          <w:rFonts w:ascii="Times New Roman" w:hAnsi="Times New Roman" w:cs="Times New Roman"/>
          <w:sz w:val="24"/>
          <w:lang w:val="de-CH"/>
        </w:rPr>
        <w:t xml:space="preserve">. </w:t>
      </w:r>
    </w:p>
    <w:p w14:paraId="1A48C1A4" w14:textId="14BBE978" w:rsidR="00C16ADF" w:rsidRPr="00137E2E" w:rsidRDefault="00216406" w:rsidP="00D26BC1">
      <w:pPr>
        <w:spacing w:line="240" w:lineRule="auto"/>
        <w:jc w:val="both"/>
        <w:rPr>
          <w:rFonts w:ascii="Times New Roman" w:hAnsi="Times New Roman" w:cs="Times New Roman"/>
          <w:sz w:val="24"/>
          <w:szCs w:val="24"/>
          <w:lang w:val="de-CH"/>
        </w:rPr>
      </w:pPr>
      <w:r w:rsidRPr="00137E2E">
        <w:rPr>
          <w:rFonts w:ascii="Times New Roman" w:hAnsi="Times New Roman" w:cs="Times New Roman"/>
          <w:i/>
          <w:sz w:val="24"/>
          <w:lang w:val="de-CH"/>
        </w:rPr>
        <w:t>Absatz </w:t>
      </w:r>
      <w:r w:rsidR="00F34A5D" w:rsidRPr="00137E2E">
        <w:rPr>
          <w:rFonts w:ascii="Times New Roman" w:hAnsi="Times New Roman" w:cs="Times New Roman"/>
          <w:i/>
          <w:sz w:val="24"/>
          <w:lang w:val="de-CH"/>
        </w:rPr>
        <w:t>2:</w:t>
      </w:r>
      <w:r w:rsidR="00F34A5D" w:rsidRPr="00137E2E">
        <w:rPr>
          <w:rFonts w:ascii="Times New Roman" w:hAnsi="Times New Roman" w:cs="Times New Roman"/>
          <w:sz w:val="24"/>
          <w:lang w:val="de-CH"/>
        </w:rPr>
        <w:t xml:space="preserve"> Der Unterhaltsvertrag zwischen dem volljährigen Kind und einem Elternteil kann der Kindesschutzbehörde nicht zur Genehmigung unterbreitet werden, da diese nicht zuständig ist.</w:t>
      </w:r>
      <w:r w:rsidR="00F34A5D" w:rsidRPr="00137E2E">
        <w:rPr>
          <w:rStyle w:val="Appelnotedebasdep"/>
          <w:rFonts w:ascii="Times New Roman" w:hAnsi="Times New Roman" w:cs="Times New Roman"/>
          <w:sz w:val="24"/>
          <w:lang w:val="de-CH"/>
        </w:rPr>
        <w:footnoteReference w:id="7"/>
      </w:r>
      <w:r w:rsidR="00F34A5D" w:rsidRPr="00137E2E">
        <w:rPr>
          <w:rFonts w:ascii="Times New Roman" w:hAnsi="Times New Roman" w:cs="Times New Roman"/>
          <w:sz w:val="24"/>
          <w:lang w:val="de-CH"/>
        </w:rPr>
        <w:t xml:space="preserve"> Das volljährige Kind sollte nicht dazu gezwungen sein, vor dem Zivilgericht auf Leistung des Unterhalts zu klagen (</w:t>
      </w:r>
      <w:r w:rsidRPr="00137E2E">
        <w:rPr>
          <w:rFonts w:ascii="Times New Roman" w:hAnsi="Times New Roman" w:cs="Times New Roman"/>
          <w:sz w:val="24"/>
          <w:lang w:val="de-CH"/>
        </w:rPr>
        <w:t>Art. </w:t>
      </w:r>
      <w:r w:rsidR="00F34A5D" w:rsidRPr="00137E2E">
        <w:rPr>
          <w:rFonts w:ascii="Times New Roman" w:hAnsi="Times New Roman" w:cs="Times New Roman"/>
          <w:sz w:val="24"/>
          <w:lang w:val="de-CH"/>
        </w:rPr>
        <w:t>279 ZGB), wenn es sich mit dem Elternteil über den Unterhalt einigen kann. Der Entwurf anerkennt einen solchen Vertrag als Unterhaltstitel.</w:t>
      </w:r>
      <w:r w:rsidR="00F34A5D" w:rsidRPr="00137E2E">
        <w:rPr>
          <w:rStyle w:val="Appelnotedebasdep"/>
          <w:rFonts w:ascii="Times New Roman" w:hAnsi="Times New Roman" w:cs="Times New Roman"/>
          <w:sz w:val="24"/>
          <w:lang w:val="de-CH"/>
        </w:rPr>
        <w:footnoteReference w:id="8"/>
      </w:r>
      <w:r w:rsidR="00F34A5D" w:rsidRPr="00137E2E">
        <w:rPr>
          <w:rFonts w:ascii="Times New Roman" w:hAnsi="Times New Roman" w:cs="Times New Roman"/>
          <w:sz w:val="24"/>
          <w:lang w:val="de-CH"/>
        </w:rPr>
        <w:t xml:space="preserve"> </w:t>
      </w:r>
    </w:p>
    <w:p w14:paraId="743977FB" w14:textId="0AACC8BD" w:rsidR="00C900ED" w:rsidRPr="00137E2E" w:rsidRDefault="00216406" w:rsidP="00D26BC1">
      <w:pPr>
        <w:spacing w:line="240" w:lineRule="auto"/>
        <w:jc w:val="both"/>
        <w:rPr>
          <w:rFonts w:ascii="Times New Roman" w:hAnsi="Times New Roman" w:cs="Times New Roman"/>
          <w:sz w:val="24"/>
          <w:lang w:val="de-CH"/>
        </w:rPr>
      </w:pPr>
      <w:r w:rsidRPr="00137E2E">
        <w:rPr>
          <w:rFonts w:ascii="Times New Roman" w:hAnsi="Times New Roman" w:cs="Times New Roman"/>
          <w:i/>
          <w:sz w:val="24"/>
          <w:lang w:val="de-CH"/>
        </w:rPr>
        <w:t>Absatz </w:t>
      </w:r>
      <w:r w:rsidR="00D36CED" w:rsidRPr="00137E2E">
        <w:rPr>
          <w:rFonts w:ascii="Times New Roman" w:hAnsi="Times New Roman" w:cs="Times New Roman"/>
          <w:i/>
          <w:sz w:val="24"/>
          <w:lang w:val="de-CH"/>
        </w:rPr>
        <w:t>3:</w:t>
      </w:r>
      <w:r w:rsidR="00D36CED" w:rsidRPr="00137E2E">
        <w:rPr>
          <w:rFonts w:ascii="Times New Roman" w:hAnsi="Times New Roman" w:cs="Times New Roman"/>
          <w:sz w:val="24"/>
          <w:lang w:val="de-CH"/>
        </w:rPr>
        <w:t xml:space="preserve"> </w:t>
      </w:r>
      <w:r w:rsidR="00E35F1C" w:rsidRPr="00137E2E">
        <w:rPr>
          <w:rFonts w:ascii="Times New Roman" w:hAnsi="Times New Roman" w:cs="Times New Roman"/>
          <w:sz w:val="24"/>
          <w:lang w:val="de-CH"/>
        </w:rPr>
        <w:t xml:space="preserve">Sofern </w:t>
      </w:r>
      <w:r w:rsidR="00D36CED" w:rsidRPr="00137E2E">
        <w:rPr>
          <w:rFonts w:ascii="Times New Roman" w:hAnsi="Times New Roman" w:cs="Times New Roman"/>
          <w:sz w:val="24"/>
          <w:lang w:val="de-CH"/>
        </w:rPr>
        <w:t>es sich beim Unterhaltstitel um einen Vertrag zwischen volljährigem Kind und Eltern(teil)</w:t>
      </w:r>
      <w:r w:rsidR="00E35F1C" w:rsidRPr="00137E2E">
        <w:rPr>
          <w:rFonts w:ascii="Times New Roman" w:hAnsi="Times New Roman" w:cs="Times New Roman"/>
          <w:sz w:val="24"/>
          <w:lang w:val="de-CH"/>
        </w:rPr>
        <w:t xml:space="preserve"> handelt</w:t>
      </w:r>
      <w:r w:rsidR="00D36CED" w:rsidRPr="00137E2E">
        <w:rPr>
          <w:rFonts w:ascii="Times New Roman" w:hAnsi="Times New Roman" w:cs="Times New Roman"/>
          <w:sz w:val="24"/>
          <w:lang w:val="de-CH"/>
        </w:rPr>
        <w:t>, greifen weder das Zivilgericht noch die Kindesschutzbehörde in die Festlegung des Unterhaltsbeitrags ein; es ist an der zuständigen Behörde, über die Gewährung der Bevorschussung zu bestimmen und sicherzustellen, dass die Voraussetzungen für den Unterhaltsanspruch erfüllt sind.</w:t>
      </w:r>
      <w:r w:rsidR="00D36CED" w:rsidRPr="00137E2E">
        <w:rPr>
          <w:rStyle w:val="Appelnotedebasdep"/>
          <w:rFonts w:ascii="Times New Roman" w:hAnsi="Times New Roman" w:cs="Times New Roman"/>
          <w:sz w:val="24"/>
          <w:lang w:val="de-CH"/>
        </w:rPr>
        <w:footnoteReference w:id="9"/>
      </w:r>
      <w:r w:rsidR="00D36CED" w:rsidRPr="00137E2E">
        <w:rPr>
          <w:rFonts w:ascii="Times New Roman" w:hAnsi="Times New Roman" w:cs="Times New Roman"/>
          <w:sz w:val="24"/>
          <w:lang w:val="de-CH"/>
        </w:rPr>
        <w:t xml:space="preserve"> Diese Behörde kann jedoch ein Tätigwerden trotz Vertrag nur dann nicht verweigern, wenn der Unterhaltsbetrag offensichtlich nicht im Verhältnis zu den Möglichkeiten der unterhaltspflichtige Person steht oder wenn er böswillig abgeschlossen wurde, um an die Bevorschussung zu kommen.</w:t>
      </w:r>
      <w:r w:rsidR="00D36CED" w:rsidRPr="00137E2E">
        <w:rPr>
          <w:rStyle w:val="Appelnotedebasdep"/>
          <w:rFonts w:ascii="Times New Roman" w:hAnsi="Times New Roman" w:cs="Times New Roman"/>
          <w:sz w:val="24"/>
          <w:lang w:val="de-CH"/>
        </w:rPr>
        <w:footnoteReference w:id="10"/>
      </w:r>
      <w:r w:rsidR="00D36CED" w:rsidRPr="00137E2E">
        <w:rPr>
          <w:rFonts w:ascii="Times New Roman" w:hAnsi="Times New Roman" w:cs="Times New Roman"/>
          <w:sz w:val="24"/>
          <w:lang w:val="de-CH"/>
        </w:rPr>
        <w:t xml:space="preserve"> Die Kantone Bern, Luzern und Zürich haben in den letzten Jahren eine solche Regel verabschiedet. </w:t>
      </w:r>
    </w:p>
    <w:p w14:paraId="5BBCDC5B" w14:textId="2109CEBF" w:rsidR="009B46D1" w:rsidRPr="00137E2E" w:rsidRDefault="00EE60AB" w:rsidP="00D26BC1">
      <w:pPr>
        <w:numPr>
          <w:ilvl w:val="0"/>
          <w:numId w:val="40"/>
        </w:numPr>
        <w:spacing w:line="240" w:lineRule="auto"/>
        <w:ind w:left="644" w:hanging="644"/>
        <w:contextualSpacing/>
        <w:jc w:val="both"/>
        <w:rPr>
          <w:rFonts w:ascii="Times New Roman" w:hAnsi="Times New Roman" w:cs="Times New Roman"/>
          <w:b/>
          <w:sz w:val="24"/>
          <w:szCs w:val="24"/>
          <w:lang w:val="de-CH"/>
        </w:rPr>
      </w:pPr>
      <w:r w:rsidRPr="00137E2E">
        <w:rPr>
          <w:rFonts w:ascii="Times New Roman" w:hAnsi="Times New Roman" w:cs="Times New Roman"/>
          <w:b/>
          <w:sz w:val="24"/>
          <w:lang w:val="de-CH"/>
        </w:rPr>
        <w:t xml:space="preserve">Mitwirkungspflicht der unterhaltsberechtigten Person </w:t>
      </w:r>
    </w:p>
    <w:p w14:paraId="775E78C8" w14:textId="116D2708" w:rsidR="00B53D4C" w:rsidRPr="00137E2E" w:rsidRDefault="00216406" w:rsidP="00D26BC1">
      <w:pPr>
        <w:spacing w:line="240" w:lineRule="auto"/>
        <w:jc w:val="both"/>
        <w:rPr>
          <w:rFonts w:ascii="Times New Roman" w:hAnsi="Times New Roman" w:cs="Times New Roman"/>
          <w:sz w:val="24"/>
          <w:szCs w:val="24"/>
          <w:lang w:val="de-CH"/>
        </w:rPr>
      </w:pPr>
      <w:r w:rsidRPr="00137E2E">
        <w:rPr>
          <w:rFonts w:ascii="Times New Roman" w:hAnsi="Times New Roman" w:cs="Times New Roman"/>
          <w:i/>
          <w:sz w:val="24"/>
          <w:lang w:val="de-CH"/>
        </w:rPr>
        <w:t>Absatz </w:t>
      </w:r>
      <w:r w:rsidR="00A055A8" w:rsidRPr="00137E2E">
        <w:rPr>
          <w:rFonts w:ascii="Times New Roman" w:hAnsi="Times New Roman" w:cs="Times New Roman"/>
          <w:i/>
          <w:sz w:val="24"/>
          <w:lang w:val="de-CH"/>
        </w:rPr>
        <w:t>1:</w:t>
      </w:r>
      <w:r w:rsidR="00A055A8" w:rsidRPr="00137E2E">
        <w:rPr>
          <w:rFonts w:ascii="Times New Roman" w:hAnsi="Times New Roman" w:cs="Times New Roman"/>
          <w:sz w:val="24"/>
          <w:lang w:val="de-CH"/>
        </w:rPr>
        <w:t xml:space="preserve"> Die Ausführungsregelung wird präzisieren, welche Angaben und Dokumente die unterhaltsberechtigte Person aushändigen muss. Die zuständige Behörde wird ihr im Übrigen ein Formular zur Beantragung der Bevorschussung zur Verfügung stellen, auf dem die einzureichenden Unterlagen aufgeführt sind; dies ist auch heute schon der Fall. </w:t>
      </w:r>
    </w:p>
    <w:p w14:paraId="7E4C75CE" w14:textId="57560D03" w:rsidR="00A055A8" w:rsidRPr="00137E2E" w:rsidRDefault="00216406" w:rsidP="00D26BC1">
      <w:pPr>
        <w:spacing w:line="240" w:lineRule="auto"/>
        <w:jc w:val="both"/>
        <w:rPr>
          <w:rFonts w:ascii="Times New Roman" w:hAnsi="Times New Roman" w:cs="Times New Roman"/>
          <w:sz w:val="24"/>
          <w:szCs w:val="24"/>
          <w:lang w:val="de-CH"/>
        </w:rPr>
      </w:pPr>
      <w:r w:rsidRPr="00137E2E">
        <w:rPr>
          <w:rFonts w:ascii="Times New Roman" w:hAnsi="Times New Roman" w:cs="Times New Roman"/>
          <w:i/>
          <w:sz w:val="24"/>
          <w:lang w:val="de-CH"/>
        </w:rPr>
        <w:t>Absatz </w:t>
      </w:r>
      <w:r w:rsidR="00A055A8" w:rsidRPr="00137E2E">
        <w:rPr>
          <w:rFonts w:ascii="Times New Roman" w:hAnsi="Times New Roman" w:cs="Times New Roman"/>
          <w:i/>
          <w:sz w:val="24"/>
          <w:lang w:val="de-CH"/>
        </w:rPr>
        <w:t xml:space="preserve">2: </w:t>
      </w:r>
      <w:r w:rsidR="00A055A8" w:rsidRPr="00137E2E">
        <w:rPr>
          <w:rFonts w:ascii="Times New Roman" w:hAnsi="Times New Roman" w:cs="Times New Roman"/>
          <w:sz w:val="24"/>
          <w:lang w:val="de-CH"/>
        </w:rPr>
        <w:t xml:space="preserve">Meldet die unterhaltsberechtigte Person eine Änderung ihrer Situation, die einen Einfluss auf ihren Bevorschussungsanspruch hat, so passt die zuständige Behörde ihren Entscheid an, gemäss </w:t>
      </w:r>
      <w:r w:rsidRPr="00137E2E">
        <w:rPr>
          <w:rFonts w:ascii="Times New Roman" w:hAnsi="Times New Roman" w:cs="Times New Roman"/>
          <w:sz w:val="24"/>
          <w:lang w:val="de-CH"/>
        </w:rPr>
        <w:t>Artikel </w:t>
      </w:r>
      <w:r w:rsidR="00A055A8" w:rsidRPr="00137E2E">
        <w:rPr>
          <w:rFonts w:ascii="Times New Roman" w:hAnsi="Times New Roman" w:cs="Times New Roman"/>
          <w:sz w:val="24"/>
          <w:lang w:val="de-CH"/>
        </w:rPr>
        <w:t xml:space="preserve">10 </w:t>
      </w:r>
      <w:r w:rsidRPr="00137E2E">
        <w:rPr>
          <w:rFonts w:ascii="Times New Roman" w:hAnsi="Times New Roman" w:cs="Times New Roman"/>
          <w:sz w:val="24"/>
          <w:lang w:val="de-CH"/>
        </w:rPr>
        <w:t>Abs. </w:t>
      </w:r>
      <w:r w:rsidR="00A055A8" w:rsidRPr="00137E2E">
        <w:rPr>
          <w:rFonts w:ascii="Times New Roman" w:hAnsi="Times New Roman" w:cs="Times New Roman"/>
          <w:sz w:val="24"/>
          <w:lang w:val="de-CH"/>
        </w:rPr>
        <w:t xml:space="preserve">2. </w:t>
      </w:r>
    </w:p>
    <w:p w14:paraId="5650686E" w14:textId="020D13E3" w:rsidR="003104C2" w:rsidRPr="00137E2E" w:rsidRDefault="00216406" w:rsidP="00D26BC1">
      <w:pPr>
        <w:spacing w:line="240" w:lineRule="auto"/>
        <w:jc w:val="both"/>
        <w:rPr>
          <w:rFonts w:ascii="Times New Roman" w:hAnsi="Times New Roman" w:cs="Times New Roman"/>
          <w:sz w:val="24"/>
          <w:lang w:val="de-CH"/>
        </w:rPr>
      </w:pPr>
      <w:r w:rsidRPr="00137E2E">
        <w:rPr>
          <w:rFonts w:ascii="Times New Roman" w:hAnsi="Times New Roman" w:cs="Times New Roman"/>
          <w:i/>
          <w:sz w:val="24"/>
          <w:lang w:val="de-CH"/>
        </w:rPr>
        <w:t>Absatz </w:t>
      </w:r>
      <w:r w:rsidR="00B45355" w:rsidRPr="00137E2E">
        <w:rPr>
          <w:rFonts w:ascii="Times New Roman" w:hAnsi="Times New Roman" w:cs="Times New Roman"/>
          <w:i/>
          <w:sz w:val="24"/>
          <w:lang w:val="de-CH"/>
        </w:rPr>
        <w:t xml:space="preserve">3: </w:t>
      </w:r>
      <w:r w:rsidR="00B45355" w:rsidRPr="00137E2E">
        <w:rPr>
          <w:rFonts w:ascii="Times New Roman" w:hAnsi="Times New Roman" w:cs="Times New Roman"/>
          <w:sz w:val="24"/>
          <w:lang w:val="de-CH"/>
        </w:rPr>
        <w:t xml:space="preserve">Wird die Mitwirkungspflicht nicht eingehalten, so warnt die Behörde die unterhaltsberechtigte Person, dass ihr Verhalten eine Sanktion nach sich ziehen kann, mit anderen Worten: eine Verweigerung, Unterbrechung oder Einstellung der Bevorschussung. </w:t>
      </w:r>
    </w:p>
    <w:p w14:paraId="47F2EC87" w14:textId="7993FA42" w:rsidR="00E35F1C" w:rsidRPr="00137E2E" w:rsidRDefault="00E35F1C" w:rsidP="00E35F1C">
      <w:pPr>
        <w:spacing w:line="240" w:lineRule="auto"/>
        <w:jc w:val="both"/>
        <w:rPr>
          <w:rFonts w:ascii="Times New Roman" w:hAnsi="Times New Roman" w:cs="Times New Roman"/>
          <w:sz w:val="24"/>
          <w:szCs w:val="24"/>
          <w:lang w:val="de-CH"/>
        </w:rPr>
      </w:pPr>
      <w:r w:rsidRPr="007B41EB">
        <w:rPr>
          <w:rFonts w:ascii="Times New Roman" w:hAnsi="Times New Roman" w:cs="Times New Roman"/>
          <w:i/>
          <w:sz w:val="24"/>
          <w:szCs w:val="24"/>
          <w:lang w:val="de-CH"/>
        </w:rPr>
        <w:t>Absatz 4</w:t>
      </w:r>
      <w:r w:rsidRPr="007B41EB">
        <w:rPr>
          <w:rFonts w:ascii="Times New Roman" w:hAnsi="Times New Roman" w:cs="Times New Roman"/>
          <w:sz w:val="24"/>
          <w:szCs w:val="24"/>
          <w:lang w:val="de-CH"/>
        </w:rPr>
        <w:t xml:space="preserve">: </w:t>
      </w:r>
      <w:r w:rsidRPr="00137E2E">
        <w:rPr>
          <w:rFonts w:ascii="Times New Roman" w:hAnsi="Times New Roman" w:cs="Times New Roman"/>
          <w:sz w:val="24"/>
          <w:lang w:val="de-CH"/>
        </w:rPr>
        <w:t xml:space="preserve">Die Bestimmung erinnert daran, dass die Mitwirkungspflicht bei der Inkassohilfe von der InkHV geregelt wird (Art. 10). </w:t>
      </w:r>
    </w:p>
    <w:p w14:paraId="65C322E5" w14:textId="77777777" w:rsidR="00B37DAD" w:rsidRPr="00137E2E" w:rsidRDefault="00B37DAD" w:rsidP="00D26BC1">
      <w:pPr>
        <w:numPr>
          <w:ilvl w:val="0"/>
          <w:numId w:val="40"/>
        </w:numPr>
        <w:spacing w:line="240" w:lineRule="auto"/>
        <w:ind w:left="644" w:hanging="644"/>
        <w:contextualSpacing/>
        <w:jc w:val="both"/>
        <w:rPr>
          <w:rFonts w:ascii="Times New Roman" w:hAnsi="Times New Roman" w:cs="Times New Roman"/>
          <w:b/>
          <w:sz w:val="24"/>
          <w:szCs w:val="24"/>
          <w:lang w:val="de-CH"/>
        </w:rPr>
      </w:pPr>
      <w:r w:rsidRPr="00137E2E">
        <w:rPr>
          <w:rFonts w:ascii="Times New Roman" w:hAnsi="Times New Roman" w:cs="Times New Roman"/>
          <w:b/>
          <w:sz w:val="24"/>
          <w:lang w:val="de-CH"/>
        </w:rPr>
        <w:t xml:space="preserve">Zuständige Behörde </w:t>
      </w:r>
    </w:p>
    <w:p w14:paraId="7D7633ED" w14:textId="1EEEB206" w:rsidR="00034CF4" w:rsidRDefault="004B204B" w:rsidP="00034CF4">
      <w:pPr>
        <w:spacing w:line="240" w:lineRule="auto"/>
        <w:jc w:val="both"/>
        <w:rPr>
          <w:rFonts w:ascii="Times New Roman" w:hAnsi="Times New Roman" w:cs="Times New Roman"/>
          <w:sz w:val="24"/>
          <w:lang w:val="de-CH"/>
        </w:rPr>
      </w:pPr>
      <w:r w:rsidRPr="00137E2E">
        <w:rPr>
          <w:rFonts w:ascii="Times New Roman" w:hAnsi="Times New Roman" w:cs="Times New Roman"/>
          <w:sz w:val="24"/>
          <w:lang w:val="de-CH"/>
        </w:rPr>
        <w:t>Die zuständige Behörde wird in de</w:t>
      </w:r>
      <w:r w:rsidR="003C5899">
        <w:rPr>
          <w:rFonts w:ascii="Times New Roman" w:hAnsi="Times New Roman" w:cs="Times New Roman"/>
          <w:sz w:val="24"/>
          <w:lang w:val="de-CH"/>
        </w:rPr>
        <w:t>r Ausführungsregelung bestimmt.</w:t>
      </w:r>
      <w:r w:rsidR="00034CF4">
        <w:rPr>
          <w:rFonts w:ascii="Times New Roman" w:hAnsi="Times New Roman" w:cs="Times New Roman"/>
          <w:sz w:val="24"/>
          <w:lang w:val="de-CH"/>
        </w:rPr>
        <w:br w:type="page"/>
      </w:r>
    </w:p>
    <w:p w14:paraId="381C6CE0" w14:textId="77777777" w:rsidR="00034CF4" w:rsidRDefault="00034CF4" w:rsidP="00D26BC1">
      <w:pPr>
        <w:spacing w:line="240" w:lineRule="auto"/>
        <w:jc w:val="both"/>
        <w:rPr>
          <w:rFonts w:ascii="Times New Roman" w:hAnsi="Times New Roman" w:cs="Times New Roman"/>
          <w:sz w:val="24"/>
          <w:lang w:val="de-CH"/>
        </w:rPr>
      </w:pPr>
    </w:p>
    <w:p w14:paraId="50AE6C65" w14:textId="77777777" w:rsidR="009B46D1" w:rsidRPr="00137E2E" w:rsidRDefault="00384E6F" w:rsidP="00D26BC1">
      <w:pPr>
        <w:numPr>
          <w:ilvl w:val="0"/>
          <w:numId w:val="40"/>
        </w:numPr>
        <w:spacing w:line="240" w:lineRule="auto"/>
        <w:ind w:left="644" w:hanging="644"/>
        <w:contextualSpacing/>
        <w:jc w:val="both"/>
        <w:rPr>
          <w:rFonts w:ascii="Times New Roman" w:hAnsi="Times New Roman" w:cs="Times New Roman"/>
          <w:b/>
          <w:sz w:val="24"/>
          <w:szCs w:val="24"/>
          <w:lang w:val="de-CH"/>
        </w:rPr>
      </w:pPr>
      <w:r w:rsidRPr="00137E2E">
        <w:rPr>
          <w:rFonts w:ascii="Times New Roman" w:hAnsi="Times New Roman" w:cs="Times New Roman"/>
          <w:b/>
          <w:sz w:val="24"/>
          <w:lang w:val="de-CH"/>
        </w:rPr>
        <w:t xml:space="preserve">Aufgaben der zuständigen Behörde </w:t>
      </w:r>
    </w:p>
    <w:p w14:paraId="4E814664" w14:textId="5E67825F" w:rsidR="004378A8" w:rsidRPr="00137E2E" w:rsidRDefault="007966F2" w:rsidP="00B96E37">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In der Praxis besteht die erste Hilfe, die von den Personen, die sich an die Behörde wenden, beantragt wird, oftmals in einfachen Ausk</w:t>
      </w:r>
      <w:r w:rsidR="00216406" w:rsidRPr="00137E2E">
        <w:rPr>
          <w:rFonts w:ascii="Times New Roman" w:hAnsi="Times New Roman" w:cs="Times New Roman"/>
          <w:sz w:val="24"/>
          <w:lang w:val="de-CH"/>
        </w:rPr>
        <w:t>ünften (Bst. a). Laut Buchstabe </w:t>
      </w:r>
      <w:r w:rsidRPr="00137E2E">
        <w:rPr>
          <w:rFonts w:ascii="Times New Roman" w:hAnsi="Times New Roman" w:cs="Times New Roman"/>
          <w:sz w:val="24"/>
          <w:lang w:val="de-CH"/>
        </w:rPr>
        <w:t>c ist die Behörde für die Eintreibung der Unterhaltsbeiträge und die Bevorschussung zuständig. Schliesslich hilft sie der unterhaltsberechtigten Person noch, die direkte Auszahlung der Familienzulagen zu erwirken (</w:t>
      </w:r>
      <w:r w:rsidR="00216406" w:rsidRPr="00137E2E">
        <w:rPr>
          <w:rFonts w:ascii="Times New Roman" w:hAnsi="Times New Roman" w:cs="Times New Roman"/>
          <w:sz w:val="24"/>
          <w:lang w:val="de-CH"/>
        </w:rPr>
        <w:t>Bst. </w:t>
      </w:r>
      <w:r w:rsidRPr="00137E2E">
        <w:rPr>
          <w:rFonts w:ascii="Times New Roman" w:hAnsi="Times New Roman" w:cs="Times New Roman"/>
          <w:sz w:val="24"/>
          <w:lang w:val="de-CH"/>
        </w:rPr>
        <w:t xml:space="preserve">d). </w:t>
      </w:r>
    </w:p>
    <w:p w14:paraId="50765327" w14:textId="77777777" w:rsidR="009B46D1" w:rsidRPr="00137E2E" w:rsidRDefault="00110947" w:rsidP="00E63BEE">
      <w:pPr>
        <w:pStyle w:val="Titre2"/>
        <w:jc w:val="both"/>
        <w:rPr>
          <w:lang w:val="de-CH"/>
        </w:rPr>
      </w:pPr>
      <w:bookmarkStart w:id="14" w:name="_Toc49330775"/>
      <w:r w:rsidRPr="00137E2E">
        <w:rPr>
          <w:lang w:val="de-CH"/>
        </w:rPr>
        <w:t>2 Modalitäten der Bevorschussung</w:t>
      </w:r>
      <w:bookmarkEnd w:id="14"/>
      <w:r w:rsidRPr="00137E2E">
        <w:rPr>
          <w:lang w:val="de-CH"/>
        </w:rPr>
        <w:t xml:space="preserve"> </w:t>
      </w:r>
    </w:p>
    <w:p w14:paraId="6660DD6D" w14:textId="0F5201AF" w:rsidR="009B46D1" w:rsidRPr="00137E2E" w:rsidRDefault="00731B27" w:rsidP="00E63BEE">
      <w:pPr>
        <w:numPr>
          <w:ilvl w:val="0"/>
          <w:numId w:val="40"/>
        </w:numPr>
        <w:spacing w:line="240" w:lineRule="auto"/>
        <w:ind w:left="644" w:hanging="644"/>
        <w:contextualSpacing/>
        <w:jc w:val="both"/>
        <w:rPr>
          <w:rFonts w:ascii="Times New Roman" w:hAnsi="Times New Roman" w:cs="Times New Roman"/>
          <w:b/>
          <w:sz w:val="24"/>
          <w:szCs w:val="24"/>
          <w:lang w:val="de-CH"/>
        </w:rPr>
      </w:pPr>
      <w:r w:rsidRPr="00137E2E">
        <w:rPr>
          <w:rFonts w:ascii="Times New Roman" w:hAnsi="Times New Roman" w:cs="Times New Roman"/>
          <w:b/>
          <w:sz w:val="24"/>
          <w:lang w:val="de-CH"/>
        </w:rPr>
        <w:t xml:space="preserve">Massgebendes Einkommen und Vermögen </w:t>
      </w:r>
    </w:p>
    <w:p w14:paraId="58175FB4" w14:textId="49233CB5" w:rsidR="00783368" w:rsidRPr="007B41EB" w:rsidRDefault="00783368" w:rsidP="007B41EB">
      <w:pPr>
        <w:spacing w:line="240" w:lineRule="auto"/>
        <w:jc w:val="both"/>
        <w:rPr>
          <w:rFonts w:ascii="Times New Roman" w:hAnsi="Times New Roman" w:cs="Times New Roman"/>
          <w:sz w:val="24"/>
          <w:lang w:val="de-CH"/>
        </w:rPr>
      </w:pPr>
      <w:r w:rsidRPr="007B41EB">
        <w:rPr>
          <w:rFonts w:ascii="Times New Roman" w:hAnsi="Times New Roman" w:cs="Times New Roman"/>
          <w:sz w:val="24"/>
          <w:lang w:val="de-CH"/>
        </w:rPr>
        <w:t xml:space="preserve">Gemäss Artikel 7 InkHV können die Fachstellen mit schriftlichem und begründetem Gesuch von anderen kommunalen, kantonalen oder Bundesbehörden kostenlos Informationen erhalten, die sie zur Erfüllung ihrer Aufgabe benötigen. </w:t>
      </w:r>
      <w:r w:rsidR="00137E2E" w:rsidRPr="00137E2E">
        <w:rPr>
          <w:rFonts w:ascii="Times New Roman" w:hAnsi="Times New Roman" w:cs="Times New Roman"/>
          <w:sz w:val="24"/>
          <w:lang w:val="de-CH"/>
        </w:rPr>
        <w:t>Laut</w:t>
      </w:r>
      <w:r w:rsidRPr="007B41EB">
        <w:rPr>
          <w:rFonts w:ascii="Times New Roman" w:hAnsi="Times New Roman" w:cs="Times New Roman"/>
          <w:sz w:val="24"/>
          <w:lang w:val="de-CH"/>
        </w:rPr>
        <w:t xml:space="preserve"> erläuterndem Bericht zur Inkassohilfeverordnung setzt eine effiziente Inkassohilfe voraus, dass die Fachstelle über vollständige und aktuelle Informationen zur persönlichen und beruflichen Situation der verpflichteten Person und zu ihrer Vermögenslage verfügt. Damit die Inkassohilfe effizient ist, müssen die Fachstellen Zugriff zu den für die Erfüllung ihrer gesetzlichen Aufgabe (Art. 131 Abs. 1 und 290 Abs. 1 ZGB) notwendigen Informationen haben, weshalb ihnen die Verwaltungsbehörden auf kommunaler, kantonaler und Bundesebene alle im Zusammenhang mit der Situation der verpflichteten Person nützlichen Informatione</w:t>
      </w:r>
      <w:r w:rsidR="007A3A52" w:rsidRPr="007B41EB">
        <w:rPr>
          <w:rFonts w:ascii="Times New Roman" w:hAnsi="Times New Roman" w:cs="Times New Roman"/>
          <w:sz w:val="24"/>
          <w:lang w:val="de-CH"/>
        </w:rPr>
        <w:t xml:space="preserve">n zur Verfügung stellen müssen, beispielsweise Betreibungsämter, die Steuerverwaltung oder die Sozialhilfe. </w:t>
      </w:r>
    </w:p>
    <w:p w14:paraId="6BA1EB6D" w14:textId="3F1EB3DF" w:rsidR="0066485C" w:rsidRDefault="007A3A52" w:rsidP="00783368">
      <w:pPr>
        <w:spacing w:line="240" w:lineRule="auto"/>
        <w:jc w:val="both"/>
        <w:rPr>
          <w:rFonts w:ascii="Times New Roman" w:hAnsi="Times New Roman" w:cs="Times New Roman"/>
          <w:sz w:val="24"/>
          <w:lang w:val="de-CH"/>
        </w:rPr>
      </w:pPr>
      <w:r w:rsidRPr="007B41EB">
        <w:rPr>
          <w:rFonts w:ascii="Times New Roman" w:hAnsi="Times New Roman" w:cs="Times New Roman"/>
          <w:sz w:val="24"/>
          <w:lang w:val="de-CH"/>
        </w:rPr>
        <w:t xml:space="preserve">Der Entwurf sieht eine ähnliche Bestimmung wie die InkHV vor, um die Erfüllung anderer Aufgaben der zuständigen Behörde zu erleichtern, namentlich die </w:t>
      </w:r>
      <w:r w:rsidRPr="00137E2E">
        <w:rPr>
          <w:rFonts w:ascii="Times New Roman" w:hAnsi="Times New Roman" w:cs="Times New Roman"/>
          <w:sz w:val="24"/>
          <w:lang w:val="de-CH"/>
        </w:rPr>
        <w:t xml:space="preserve">Bestimmung des </w:t>
      </w:r>
      <w:r w:rsidRPr="007B41EB">
        <w:rPr>
          <w:rFonts w:ascii="Times New Roman" w:hAnsi="Times New Roman" w:cs="Times New Roman"/>
          <w:sz w:val="24"/>
          <w:lang w:val="de-CH"/>
        </w:rPr>
        <w:t>Anspruchs auf Bevorschussung</w:t>
      </w:r>
      <w:r w:rsidRPr="00137E2E">
        <w:rPr>
          <w:rFonts w:ascii="Times New Roman" w:hAnsi="Times New Roman" w:cs="Times New Roman"/>
          <w:sz w:val="24"/>
          <w:lang w:val="de-CH"/>
        </w:rPr>
        <w:t xml:space="preserve"> der unterhaltsberechtigten Person. Die Behörde kann sich so beispielsweise an die Steuer</w:t>
      </w:r>
      <w:r w:rsidRPr="006E629F">
        <w:rPr>
          <w:rFonts w:ascii="Times New Roman" w:hAnsi="Times New Roman" w:cs="Times New Roman"/>
          <w:sz w:val="24"/>
          <w:lang w:val="de-CH"/>
        </w:rPr>
        <w:t xml:space="preserve">verwaltung oder die Sozialhilfe wenden. Diese Untersuchungen innerhalb der Behörden müssen </w:t>
      </w:r>
      <w:r w:rsidR="00D646EE" w:rsidRPr="00137E2E">
        <w:rPr>
          <w:rFonts w:ascii="Times New Roman" w:hAnsi="Times New Roman" w:cs="Times New Roman"/>
          <w:sz w:val="24"/>
          <w:lang w:val="de-CH"/>
        </w:rPr>
        <w:t>subsidiär</w:t>
      </w:r>
      <w:r w:rsidRPr="006E629F">
        <w:rPr>
          <w:rFonts w:ascii="Times New Roman" w:hAnsi="Times New Roman" w:cs="Times New Roman"/>
          <w:sz w:val="24"/>
          <w:lang w:val="de-CH"/>
        </w:rPr>
        <w:t xml:space="preserve"> bleiben. Es obliegt in erster Linie der unterhaltsberechtigten Per</w:t>
      </w:r>
      <w:r w:rsidRPr="006E5812">
        <w:rPr>
          <w:rFonts w:ascii="Times New Roman" w:hAnsi="Times New Roman" w:cs="Times New Roman"/>
          <w:sz w:val="24"/>
          <w:lang w:val="de-CH"/>
        </w:rPr>
        <w:t>son</w:t>
      </w:r>
      <w:r w:rsidR="00137E2E" w:rsidRPr="00137E2E">
        <w:rPr>
          <w:rFonts w:ascii="Times New Roman" w:hAnsi="Times New Roman" w:cs="Times New Roman"/>
          <w:sz w:val="24"/>
          <w:lang w:val="de-CH"/>
        </w:rPr>
        <w:t>,</w:t>
      </w:r>
      <w:r w:rsidRPr="00137E2E">
        <w:rPr>
          <w:rFonts w:ascii="Times New Roman" w:hAnsi="Times New Roman" w:cs="Times New Roman"/>
          <w:sz w:val="24"/>
          <w:lang w:val="de-CH"/>
        </w:rPr>
        <w:t xml:space="preserve"> im Rahmen</w:t>
      </w:r>
      <w:r w:rsidR="00137E2E" w:rsidRPr="00137E2E">
        <w:rPr>
          <w:rFonts w:ascii="Times New Roman" w:hAnsi="Times New Roman" w:cs="Times New Roman"/>
          <w:sz w:val="24"/>
          <w:lang w:val="de-CH"/>
        </w:rPr>
        <w:t xml:space="preserve"> ihrer Mitwirkungspflicht</w:t>
      </w:r>
      <w:r w:rsidRPr="00137E2E">
        <w:rPr>
          <w:rFonts w:ascii="Times New Roman" w:hAnsi="Times New Roman" w:cs="Times New Roman"/>
          <w:sz w:val="24"/>
          <w:lang w:val="de-CH"/>
        </w:rPr>
        <w:t xml:space="preserve"> über ihre persönliche und finanzielle Situation zu informieren</w:t>
      </w:r>
      <w:r w:rsidR="00783368" w:rsidRPr="007B41EB">
        <w:rPr>
          <w:rFonts w:ascii="Times New Roman" w:hAnsi="Times New Roman" w:cs="Times New Roman"/>
          <w:sz w:val="24"/>
          <w:lang w:val="de-CH"/>
        </w:rPr>
        <w:t>.</w:t>
      </w:r>
    </w:p>
    <w:p w14:paraId="0E9CE85C" w14:textId="77777777" w:rsidR="00783368" w:rsidRPr="00137E2E" w:rsidRDefault="00783368" w:rsidP="00E63BEE">
      <w:pPr>
        <w:numPr>
          <w:ilvl w:val="0"/>
          <w:numId w:val="40"/>
        </w:numPr>
        <w:spacing w:line="240" w:lineRule="auto"/>
        <w:ind w:left="644" w:hanging="644"/>
        <w:contextualSpacing/>
        <w:jc w:val="both"/>
        <w:rPr>
          <w:rFonts w:ascii="Times New Roman" w:hAnsi="Times New Roman" w:cs="Times New Roman"/>
          <w:b/>
          <w:sz w:val="24"/>
          <w:szCs w:val="24"/>
          <w:lang w:val="de-CH"/>
        </w:rPr>
      </w:pPr>
    </w:p>
    <w:p w14:paraId="2D1B8BC5" w14:textId="06C8EC8D" w:rsidR="00615361" w:rsidRPr="00137E2E" w:rsidRDefault="00216406" w:rsidP="00E63BEE">
      <w:pPr>
        <w:spacing w:line="240" w:lineRule="auto"/>
        <w:jc w:val="both"/>
        <w:rPr>
          <w:rFonts w:ascii="Times New Roman" w:hAnsi="Times New Roman" w:cs="Times New Roman"/>
          <w:sz w:val="24"/>
          <w:szCs w:val="24"/>
          <w:lang w:val="de-CH"/>
        </w:rPr>
      </w:pPr>
      <w:r w:rsidRPr="00137E2E">
        <w:rPr>
          <w:rFonts w:ascii="Times New Roman" w:hAnsi="Times New Roman" w:cs="Times New Roman"/>
          <w:i/>
          <w:sz w:val="24"/>
          <w:lang w:val="de-CH"/>
        </w:rPr>
        <w:t>Absatz </w:t>
      </w:r>
      <w:r w:rsidR="00731B27" w:rsidRPr="00137E2E">
        <w:rPr>
          <w:rFonts w:ascii="Times New Roman" w:hAnsi="Times New Roman" w:cs="Times New Roman"/>
          <w:i/>
          <w:sz w:val="24"/>
          <w:lang w:val="de-CH"/>
        </w:rPr>
        <w:t xml:space="preserve">1: </w:t>
      </w:r>
      <w:r w:rsidR="00731B27" w:rsidRPr="00137E2E">
        <w:rPr>
          <w:rFonts w:ascii="Times New Roman" w:hAnsi="Times New Roman" w:cs="Times New Roman"/>
          <w:sz w:val="24"/>
          <w:lang w:val="de-CH"/>
        </w:rPr>
        <w:t>Das massgebende Einkommen und Vermögen für die Zuschreibung und die Höhe der Bevorschussung ergibt sich aus dem persönlichen Einkommen und Vermögen des Kindes sowie aus dem Einkommen und Vermögen des obhutsberechtigten Elternteils, wenn das Kind minderjährig ist; aus dem Einkommen und Vermögen des Elternteils, bei dem das volljährige Kind wohnhaft ist; und – im Falle einer Heirat, einer Wiederverheiratung oder eines stabilen Konkubinats des betreffenden Elternteils – aus dem Einkommen und Vermögen der neuen Ehegattin bzw. des neuen Ehegatten oder der neuen Konkubinatspartnerin bzw. des neuen Konkubinatspartners. Bei alternierender Obhut werden Einkommen und Vermögen desjenigen Elternteils berücksichtigt, der im Unterhaltstitel aufgeführt ist.</w:t>
      </w:r>
      <w:r w:rsidR="00731B27" w:rsidRPr="00137E2E">
        <w:rPr>
          <w:rStyle w:val="Appelnotedebasdep"/>
          <w:rFonts w:ascii="Times New Roman" w:hAnsi="Times New Roman" w:cs="Times New Roman"/>
          <w:sz w:val="24"/>
          <w:lang w:val="de-CH"/>
        </w:rPr>
        <w:footnoteReference w:id="11"/>
      </w:r>
      <w:r w:rsidR="00731B27" w:rsidRPr="00137E2E">
        <w:rPr>
          <w:rFonts w:ascii="Times New Roman" w:hAnsi="Times New Roman" w:cs="Times New Roman"/>
          <w:sz w:val="24"/>
          <w:lang w:val="de-CH"/>
        </w:rPr>
        <w:t xml:space="preserve"> </w:t>
      </w:r>
    </w:p>
    <w:p w14:paraId="14CDD0FF" w14:textId="219DB88E" w:rsidR="00615361" w:rsidRPr="00137E2E" w:rsidRDefault="00570466" w:rsidP="00E63BEE">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 xml:space="preserve">Gemäss </w:t>
      </w:r>
      <w:r w:rsidR="00216406" w:rsidRPr="00137E2E">
        <w:rPr>
          <w:rFonts w:ascii="Times New Roman" w:hAnsi="Times New Roman" w:cs="Times New Roman"/>
          <w:sz w:val="24"/>
          <w:lang w:val="de-CH"/>
        </w:rPr>
        <w:t>Artikel </w:t>
      </w:r>
      <w:r w:rsidRPr="00137E2E">
        <w:rPr>
          <w:rFonts w:ascii="Times New Roman" w:hAnsi="Times New Roman" w:cs="Times New Roman"/>
          <w:sz w:val="24"/>
          <w:lang w:val="de-CH"/>
        </w:rPr>
        <w:t xml:space="preserve">278 </w:t>
      </w:r>
      <w:r w:rsidR="00216406" w:rsidRPr="00137E2E">
        <w:rPr>
          <w:rFonts w:ascii="Times New Roman" w:hAnsi="Times New Roman" w:cs="Times New Roman"/>
          <w:sz w:val="24"/>
          <w:lang w:val="de-CH"/>
        </w:rPr>
        <w:t>Abs. </w:t>
      </w:r>
      <w:r w:rsidRPr="00137E2E">
        <w:rPr>
          <w:rFonts w:ascii="Times New Roman" w:hAnsi="Times New Roman" w:cs="Times New Roman"/>
          <w:sz w:val="24"/>
          <w:lang w:val="de-CH"/>
        </w:rPr>
        <w:t xml:space="preserve">2 ZGB hat jeder Ehegatte dem andern in der Erfüllung der Unterhaltspflicht gegenüber vorehelichen Kindern in angemessener Weise beizustehen. Der Entwurf behandelt stabile Konkubinatspartner/innen als Ehegatten und berücksichtigt deren </w:t>
      </w:r>
      <w:r w:rsidRPr="00137E2E">
        <w:rPr>
          <w:rFonts w:ascii="Times New Roman" w:hAnsi="Times New Roman" w:cs="Times New Roman"/>
          <w:sz w:val="24"/>
          <w:lang w:val="de-CH"/>
        </w:rPr>
        <w:lastRenderedPageBreak/>
        <w:t>Einkommen und Vermögen, wohingegen das aktuelle Gesetz zum Einkommen des obhutsberechtigten Elternteils 2000</w:t>
      </w:r>
      <w:r w:rsidR="00FD7FEE" w:rsidRPr="00137E2E">
        <w:rPr>
          <w:rFonts w:ascii="Times New Roman" w:hAnsi="Times New Roman" w:cs="Times New Roman"/>
          <w:sz w:val="24"/>
          <w:lang w:val="de-CH"/>
        </w:rPr>
        <w:t> Franken</w:t>
      </w:r>
      <w:r w:rsidRPr="00137E2E">
        <w:rPr>
          <w:rFonts w:ascii="Times New Roman" w:hAnsi="Times New Roman" w:cs="Times New Roman"/>
          <w:sz w:val="24"/>
          <w:lang w:val="de-CH"/>
        </w:rPr>
        <w:t xml:space="preserve"> hinzufügt, die dem Wert seiner Haushaltsarbeit entsprechen.</w:t>
      </w:r>
      <w:r w:rsidRPr="00137E2E">
        <w:rPr>
          <w:rStyle w:val="Appelnotedebasdep"/>
          <w:rFonts w:ascii="Times New Roman" w:hAnsi="Times New Roman" w:cs="Times New Roman"/>
          <w:sz w:val="24"/>
          <w:lang w:val="de-CH"/>
        </w:rPr>
        <w:footnoteReference w:id="12"/>
      </w:r>
      <w:r w:rsidRPr="00137E2E">
        <w:rPr>
          <w:rFonts w:ascii="Times New Roman" w:hAnsi="Times New Roman" w:cs="Times New Roman"/>
          <w:sz w:val="24"/>
          <w:lang w:val="de-CH"/>
        </w:rPr>
        <w:t xml:space="preserve"> Mit der neuen Regelung können somit die tatsächliche finanzielle Situation der einzelnen Gesuchstellenden besser eingeschätzt und Ungleichbehandlungen zwischen wiederverheirateten Eltern und solchen, die in einem stabilen Konkubinat leben, vermieden werden. </w:t>
      </w:r>
    </w:p>
    <w:p w14:paraId="36D7849A" w14:textId="39CA35FE" w:rsidR="00AE7B1F" w:rsidRPr="00137E2E" w:rsidRDefault="00216406" w:rsidP="00E63BEE">
      <w:pPr>
        <w:spacing w:line="240" w:lineRule="auto"/>
        <w:jc w:val="both"/>
        <w:rPr>
          <w:rFonts w:ascii="Times New Roman" w:hAnsi="Times New Roman" w:cs="Times New Roman"/>
          <w:sz w:val="24"/>
          <w:szCs w:val="24"/>
          <w:lang w:val="de-CH"/>
        </w:rPr>
      </w:pPr>
      <w:r w:rsidRPr="00137E2E">
        <w:rPr>
          <w:rFonts w:ascii="Times New Roman" w:hAnsi="Times New Roman" w:cs="Times New Roman"/>
          <w:i/>
          <w:sz w:val="24"/>
          <w:lang w:val="de-CH"/>
        </w:rPr>
        <w:t>Absatz </w:t>
      </w:r>
      <w:r w:rsidR="00AE7B1F" w:rsidRPr="00137E2E">
        <w:rPr>
          <w:rFonts w:ascii="Times New Roman" w:hAnsi="Times New Roman" w:cs="Times New Roman"/>
          <w:i/>
          <w:sz w:val="24"/>
          <w:lang w:val="de-CH"/>
        </w:rPr>
        <w:t xml:space="preserve">2: </w:t>
      </w:r>
      <w:r w:rsidR="00AE7B1F" w:rsidRPr="00137E2E">
        <w:rPr>
          <w:rFonts w:ascii="Times New Roman" w:hAnsi="Times New Roman" w:cs="Times New Roman"/>
          <w:sz w:val="24"/>
          <w:lang w:val="de-CH"/>
        </w:rPr>
        <w:t>Zivilrechtlich gesehen geht aus der unter dem bisherigen Scheidungsrecht entwickelten Praxis hervor, dass das Konkubinat – zu bestimmten Bedingungen – eine eheähnliche Gemeinschaft darstellt, die zur Streichung des Anspruchs auf die Rente für geschiedenen Ehegatten führen kann. Das Bundesgericht stellt die (wiederlegbare) Vermutung auf, dass ein Konkubinat stabil war, wenn es zum Zeitpunkt der Erhebung der Klage zur Änderung des Scheidungsurteils seit fünf Jahren gedauert hat («qualifiziertes Konkubinat»). Im Bereich der Sozialhilfe sehen die Weisungen der Schweizerischen Konferenz für Sozialhilfe (SKOS) vor, dass in Fällen, wo die Partner in einem stabilen Konkubinat leben und nur eine Person unterstützt wird, Einkommen und Vermögen des nicht unterstützten Konkubinatspartners angemessen berücksichtigt werden können. Diese Weisungen präzisieren, dass namentlich dann von einem stabilen Konkubinat auszugehen ist, wenn es mindestens zwei Jahre andauert oder die Partner mit einem gemeinsamen Kind zusammenleben. Das Bundesgericht hat seinerseits geurteilt, dass – im Bereich der Bevorschussung von Unterhaltsbeiträgen zugunsten von Kindern – eine kantonale Bestimmung, wonach die Einkünfte der Konkubinatspartnerin bzw. des Konkubinatspartners des anspruchsberechtigten Elternteils für die Prüfung des Bevorschussungsanspruchs komplett berücksichtigt werden, nicht willkürlich sei.</w:t>
      </w:r>
      <w:r w:rsidR="00AE7B1F" w:rsidRPr="00137E2E">
        <w:rPr>
          <w:rStyle w:val="Appelnotedebasdep"/>
          <w:rFonts w:ascii="Times New Roman" w:hAnsi="Times New Roman" w:cs="Times New Roman"/>
          <w:sz w:val="24"/>
          <w:lang w:val="de-CH"/>
        </w:rPr>
        <w:footnoteReference w:id="13"/>
      </w:r>
      <w:r w:rsidR="00AE7B1F" w:rsidRPr="00137E2E">
        <w:rPr>
          <w:rFonts w:ascii="Times New Roman" w:hAnsi="Times New Roman" w:cs="Times New Roman"/>
          <w:sz w:val="24"/>
          <w:lang w:val="de-CH"/>
        </w:rPr>
        <w:t xml:space="preserve"> </w:t>
      </w:r>
    </w:p>
    <w:p w14:paraId="0506EA1B" w14:textId="77777777" w:rsidR="00566ABE" w:rsidRPr="00137E2E" w:rsidRDefault="00566ABE" w:rsidP="00E63BEE">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 xml:space="preserve">In diesem Sinne wird im Entwurf vom Vorliegen eines stabilen Konkubinats ausgegangen, wenn die Personen zusammenleben und ein gemeinsames Kind haben oder seit mindestens zwei Jahren zusammenleben. </w:t>
      </w:r>
    </w:p>
    <w:p w14:paraId="754FBF55" w14:textId="3F8CC512" w:rsidR="0020671B" w:rsidRPr="00137E2E" w:rsidRDefault="00216406" w:rsidP="00B96E37">
      <w:pPr>
        <w:spacing w:line="240" w:lineRule="auto"/>
        <w:jc w:val="both"/>
        <w:rPr>
          <w:rFonts w:ascii="Times New Roman" w:hAnsi="Times New Roman" w:cs="Times New Roman"/>
          <w:sz w:val="24"/>
          <w:szCs w:val="24"/>
          <w:lang w:val="de-CH"/>
        </w:rPr>
      </w:pPr>
      <w:r w:rsidRPr="00137E2E">
        <w:rPr>
          <w:rFonts w:ascii="Times New Roman" w:hAnsi="Times New Roman" w:cs="Times New Roman"/>
          <w:i/>
          <w:sz w:val="24"/>
          <w:lang w:val="de-CH"/>
        </w:rPr>
        <w:t>Absatz </w:t>
      </w:r>
      <w:r w:rsidR="00476901" w:rsidRPr="00137E2E">
        <w:rPr>
          <w:rFonts w:ascii="Times New Roman" w:hAnsi="Times New Roman" w:cs="Times New Roman"/>
          <w:i/>
          <w:sz w:val="24"/>
          <w:lang w:val="de-CH"/>
        </w:rPr>
        <w:t xml:space="preserve">3: </w:t>
      </w:r>
      <w:r w:rsidR="00476901" w:rsidRPr="00137E2E">
        <w:rPr>
          <w:rFonts w:ascii="Times New Roman" w:hAnsi="Times New Roman" w:cs="Times New Roman"/>
          <w:sz w:val="24"/>
          <w:lang w:val="de-CH"/>
        </w:rPr>
        <w:t>Der Staatsrat wird das massgebende Einkommen und Vermögen festlegen sowie deren Obergrenzen bestimmen. Im aktuellen Recht sind Gesamtvorschüsse in Höhe von 400</w:t>
      </w:r>
      <w:r w:rsidR="00FD7FEE" w:rsidRPr="00137E2E">
        <w:rPr>
          <w:rFonts w:ascii="Times New Roman" w:hAnsi="Times New Roman" w:cs="Times New Roman"/>
          <w:sz w:val="24"/>
          <w:lang w:val="de-CH"/>
        </w:rPr>
        <w:t> Franken</w:t>
      </w:r>
      <w:r w:rsidR="00476901" w:rsidRPr="00137E2E">
        <w:rPr>
          <w:rFonts w:ascii="Times New Roman" w:hAnsi="Times New Roman" w:cs="Times New Roman"/>
          <w:sz w:val="24"/>
          <w:lang w:val="de-CH"/>
        </w:rPr>
        <w:t xml:space="preserve"> oder dem Einkommen entsprechende, schrittweise um jeweils 100</w:t>
      </w:r>
      <w:r w:rsidR="00FD7FEE" w:rsidRPr="00137E2E">
        <w:rPr>
          <w:rFonts w:ascii="Times New Roman" w:hAnsi="Times New Roman" w:cs="Times New Roman"/>
          <w:sz w:val="24"/>
          <w:lang w:val="de-CH"/>
        </w:rPr>
        <w:t> Franken</w:t>
      </w:r>
      <w:r w:rsidR="00476901" w:rsidRPr="00137E2E">
        <w:rPr>
          <w:rFonts w:ascii="Times New Roman" w:hAnsi="Times New Roman" w:cs="Times New Roman"/>
          <w:sz w:val="24"/>
          <w:lang w:val="de-CH"/>
        </w:rPr>
        <w:t xml:space="preserve"> gekürzte (Teil-)Vorschüsse vorgesehen.</w:t>
      </w:r>
      <w:r w:rsidR="00476901" w:rsidRPr="00137E2E">
        <w:rPr>
          <w:rStyle w:val="Appelnotedebasdep"/>
          <w:rFonts w:ascii="Times New Roman" w:hAnsi="Times New Roman" w:cs="Times New Roman"/>
          <w:sz w:val="24"/>
          <w:lang w:val="de-CH"/>
        </w:rPr>
        <w:footnoteReference w:id="14"/>
      </w:r>
      <w:r w:rsidR="00476901" w:rsidRPr="00137E2E">
        <w:rPr>
          <w:rFonts w:ascii="Times New Roman" w:hAnsi="Times New Roman" w:cs="Times New Roman"/>
          <w:sz w:val="24"/>
          <w:lang w:val="de-CH"/>
        </w:rPr>
        <w:t xml:space="preserve"> </w:t>
      </w:r>
    </w:p>
    <w:p w14:paraId="0F6C228F" w14:textId="3ABDD469" w:rsidR="009B46D1" w:rsidRPr="00137E2E" w:rsidRDefault="00216406" w:rsidP="003237C8">
      <w:pPr>
        <w:spacing w:line="240" w:lineRule="auto"/>
        <w:contextualSpacing/>
        <w:jc w:val="both"/>
        <w:rPr>
          <w:rFonts w:ascii="Times New Roman" w:hAnsi="Times New Roman" w:cs="Times New Roman"/>
          <w:b/>
          <w:sz w:val="24"/>
          <w:szCs w:val="24"/>
          <w:lang w:val="de-CH"/>
        </w:rPr>
      </w:pPr>
      <w:r w:rsidRPr="00137E2E">
        <w:rPr>
          <w:rFonts w:ascii="Times New Roman" w:hAnsi="Times New Roman" w:cs="Times New Roman"/>
          <w:b/>
          <w:sz w:val="24"/>
          <w:lang w:val="de-CH"/>
        </w:rPr>
        <w:t>Art. </w:t>
      </w:r>
      <w:r w:rsidR="007A3A52" w:rsidRPr="00137E2E">
        <w:rPr>
          <w:rFonts w:ascii="Times New Roman" w:hAnsi="Times New Roman" w:cs="Times New Roman"/>
          <w:b/>
          <w:sz w:val="24"/>
          <w:lang w:val="de-CH"/>
        </w:rPr>
        <w:t>9</w:t>
      </w:r>
      <w:r w:rsidR="00476901" w:rsidRPr="00137E2E">
        <w:rPr>
          <w:rFonts w:ascii="Times New Roman" w:hAnsi="Times New Roman" w:cs="Times New Roman"/>
          <w:b/>
          <w:sz w:val="24"/>
          <w:lang w:val="de-CH"/>
        </w:rPr>
        <w:t xml:space="preserve"> Höhe der Bevorschussung </w:t>
      </w:r>
    </w:p>
    <w:p w14:paraId="42767308" w14:textId="77777777" w:rsidR="00D26694" w:rsidRPr="00137E2E" w:rsidRDefault="00D26694" w:rsidP="00104909">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 xml:space="preserve">Die Bevorschussung darf nicht höher sein als der Betrag, der im Unterhaltstitel festgelegt wurde. </w:t>
      </w:r>
    </w:p>
    <w:p w14:paraId="7B86893F" w14:textId="42C8DE1B" w:rsidR="00C900ED" w:rsidRPr="00137E2E" w:rsidRDefault="00D26694" w:rsidP="007B41EB">
      <w:pPr>
        <w:spacing w:line="240" w:lineRule="auto"/>
        <w:jc w:val="both"/>
        <w:rPr>
          <w:rFonts w:ascii="Times New Roman" w:hAnsi="Times New Roman" w:cs="Times New Roman"/>
          <w:sz w:val="24"/>
          <w:lang w:val="de-CH"/>
        </w:rPr>
      </w:pPr>
      <w:r w:rsidRPr="00137E2E">
        <w:rPr>
          <w:rFonts w:ascii="Times New Roman" w:hAnsi="Times New Roman" w:cs="Times New Roman"/>
          <w:sz w:val="24"/>
          <w:lang w:val="de-CH"/>
        </w:rPr>
        <w:t>Darüber hinaus legen alle Kantone in ihren Gesetzgebungen eine Obergrenze pro Kind und Monat fest. In 18 Kantonen (AG, AI, AR, BL, BS, BE, GL, LU, NW, OW, SG, SH, SO, SZ, TG, UR, VD</w:t>
      </w:r>
      <w:r w:rsidRPr="00137E2E">
        <w:rPr>
          <w:rStyle w:val="Appelnotedebasdep"/>
          <w:rFonts w:ascii="Times New Roman" w:hAnsi="Times New Roman" w:cs="Times New Roman"/>
          <w:sz w:val="24"/>
          <w:lang w:val="de-CH"/>
        </w:rPr>
        <w:footnoteReference w:id="15"/>
      </w:r>
      <w:r w:rsidRPr="00137E2E">
        <w:rPr>
          <w:rFonts w:ascii="Times New Roman" w:hAnsi="Times New Roman" w:cs="Times New Roman"/>
          <w:sz w:val="24"/>
          <w:lang w:val="de-CH"/>
        </w:rPr>
        <w:t xml:space="preserve">, ZH) entspricht diese Obergrenze der maximalen einfachen Waisenrente; diese beläuft sich im </w:t>
      </w:r>
      <w:r w:rsidR="00FD7FEE" w:rsidRPr="00137E2E">
        <w:rPr>
          <w:rFonts w:ascii="Times New Roman" w:hAnsi="Times New Roman" w:cs="Times New Roman"/>
          <w:sz w:val="24"/>
          <w:lang w:val="de-CH"/>
        </w:rPr>
        <w:t>Jahr</w:t>
      </w:r>
      <w:r w:rsidR="000A39BF" w:rsidRPr="00137E2E">
        <w:rPr>
          <w:rFonts w:ascii="Times New Roman" w:hAnsi="Times New Roman" w:cs="Times New Roman"/>
          <w:sz w:val="24"/>
          <w:lang w:val="de-CH"/>
        </w:rPr>
        <w:t> </w:t>
      </w:r>
      <w:r w:rsidRPr="00137E2E">
        <w:rPr>
          <w:rFonts w:ascii="Times New Roman" w:hAnsi="Times New Roman" w:cs="Times New Roman"/>
          <w:sz w:val="24"/>
          <w:lang w:val="de-CH"/>
        </w:rPr>
        <w:t>2020 auf 948</w:t>
      </w:r>
      <w:r w:rsidR="00FD7FEE" w:rsidRPr="00137E2E">
        <w:rPr>
          <w:rFonts w:ascii="Times New Roman" w:hAnsi="Times New Roman" w:cs="Times New Roman"/>
          <w:sz w:val="24"/>
          <w:lang w:val="de-CH"/>
        </w:rPr>
        <w:t> Franken</w:t>
      </w:r>
      <w:r w:rsidRPr="00137E2E">
        <w:rPr>
          <w:rFonts w:ascii="Times New Roman" w:hAnsi="Times New Roman" w:cs="Times New Roman"/>
          <w:sz w:val="24"/>
          <w:lang w:val="de-CH"/>
        </w:rPr>
        <w:t xml:space="preserve"> p</w:t>
      </w:r>
      <w:r w:rsidR="000A39BF" w:rsidRPr="00137E2E">
        <w:rPr>
          <w:rFonts w:ascii="Times New Roman" w:hAnsi="Times New Roman" w:cs="Times New Roman"/>
          <w:sz w:val="24"/>
          <w:lang w:val="de-CH"/>
        </w:rPr>
        <w:t xml:space="preserve">ro Kind und Monat. Die anderen acht </w:t>
      </w:r>
      <w:r w:rsidRPr="00137E2E">
        <w:rPr>
          <w:rFonts w:ascii="Times New Roman" w:hAnsi="Times New Roman" w:cs="Times New Roman"/>
          <w:sz w:val="24"/>
          <w:lang w:val="de-CH"/>
        </w:rPr>
        <w:t xml:space="preserve">Kantone (FR, </w:t>
      </w:r>
      <w:r w:rsidRPr="00137E2E">
        <w:rPr>
          <w:rFonts w:ascii="Times New Roman" w:hAnsi="Times New Roman" w:cs="Times New Roman"/>
          <w:sz w:val="24"/>
          <w:lang w:val="de-CH"/>
        </w:rPr>
        <w:lastRenderedPageBreak/>
        <w:t xml:space="preserve">GE, GR, JU, NE, TI, VS, ZG) haben unterschiedlich hohe Maximalbeträge pro Kind und Monat festgelegt. </w:t>
      </w:r>
    </w:p>
    <w:p w14:paraId="5527E4C1" w14:textId="2956A1B6" w:rsidR="00D26694" w:rsidRPr="00137E2E" w:rsidRDefault="00D26694" w:rsidP="00104909">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Mit 2000</w:t>
      </w:r>
      <w:r w:rsidR="00FD7FEE" w:rsidRPr="00137E2E">
        <w:rPr>
          <w:rFonts w:ascii="Times New Roman" w:hAnsi="Times New Roman" w:cs="Times New Roman"/>
          <w:sz w:val="24"/>
          <w:lang w:val="de-CH"/>
        </w:rPr>
        <w:t> Franken</w:t>
      </w:r>
      <w:r w:rsidRPr="00137E2E">
        <w:rPr>
          <w:rFonts w:ascii="Times New Roman" w:hAnsi="Times New Roman" w:cs="Times New Roman"/>
          <w:sz w:val="24"/>
          <w:lang w:val="de-CH"/>
        </w:rPr>
        <w:t xml:space="preserve"> fällt in dieser Gruppe der maximal bevorschusste Betrag pro Kind und Monat im Kanton Neuenburg am höchsten aus. Im Kanton Freiburg ist dieser Maximalbetrag mit 400</w:t>
      </w:r>
      <w:r w:rsidR="00FD7FEE" w:rsidRPr="00137E2E">
        <w:rPr>
          <w:rFonts w:ascii="Times New Roman" w:hAnsi="Times New Roman" w:cs="Times New Roman"/>
          <w:sz w:val="24"/>
          <w:lang w:val="de-CH"/>
        </w:rPr>
        <w:t> Franken</w:t>
      </w:r>
      <w:r w:rsidRPr="00137E2E">
        <w:rPr>
          <w:rFonts w:ascii="Times New Roman" w:hAnsi="Times New Roman" w:cs="Times New Roman"/>
          <w:sz w:val="24"/>
          <w:lang w:val="de-CH"/>
        </w:rPr>
        <w:t xml:space="preserve"> pro Kind und Monat am niedrigsten bemessen.</w:t>
      </w:r>
      <w:r w:rsidRPr="00137E2E">
        <w:rPr>
          <w:rStyle w:val="Appelnotedebasdep"/>
          <w:rFonts w:ascii="Times New Roman" w:hAnsi="Times New Roman" w:cs="Times New Roman"/>
          <w:sz w:val="24"/>
          <w:lang w:val="de-CH"/>
        </w:rPr>
        <w:footnoteReference w:id="16"/>
      </w:r>
      <w:r w:rsidRPr="00137E2E">
        <w:rPr>
          <w:rFonts w:ascii="Times New Roman" w:hAnsi="Times New Roman" w:cs="Times New Roman"/>
          <w:sz w:val="24"/>
          <w:lang w:val="de-CH"/>
        </w:rPr>
        <w:t xml:space="preserve"> </w:t>
      </w:r>
    </w:p>
    <w:p w14:paraId="767F9AB3" w14:textId="7D5FA050" w:rsidR="007D3DC0" w:rsidRPr="00137E2E" w:rsidRDefault="003C3AF9" w:rsidP="007D3DC0">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2011 hat der Bundesrat empfohlen, die Höchstgrenze entsprechend dem Betrag der maximalen einfachen Waisenrente festzulegen und festgestellt, dass dies sozialpolitisch überzeugend ist und ausserdem entsprechend breite Akzeptanz hat, was sich auch darin zeigt, dass sich die Mehrheit der Kantone daran orientiert.</w:t>
      </w:r>
      <w:r w:rsidRPr="00137E2E">
        <w:rPr>
          <w:rStyle w:val="Appelnotedebasdep"/>
          <w:rFonts w:ascii="Times New Roman" w:hAnsi="Times New Roman" w:cs="Times New Roman"/>
          <w:sz w:val="24"/>
          <w:lang w:val="de-CH"/>
        </w:rPr>
        <w:footnoteReference w:id="17"/>
      </w:r>
      <w:r w:rsidRPr="00137E2E">
        <w:rPr>
          <w:rFonts w:ascii="Times New Roman" w:hAnsi="Times New Roman" w:cs="Times New Roman"/>
          <w:sz w:val="24"/>
          <w:lang w:val="de-CH"/>
        </w:rPr>
        <w:t xml:space="preserve"> Die SODK hatte 2013 vorgeschlagen, eben diesen Betrag zu verabschieden.</w:t>
      </w:r>
      <w:r w:rsidRPr="00137E2E">
        <w:rPr>
          <w:rStyle w:val="Appelnotedebasdep"/>
          <w:rFonts w:ascii="Times New Roman" w:hAnsi="Times New Roman" w:cs="Times New Roman"/>
          <w:sz w:val="24"/>
          <w:lang w:val="de-CH"/>
        </w:rPr>
        <w:footnoteReference w:id="18"/>
      </w:r>
      <w:r w:rsidRPr="00137E2E">
        <w:rPr>
          <w:rFonts w:ascii="Times New Roman" w:hAnsi="Times New Roman" w:cs="Times New Roman"/>
          <w:sz w:val="24"/>
          <w:lang w:val="de-CH"/>
        </w:rPr>
        <w:t xml:space="preserve"> </w:t>
      </w:r>
    </w:p>
    <w:p w14:paraId="185EB606" w14:textId="4E470F40" w:rsidR="001A356B" w:rsidRPr="00137E2E" w:rsidRDefault="001A356B" w:rsidP="00104909">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Die Motion</w:t>
      </w:r>
      <w:r w:rsidR="00EE1FFC">
        <w:rPr>
          <w:rFonts w:ascii="Times New Roman" w:hAnsi="Times New Roman" w:cs="Times New Roman"/>
          <w:sz w:val="24"/>
          <w:lang w:val="de-CH"/>
        </w:rPr>
        <w:t xml:space="preserve"> der Grossräte Moussa und Morel</w:t>
      </w:r>
      <w:r w:rsidRPr="00137E2E">
        <w:rPr>
          <w:rFonts w:ascii="Times New Roman" w:hAnsi="Times New Roman" w:cs="Times New Roman"/>
          <w:sz w:val="24"/>
          <w:lang w:val="de-CH"/>
        </w:rPr>
        <w:t xml:space="preserve"> beabsichtigt die Anhebung des Vorschusses für das jüngste Kind von 400 auf monatlich 650</w:t>
      </w:r>
      <w:r w:rsidR="00FD7FEE" w:rsidRPr="00137E2E">
        <w:rPr>
          <w:rFonts w:ascii="Times New Roman" w:hAnsi="Times New Roman" w:cs="Times New Roman"/>
          <w:sz w:val="24"/>
          <w:lang w:val="de-CH"/>
        </w:rPr>
        <w:t> Franken</w:t>
      </w:r>
      <w:r w:rsidRPr="00137E2E">
        <w:rPr>
          <w:rFonts w:ascii="Times New Roman" w:hAnsi="Times New Roman" w:cs="Times New Roman"/>
          <w:sz w:val="24"/>
          <w:lang w:val="de-CH"/>
        </w:rPr>
        <w:t xml:space="preserve">, wenn die Mutter oder der Vater keinen Beitrag bezieht. Diesem Vorschlag liegt folgende Überlegung zugrunde: Als 2017 der geänderte Unterhaltsanspruch in Kraft getreten ist, wurde eine neue Art der Berechnung der Beiträge zugunsten der Kinder eingeführt: Seither werden die Kosten für die Betreuung des Kindes (indirekte Kosten) als fester Bestandteil des ausschliesslich dem Kinde </w:t>
      </w:r>
      <w:r w:rsidR="0048409D" w:rsidRPr="00137E2E">
        <w:rPr>
          <w:rFonts w:ascii="Times New Roman" w:hAnsi="Times New Roman" w:cs="Times New Roman"/>
          <w:sz w:val="24"/>
          <w:lang w:val="de-CH"/>
        </w:rPr>
        <w:t>zugutekommenden</w:t>
      </w:r>
      <w:r w:rsidRPr="00137E2E">
        <w:rPr>
          <w:rFonts w:ascii="Times New Roman" w:hAnsi="Times New Roman" w:cs="Times New Roman"/>
          <w:sz w:val="24"/>
          <w:lang w:val="de-CH"/>
        </w:rPr>
        <w:t xml:space="preserve"> Unterhaltsbeitrags betrachtet, was einen Einfluss auf die Unterhaltsvorschüsse für Ehegatten und Ex-Ehegatten hat: Weil die indirekten Kosten nun im Unterhaltsbeitrag zugunsten des Kindes enthalten sind, werden getrennte oder geschiedene Mütter und Väter verglichen mit dem bisherigen Recht benachteiligt, weil sie keinen Anspruch auf einen Vorschuss für sich selbst mehr haben, namentlich wenn der Unterhaltsschuldner nach Berücksichtigung des Unterhaltsbeitrags für die Kinder kein verfügbares Guthaben mehr hat, sodass der Bezugsberechtigte in der Praxis die damit einhergehende Bevorschussung nicht mehr bezieht. Die Motionäre schlagen vor, dieser Situation entgegenzuwirken, indem der Höchstbetrag des Vorschusses für das jüngste Kind angehoben wird. </w:t>
      </w:r>
    </w:p>
    <w:p w14:paraId="0479B45D" w14:textId="0DA5B6E7" w:rsidR="007D3DC0" w:rsidRPr="00137E2E" w:rsidRDefault="007D3DC0" w:rsidP="003237C8">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Der Staatsrat schlägt eine Obergrenze von 650</w:t>
      </w:r>
      <w:r w:rsidR="00FD7FEE" w:rsidRPr="00137E2E">
        <w:rPr>
          <w:rFonts w:ascii="Times New Roman" w:hAnsi="Times New Roman" w:cs="Times New Roman"/>
          <w:sz w:val="24"/>
          <w:lang w:val="de-CH"/>
        </w:rPr>
        <w:t> Franken</w:t>
      </w:r>
      <w:r w:rsidR="00EE1FFC">
        <w:rPr>
          <w:rFonts w:ascii="Times New Roman" w:hAnsi="Times New Roman" w:cs="Times New Roman"/>
          <w:sz w:val="24"/>
          <w:lang w:val="de-CH"/>
        </w:rPr>
        <w:t xml:space="preserve"> für alle Kinder</w:t>
      </w:r>
      <w:r w:rsidRPr="00137E2E">
        <w:rPr>
          <w:rFonts w:ascii="Times New Roman" w:hAnsi="Times New Roman" w:cs="Times New Roman"/>
          <w:sz w:val="24"/>
          <w:lang w:val="de-CH"/>
        </w:rPr>
        <w:t xml:space="preserve"> vor. Laut Statistiken der Dossiers, die das Kantonale Sozialamt (KSA) bearbeitet hat, lagen Anfang</w:t>
      </w:r>
      <w:r w:rsidR="00FD7FEE" w:rsidRPr="00137E2E">
        <w:rPr>
          <w:rFonts w:ascii="Times New Roman" w:hAnsi="Times New Roman" w:cs="Times New Roman"/>
          <w:sz w:val="24"/>
          <w:lang w:val="de-CH"/>
        </w:rPr>
        <w:t> 20</w:t>
      </w:r>
      <w:r w:rsidRPr="00137E2E">
        <w:rPr>
          <w:rFonts w:ascii="Times New Roman" w:hAnsi="Times New Roman" w:cs="Times New Roman"/>
          <w:sz w:val="24"/>
          <w:lang w:val="de-CH"/>
        </w:rPr>
        <w:t>20 27</w:t>
      </w:r>
      <w:r w:rsidR="00FD7FEE" w:rsidRPr="00137E2E">
        <w:rPr>
          <w:rFonts w:ascii="Times New Roman" w:hAnsi="Times New Roman" w:cs="Times New Roman"/>
          <w:sz w:val="24"/>
          <w:lang w:val="de-CH"/>
        </w:rPr>
        <w:t> %</w:t>
      </w:r>
      <w:r w:rsidRPr="00137E2E">
        <w:rPr>
          <w:rFonts w:ascii="Times New Roman" w:hAnsi="Times New Roman" w:cs="Times New Roman"/>
          <w:sz w:val="24"/>
          <w:lang w:val="de-CH"/>
        </w:rPr>
        <w:t xml:space="preserve"> der Unterhaltsbeiträge unter bzw. bei 400</w:t>
      </w:r>
      <w:r w:rsidR="00FD7FEE" w:rsidRPr="00137E2E">
        <w:rPr>
          <w:rFonts w:ascii="Times New Roman" w:hAnsi="Times New Roman" w:cs="Times New Roman"/>
          <w:sz w:val="24"/>
          <w:lang w:val="de-CH"/>
        </w:rPr>
        <w:t> Franken</w:t>
      </w:r>
      <w:r w:rsidRPr="00137E2E">
        <w:rPr>
          <w:rFonts w:ascii="Times New Roman" w:hAnsi="Times New Roman" w:cs="Times New Roman"/>
          <w:sz w:val="24"/>
          <w:lang w:val="de-CH"/>
        </w:rPr>
        <w:t>, 40</w:t>
      </w:r>
      <w:r w:rsidR="00FD7FEE" w:rsidRPr="00137E2E">
        <w:rPr>
          <w:rFonts w:ascii="Times New Roman" w:hAnsi="Times New Roman" w:cs="Times New Roman"/>
          <w:sz w:val="24"/>
          <w:lang w:val="de-CH"/>
        </w:rPr>
        <w:t> %</w:t>
      </w:r>
      <w:r w:rsidRPr="00137E2E">
        <w:rPr>
          <w:rFonts w:ascii="Times New Roman" w:hAnsi="Times New Roman" w:cs="Times New Roman"/>
          <w:sz w:val="24"/>
          <w:lang w:val="de-CH"/>
        </w:rPr>
        <w:t xml:space="preserve"> zwischen 400 und 650</w:t>
      </w:r>
      <w:r w:rsidR="00FD7FEE" w:rsidRPr="00137E2E">
        <w:rPr>
          <w:rFonts w:ascii="Times New Roman" w:hAnsi="Times New Roman" w:cs="Times New Roman"/>
          <w:sz w:val="24"/>
          <w:lang w:val="de-CH"/>
        </w:rPr>
        <w:t> Franken</w:t>
      </w:r>
      <w:r w:rsidRPr="00137E2E">
        <w:rPr>
          <w:rFonts w:ascii="Times New Roman" w:hAnsi="Times New Roman" w:cs="Times New Roman"/>
          <w:sz w:val="24"/>
          <w:lang w:val="de-CH"/>
        </w:rPr>
        <w:t>, 26</w:t>
      </w:r>
      <w:r w:rsidR="00FD7FEE" w:rsidRPr="00137E2E">
        <w:rPr>
          <w:rFonts w:ascii="Times New Roman" w:hAnsi="Times New Roman" w:cs="Times New Roman"/>
          <w:sz w:val="24"/>
          <w:lang w:val="de-CH"/>
        </w:rPr>
        <w:t> %</w:t>
      </w:r>
      <w:r w:rsidRPr="00137E2E">
        <w:rPr>
          <w:rFonts w:ascii="Times New Roman" w:hAnsi="Times New Roman" w:cs="Times New Roman"/>
          <w:sz w:val="24"/>
          <w:lang w:val="de-CH"/>
        </w:rPr>
        <w:t xml:space="preserve"> zwischen 650 und 948</w:t>
      </w:r>
      <w:r w:rsidR="00FD7FEE" w:rsidRPr="00137E2E">
        <w:rPr>
          <w:rFonts w:ascii="Times New Roman" w:hAnsi="Times New Roman" w:cs="Times New Roman"/>
          <w:sz w:val="24"/>
          <w:lang w:val="de-CH"/>
        </w:rPr>
        <w:t> Franken</w:t>
      </w:r>
      <w:r w:rsidRPr="00137E2E">
        <w:rPr>
          <w:rFonts w:ascii="Times New Roman" w:hAnsi="Times New Roman" w:cs="Times New Roman"/>
          <w:sz w:val="24"/>
          <w:lang w:val="de-CH"/>
        </w:rPr>
        <w:t xml:space="preserve"> und 7</w:t>
      </w:r>
      <w:r w:rsidR="00FD7FEE" w:rsidRPr="00137E2E">
        <w:rPr>
          <w:rFonts w:ascii="Times New Roman" w:hAnsi="Times New Roman" w:cs="Times New Roman"/>
          <w:sz w:val="24"/>
          <w:lang w:val="de-CH"/>
        </w:rPr>
        <w:t> %</w:t>
      </w:r>
      <w:r w:rsidRPr="00137E2E">
        <w:rPr>
          <w:rFonts w:ascii="Times New Roman" w:hAnsi="Times New Roman" w:cs="Times New Roman"/>
          <w:sz w:val="24"/>
          <w:lang w:val="de-CH"/>
        </w:rPr>
        <w:t xml:space="preserve"> über diesem letzten Betrag. </w:t>
      </w:r>
      <w:r w:rsidR="00FE2F09">
        <w:rPr>
          <w:rFonts w:ascii="Times New Roman" w:hAnsi="Times New Roman" w:cs="Times New Roman"/>
          <w:sz w:val="24"/>
          <w:lang w:val="de-CH"/>
        </w:rPr>
        <w:t xml:space="preserve">Auch wenn sie </w:t>
      </w:r>
      <w:r w:rsidR="00FE2F09" w:rsidRPr="00137E2E">
        <w:rPr>
          <w:rFonts w:ascii="Times New Roman" w:hAnsi="Times New Roman" w:cs="Times New Roman"/>
          <w:sz w:val="24"/>
          <w:lang w:val="de-CH"/>
        </w:rPr>
        <w:t xml:space="preserve">unter dem </w:t>
      </w:r>
      <w:r w:rsidR="00297370">
        <w:rPr>
          <w:rFonts w:ascii="Times New Roman" w:hAnsi="Times New Roman" w:cs="Times New Roman"/>
          <w:sz w:val="24"/>
          <w:lang w:val="de-CH"/>
        </w:rPr>
        <w:t>s</w:t>
      </w:r>
      <w:r w:rsidR="00FE2F09" w:rsidRPr="00137E2E">
        <w:rPr>
          <w:rFonts w:ascii="Times New Roman" w:hAnsi="Times New Roman" w:cs="Times New Roman"/>
          <w:sz w:val="24"/>
          <w:lang w:val="de-CH"/>
        </w:rPr>
        <w:t>chweizerischen Durchschnitt bleiben</w:t>
      </w:r>
      <w:r w:rsidR="00FE2F09">
        <w:rPr>
          <w:rFonts w:ascii="Times New Roman" w:hAnsi="Times New Roman" w:cs="Times New Roman"/>
          <w:sz w:val="24"/>
          <w:lang w:val="de-CH"/>
        </w:rPr>
        <w:t xml:space="preserve">, </w:t>
      </w:r>
      <w:r w:rsidRPr="00137E2E">
        <w:rPr>
          <w:rFonts w:ascii="Times New Roman" w:hAnsi="Times New Roman" w:cs="Times New Roman"/>
          <w:sz w:val="24"/>
          <w:lang w:val="de-CH"/>
        </w:rPr>
        <w:t xml:space="preserve"> können </w:t>
      </w:r>
      <w:r w:rsidR="00FE2F09">
        <w:rPr>
          <w:rFonts w:ascii="Times New Roman" w:hAnsi="Times New Roman" w:cs="Times New Roman"/>
          <w:sz w:val="24"/>
          <w:lang w:val="de-CH"/>
        </w:rPr>
        <w:t>d</w:t>
      </w:r>
      <w:r w:rsidR="00FE2F09" w:rsidRPr="00137E2E">
        <w:rPr>
          <w:rFonts w:ascii="Times New Roman" w:hAnsi="Times New Roman" w:cs="Times New Roman"/>
          <w:sz w:val="24"/>
          <w:lang w:val="de-CH"/>
        </w:rPr>
        <w:t xml:space="preserve">ie 650 Franken </w:t>
      </w:r>
      <w:r w:rsidR="00297370" w:rsidRPr="00137E2E">
        <w:rPr>
          <w:rFonts w:ascii="Times New Roman" w:hAnsi="Times New Roman" w:cs="Times New Roman"/>
          <w:sz w:val="24"/>
          <w:lang w:val="de-CH"/>
        </w:rPr>
        <w:t xml:space="preserve">somit </w:t>
      </w:r>
      <w:r w:rsidRPr="00137E2E">
        <w:rPr>
          <w:rFonts w:ascii="Times New Roman" w:hAnsi="Times New Roman" w:cs="Times New Roman"/>
          <w:sz w:val="24"/>
          <w:lang w:val="de-CH"/>
        </w:rPr>
        <w:t xml:space="preserve">als Referenzwert dienen. </w:t>
      </w:r>
    </w:p>
    <w:p w14:paraId="4C08FF65" w14:textId="29667850" w:rsidR="00E67944" w:rsidRPr="006E5812" w:rsidRDefault="000A6742" w:rsidP="000A6742">
      <w:pPr>
        <w:spacing w:line="240" w:lineRule="auto"/>
        <w:jc w:val="both"/>
        <w:rPr>
          <w:rFonts w:ascii="Times New Roman" w:hAnsi="Times New Roman" w:cs="Times New Roman"/>
          <w:sz w:val="24"/>
          <w:lang w:val="de-CH"/>
        </w:rPr>
      </w:pPr>
      <w:r w:rsidRPr="00137E2E">
        <w:rPr>
          <w:rFonts w:ascii="Times New Roman" w:hAnsi="Times New Roman" w:cs="Times New Roman"/>
          <w:sz w:val="24"/>
          <w:lang w:val="de-CH"/>
        </w:rPr>
        <w:t>Eine Bevorschussung in Höhe von höchstens 650</w:t>
      </w:r>
      <w:r w:rsidR="00FD7FEE" w:rsidRPr="00137E2E">
        <w:rPr>
          <w:rFonts w:ascii="Times New Roman" w:hAnsi="Times New Roman" w:cs="Times New Roman"/>
          <w:sz w:val="24"/>
          <w:lang w:val="de-CH"/>
        </w:rPr>
        <w:t> Franken</w:t>
      </w:r>
      <w:r w:rsidRPr="00137E2E">
        <w:rPr>
          <w:rFonts w:ascii="Times New Roman" w:hAnsi="Times New Roman" w:cs="Times New Roman"/>
          <w:sz w:val="24"/>
          <w:lang w:val="de-CH"/>
        </w:rPr>
        <w:t xml:space="preserve"> würde indes weit unter dem </w:t>
      </w:r>
      <w:r w:rsidR="00297370">
        <w:rPr>
          <w:rFonts w:ascii="Times New Roman" w:hAnsi="Times New Roman" w:cs="Times New Roman"/>
          <w:sz w:val="24"/>
          <w:lang w:val="de-CH"/>
        </w:rPr>
        <w:t>s</w:t>
      </w:r>
      <w:r w:rsidRPr="00137E2E">
        <w:rPr>
          <w:rFonts w:ascii="Times New Roman" w:hAnsi="Times New Roman" w:cs="Times New Roman"/>
          <w:sz w:val="24"/>
          <w:lang w:val="de-CH"/>
        </w:rPr>
        <w:t>chweizerischen Durchschnitt bleiben, wobei einzig das Wallis mit 550</w:t>
      </w:r>
      <w:r w:rsidR="00FD7FEE" w:rsidRPr="00137E2E">
        <w:rPr>
          <w:rFonts w:ascii="Times New Roman" w:hAnsi="Times New Roman" w:cs="Times New Roman"/>
          <w:sz w:val="24"/>
          <w:lang w:val="de-CH"/>
        </w:rPr>
        <w:t> Franken</w:t>
      </w:r>
      <w:r w:rsidRPr="00137E2E">
        <w:rPr>
          <w:rFonts w:ascii="Times New Roman" w:hAnsi="Times New Roman" w:cs="Times New Roman"/>
          <w:sz w:val="24"/>
          <w:lang w:val="de-CH"/>
        </w:rPr>
        <w:t xml:space="preserve"> eine tiefere Obergrenze hat</w:t>
      </w:r>
      <w:r w:rsidR="00EE1FFC">
        <w:rPr>
          <w:rFonts w:ascii="Times New Roman" w:hAnsi="Times New Roman" w:cs="Times New Roman"/>
          <w:sz w:val="24"/>
          <w:lang w:val="de-CH"/>
        </w:rPr>
        <w:t>. Es gilt zu bemerken, dass das Wallis in einer</w:t>
      </w:r>
      <w:r w:rsidRPr="00137E2E">
        <w:rPr>
          <w:rFonts w:ascii="Times New Roman" w:hAnsi="Times New Roman" w:cs="Times New Roman"/>
          <w:sz w:val="24"/>
          <w:lang w:val="de-CH"/>
        </w:rPr>
        <w:t xml:space="preserve"> Gesetzesrevision eine Anhebung </w:t>
      </w:r>
      <w:r w:rsidR="00EE1FFC">
        <w:rPr>
          <w:rFonts w:ascii="Times New Roman" w:hAnsi="Times New Roman" w:cs="Times New Roman"/>
          <w:sz w:val="24"/>
          <w:lang w:val="de-CH"/>
        </w:rPr>
        <w:t>auf 948 Franken vorsieht</w:t>
      </w:r>
      <w:r w:rsidRPr="00137E2E">
        <w:rPr>
          <w:rFonts w:ascii="Times New Roman" w:hAnsi="Times New Roman" w:cs="Times New Roman"/>
          <w:sz w:val="24"/>
          <w:lang w:val="de-CH"/>
        </w:rPr>
        <w:t xml:space="preserve">. </w:t>
      </w:r>
    </w:p>
    <w:p w14:paraId="326348F6" w14:textId="40EC98B4" w:rsidR="00A658F6" w:rsidRPr="00137E2E" w:rsidRDefault="00A658F6" w:rsidP="000A6742">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 xml:space="preserve">Die Finanzprognosen </w:t>
      </w:r>
      <w:r w:rsidR="00FE2F09">
        <w:rPr>
          <w:rFonts w:ascii="Times New Roman" w:hAnsi="Times New Roman" w:cs="Times New Roman"/>
          <w:sz w:val="24"/>
          <w:lang w:val="de-CH"/>
        </w:rPr>
        <w:t>der</w:t>
      </w:r>
      <w:r w:rsidR="00FE2F09" w:rsidRPr="00137E2E">
        <w:rPr>
          <w:rFonts w:ascii="Times New Roman" w:hAnsi="Times New Roman" w:cs="Times New Roman"/>
          <w:sz w:val="24"/>
          <w:lang w:val="de-CH"/>
        </w:rPr>
        <w:t xml:space="preserve"> Anhebung des Vorschusses </w:t>
      </w:r>
      <w:r w:rsidRPr="00137E2E">
        <w:rPr>
          <w:rFonts w:ascii="Times New Roman" w:hAnsi="Times New Roman" w:cs="Times New Roman"/>
          <w:sz w:val="24"/>
          <w:lang w:val="de-CH"/>
        </w:rPr>
        <w:t xml:space="preserve">sind unter Punkt 7 «Finanzielle und personelle Auswirkungen» aufgeführt. </w:t>
      </w:r>
    </w:p>
    <w:p w14:paraId="25F2D29F" w14:textId="329F2797" w:rsidR="00CD31B9" w:rsidRPr="00137E2E" w:rsidRDefault="00B16D32" w:rsidP="006134E5">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Um die Gleichbehandlung der Kinder zu garantieren</w:t>
      </w:r>
      <w:r w:rsidR="00EE1FFC">
        <w:rPr>
          <w:rFonts w:ascii="Times New Roman" w:hAnsi="Times New Roman" w:cs="Times New Roman"/>
          <w:sz w:val="24"/>
          <w:lang w:val="de-CH"/>
        </w:rPr>
        <w:t xml:space="preserve"> und </w:t>
      </w:r>
      <w:r w:rsidRPr="00137E2E">
        <w:rPr>
          <w:rFonts w:ascii="Times New Roman" w:hAnsi="Times New Roman" w:cs="Times New Roman"/>
          <w:sz w:val="24"/>
          <w:lang w:val="de-CH"/>
        </w:rPr>
        <w:t xml:space="preserve">die Bearbeitung der Dossiers zu erleichtern, schlägt der Staatsrat vor, dass der Höchstbetrag auf alle Kinder angewandt wird, und nicht nur auf die jüngsten Geschwister. </w:t>
      </w:r>
    </w:p>
    <w:p w14:paraId="6F86DBA6" w14:textId="1EBE9656" w:rsidR="009B46D1" w:rsidRPr="00137E2E" w:rsidRDefault="00216406" w:rsidP="00104909">
      <w:pPr>
        <w:spacing w:line="240" w:lineRule="auto"/>
        <w:contextualSpacing/>
        <w:jc w:val="both"/>
        <w:rPr>
          <w:rFonts w:ascii="Times New Roman" w:hAnsi="Times New Roman" w:cs="Times New Roman"/>
          <w:b/>
          <w:sz w:val="24"/>
          <w:szCs w:val="24"/>
          <w:lang w:val="de-CH"/>
        </w:rPr>
      </w:pPr>
      <w:r w:rsidRPr="00137E2E">
        <w:rPr>
          <w:rFonts w:ascii="Times New Roman" w:hAnsi="Times New Roman" w:cs="Times New Roman"/>
          <w:b/>
          <w:sz w:val="24"/>
          <w:lang w:val="de-CH"/>
        </w:rPr>
        <w:lastRenderedPageBreak/>
        <w:t>Art. </w:t>
      </w:r>
      <w:r w:rsidR="007A3A52" w:rsidRPr="00137E2E">
        <w:rPr>
          <w:rFonts w:ascii="Times New Roman" w:hAnsi="Times New Roman" w:cs="Times New Roman"/>
          <w:b/>
          <w:sz w:val="24"/>
          <w:lang w:val="de-CH"/>
        </w:rPr>
        <w:t xml:space="preserve">10 </w:t>
      </w:r>
      <w:r w:rsidR="00476901" w:rsidRPr="00137E2E">
        <w:rPr>
          <w:rFonts w:ascii="Times New Roman" w:hAnsi="Times New Roman" w:cs="Times New Roman"/>
          <w:b/>
          <w:sz w:val="24"/>
          <w:lang w:val="de-CH"/>
        </w:rPr>
        <w:t xml:space="preserve">Beginn des Anspruchs auf Bevorschussung </w:t>
      </w:r>
    </w:p>
    <w:p w14:paraId="23A570DC" w14:textId="506DF33E" w:rsidR="000870C8" w:rsidRPr="00137E2E" w:rsidRDefault="00D209C0" w:rsidP="00104909">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Der Entwurf verankert die aktuelle Praxis, welche den Bevorschussungsanspruch ab dem Monat anerkennt, in dem das Gesuch eingereicht wird. Auch eine Karenzfrist gibt es nicht.</w:t>
      </w:r>
      <w:r w:rsidRPr="00137E2E">
        <w:rPr>
          <w:rStyle w:val="Appelnotedebasdep"/>
          <w:rFonts w:ascii="Times New Roman" w:hAnsi="Times New Roman" w:cs="Times New Roman"/>
          <w:sz w:val="24"/>
          <w:lang w:val="de-CH"/>
        </w:rPr>
        <w:footnoteReference w:id="19"/>
      </w:r>
      <w:r w:rsidRPr="00137E2E">
        <w:rPr>
          <w:rFonts w:ascii="Times New Roman" w:hAnsi="Times New Roman" w:cs="Times New Roman"/>
          <w:sz w:val="24"/>
          <w:lang w:val="de-CH"/>
        </w:rPr>
        <w:t xml:space="preserve"> </w:t>
      </w:r>
    </w:p>
    <w:p w14:paraId="1CE75DA6" w14:textId="109A29DA" w:rsidR="009B46D1" w:rsidRPr="00137E2E" w:rsidRDefault="00216406" w:rsidP="00104909">
      <w:pPr>
        <w:spacing w:line="240" w:lineRule="auto"/>
        <w:contextualSpacing/>
        <w:jc w:val="both"/>
        <w:rPr>
          <w:rFonts w:ascii="Times" w:hAnsi="Times" w:cs="Times"/>
          <w:b/>
          <w:sz w:val="24"/>
          <w:szCs w:val="24"/>
          <w:lang w:val="de-CH"/>
        </w:rPr>
      </w:pPr>
      <w:r w:rsidRPr="00137E2E">
        <w:rPr>
          <w:rFonts w:ascii="Times New Roman" w:hAnsi="Times New Roman" w:cs="Times New Roman"/>
          <w:b/>
          <w:sz w:val="24"/>
          <w:lang w:val="de-CH"/>
        </w:rPr>
        <w:t>Art. </w:t>
      </w:r>
      <w:r w:rsidR="007A3A52" w:rsidRPr="00137E2E">
        <w:rPr>
          <w:rFonts w:ascii="Times New Roman" w:hAnsi="Times New Roman" w:cs="Times New Roman"/>
          <w:b/>
          <w:sz w:val="24"/>
          <w:lang w:val="de-CH"/>
        </w:rPr>
        <w:t xml:space="preserve">11 </w:t>
      </w:r>
      <w:r w:rsidR="00476901" w:rsidRPr="00137E2E">
        <w:rPr>
          <w:rFonts w:ascii="Times New Roman" w:hAnsi="Times New Roman" w:cs="Times New Roman"/>
          <w:b/>
          <w:sz w:val="24"/>
          <w:lang w:val="de-CH"/>
        </w:rPr>
        <w:t>Dauer</w:t>
      </w:r>
      <w:r w:rsidR="00476901" w:rsidRPr="00137E2E">
        <w:rPr>
          <w:rFonts w:ascii="Times" w:hAnsi="Times" w:cs="Times"/>
          <w:b/>
          <w:sz w:val="24"/>
          <w:lang w:val="de-CH"/>
        </w:rPr>
        <w:t xml:space="preserve"> und Ende des Anspruchs auf Bevorschussung </w:t>
      </w:r>
    </w:p>
    <w:p w14:paraId="730065D8" w14:textId="09EBC1A9" w:rsidR="00CF647E" w:rsidRPr="00137E2E" w:rsidRDefault="00216406" w:rsidP="00CF647E">
      <w:pPr>
        <w:spacing w:line="240" w:lineRule="auto"/>
        <w:jc w:val="both"/>
        <w:rPr>
          <w:rFonts w:ascii="Times New Roman" w:hAnsi="Times New Roman" w:cs="Times New Roman"/>
          <w:sz w:val="24"/>
          <w:szCs w:val="24"/>
          <w:lang w:val="de-CH"/>
        </w:rPr>
      </w:pPr>
      <w:r w:rsidRPr="00137E2E">
        <w:rPr>
          <w:rFonts w:ascii="Times New Roman" w:hAnsi="Times New Roman" w:cs="Times New Roman"/>
          <w:i/>
          <w:sz w:val="24"/>
          <w:lang w:val="de-CH"/>
        </w:rPr>
        <w:t>Absatz </w:t>
      </w:r>
      <w:r w:rsidR="00CF647E" w:rsidRPr="00137E2E">
        <w:rPr>
          <w:rFonts w:ascii="Times New Roman" w:hAnsi="Times New Roman" w:cs="Times New Roman"/>
          <w:i/>
          <w:sz w:val="24"/>
          <w:lang w:val="de-CH"/>
        </w:rPr>
        <w:t xml:space="preserve">1: </w:t>
      </w:r>
      <w:r w:rsidR="00CF647E" w:rsidRPr="00137E2E">
        <w:rPr>
          <w:rFonts w:ascii="Times New Roman" w:hAnsi="Times New Roman" w:cs="Times New Roman"/>
          <w:sz w:val="24"/>
          <w:lang w:val="de-CH"/>
        </w:rPr>
        <w:t xml:space="preserve">Die Bevorschussung wird zum ersten Mal für eine Dauer eines Jahres gewährt. Diese Dauer kann für ein weiteres Jahr verlängert werden, nachdem die zuständige Behörde die Situation der unterhaltsberechtigten Person revidiert hat. </w:t>
      </w:r>
    </w:p>
    <w:p w14:paraId="715006AD" w14:textId="42B54766" w:rsidR="00CF647E" w:rsidRPr="00137E2E" w:rsidRDefault="00216406" w:rsidP="00CF647E">
      <w:pPr>
        <w:spacing w:line="240" w:lineRule="auto"/>
        <w:jc w:val="both"/>
        <w:rPr>
          <w:rFonts w:ascii="Times New Roman" w:hAnsi="Times New Roman" w:cs="Times New Roman"/>
          <w:sz w:val="24"/>
          <w:szCs w:val="24"/>
          <w:lang w:val="de-CH"/>
        </w:rPr>
      </w:pPr>
      <w:r w:rsidRPr="00137E2E">
        <w:rPr>
          <w:rFonts w:ascii="Times New Roman" w:hAnsi="Times New Roman" w:cs="Times New Roman"/>
          <w:i/>
          <w:sz w:val="24"/>
          <w:lang w:val="de-CH"/>
        </w:rPr>
        <w:t>Absatz </w:t>
      </w:r>
      <w:r w:rsidR="00CF647E" w:rsidRPr="00137E2E">
        <w:rPr>
          <w:rFonts w:ascii="Times New Roman" w:hAnsi="Times New Roman" w:cs="Times New Roman"/>
          <w:i/>
          <w:sz w:val="24"/>
          <w:lang w:val="de-CH"/>
        </w:rPr>
        <w:t>2:</w:t>
      </w:r>
      <w:r w:rsidR="00CF647E" w:rsidRPr="00137E2E">
        <w:rPr>
          <w:rFonts w:ascii="Times New Roman" w:hAnsi="Times New Roman" w:cs="Times New Roman"/>
          <w:sz w:val="24"/>
          <w:lang w:val="de-CH"/>
        </w:rPr>
        <w:t xml:space="preserve"> Zusätzlich zur jährlichen Revision im Sinne von </w:t>
      </w:r>
      <w:r w:rsidRPr="00137E2E">
        <w:rPr>
          <w:rFonts w:ascii="Times New Roman" w:hAnsi="Times New Roman" w:cs="Times New Roman"/>
          <w:sz w:val="24"/>
          <w:lang w:val="de-CH"/>
        </w:rPr>
        <w:t>Absatz </w:t>
      </w:r>
      <w:r w:rsidR="00CF647E" w:rsidRPr="00137E2E">
        <w:rPr>
          <w:rFonts w:ascii="Times New Roman" w:hAnsi="Times New Roman" w:cs="Times New Roman"/>
          <w:sz w:val="24"/>
          <w:lang w:val="de-CH"/>
        </w:rPr>
        <w:t xml:space="preserve">1 kann die zuständige Behörde einen neuen Entscheid fällen, wenn ein neuer Sachverhalt dies rechtfertigt. </w:t>
      </w:r>
    </w:p>
    <w:p w14:paraId="261D1AC1" w14:textId="1244D876" w:rsidR="00CF647E" w:rsidRDefault="00216406" w:rsidP="00CF647E">
      <w:pPr>
        <w:spacing w:line="240" w:lineRule="auto"/>
        <w:jc w:val="both"/>
        <w:rPr>
          <w:rFonts w:ascii="Times New Roman" w:hAnsi="Times New Roman" w:cs="Times New Roman"/>
          <w:sz w:val="24"/>
          <w:lang w:val="de-CH"/>
        </w:rPr>
      </w:pPr>
      <w:r w:rsidRPr="00137E2E">
        <w:rPr>
          <w:rFonts w:ascii="Times New Roman" w:hAnsi="Times New Roman" w:cs="Times New Roman"/>
          <w:i/>
          <w:sz w:val="24"/>
          <w:lang w:val="de-CH"/>
        </w:rPr>
        <w:t>Absatz </w:t>
      </w:r>
      <w:r w:rsidR="00CF647E" w:rsidRPr="00137E2E">
        <w:rPr>
          <w:rFonts w:ascii="Times New Roman" w:hAnsi="Times New Roman" w:cs="Times New Roman"/>
          <w:i/>
          <w:sz w:val="24"/>
          <w:lang w:val="de-CH"/>
        </w:rPr>
        <w:t xml:space="preserve">3: </w:t>
      </w:r>
      <w:r w:rsidR="00CF647E" w:rsidRPr="00137E2E">
        <w:rPr>
          <w:rFonts w:ascii="Times New Roman" w:hAnsi="Times New Roman" w:cs="Times New Roman"/>
          <w:sz w:val="24"/>
          <w:lang w:val="de-CH"/>
        </w:rPr>
        <w:t xml:space="preserve">Diese Bestimmung regelt die Gründe, die zu einer Einstellung des Bevorschussungsanspruchs führen. </w:t>
      </w:r>
    </w:p>
    <w:p w14:paraId="7630D180" w14:textId="5DA8CF91" w:rsidR="00EE1FFC" w:rsidRPr="00137E2E" w:rsidRDefault="00EE1FFC" w:rsidP="00CF647E">
      <w:pPr>
        <w:spacing w:line="240" w:lineRule="auto"/>
        <w:jc w:val="both"/>
        <w:rPr>
          <w:rFonts w:ascii="Times New Roman" w:hAnsi="Times New Roman" w:cs="Times New Roman"/>
          <w:sz w:val="24"/>
          <w:szCs w:val="24"/>
          <w:lang w:val="de-CH"/>
        </w:rPr>
      </w:pPr>
      <w:r>
        <w:rPr>
          <w:rFonts w:ascii="Times New Roman" w:hAnsi="Times New Roman" w:cs="Times New Roman"/>
          <w:sz w:val="24"/>
          <w:lang w:val="de-CH"/>
        </w:rPr>
        <w:t xml:space="preserve">Da der Wohnsitz im Kanton eine Bedingung für die Gewährung der Bevorschussung ist, führt ein Wegzug aus dem Kanton zum Verlust des </w:t>
      </w:r>
      <w:r w:rsidR="00D53055">
        <w:rPr>
          <w:rFonts w:ascii="Times New Roman" w:hAnsi="Times New Roman" w:cs="Times New Roman"/>
          <w:sz w:val="24"/>
          <w:lang w:val="de-CH"/>
        </w:rPr>
        <w:t>Anspruch</w:t>
      </w:r>
      <w:r>
        <w:rPr>
          <w:rFonts w:ascii="Times New Roman" w:hAnsi="Times New Roman" w:cs="Times New Roman"/>
          <w:sz w:val="24"/>
          <w:lang w:val="de-CH"/>
        </w:rPr>
        <w:t xml:space="preserve">s gemäss Buchstabe c. </w:t>
      </w:r>
    </w:p>
    <w:p w14:paraId="459813FD" w14:textId="26F34E83" w:rsidR="00CF647E" w:rsidRPr="00137E2E" w:rsidRDefault="00216406" w:rsidP="00CF647E">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Gemäss Buchstabe </w:t>
      </w:r>
      <w:r w:rsidR="00CF647E" w:rsidRPr="00137E2E">
        <w:rPr>
          <w:rFonts w:ascii="Times New Roman" w:hAnsi="Times New Roman" w:cs="Times New Roman"/>
          <w:sz w:val="24"/>
          <w:lang w:val="de-CH"/>
        </w:rPr>
        <w:t xml:space="preserve">d rechtfertigt ein dauerhafter Auslandsaufenthalt die Einstellung der Bevorschussung. Hier zeigt die Erfahrung, dass es für die zuständige Behörde oftmals schwierig ist, die genaue Finanzlage der betreffenden Person in Erfahrung zu bringen. Auch andere Kantone kennen eine derartige Regel, namentlich die Kantone Aargau, Luzern und Bern, wobei Letzterer einen Aufenthalt als dauerhaft erachtet, wenn er länger als drei Monate dauert. Die Regel gilt nicht, wenn der Auslandsaufenthalt zu Studienzwecken stattfindet. </w:t>
      </w:r>
    </w:p>
    <w:p w14:paraId="76439B63" w14:textId="40654ED8" w:rsidR="00CF647E" w:rsidRPr="00137E2E" w:rsidRDefault="0095458D" w:rsidP="00CF647E">
      <w:pPr>
        <w:spacing w:line="240" w:lineRule="auto"/>
        <w:jc w:val="both"/>
        <w:rPr>
          <w:rFonts w:ascii="Times New Roman" w:hAnsi="Times New Roman" w:cs="Times New Roman"/>
          <w:sz w:val="24"/>
          <w:szCs w:val="24"/>
          <w:lang w:val="de-CH"/>
        </w:rPr>
      </w:pPr>
      <w:r w:rsidRPr="00137E2E">
        <w:rPr>
          <w:rFonts w:ascii="Times" w:hAnsi="Times" w:cs="Times"/>
          <w:sz w:val="24"/>
          <w:lang w:val="de-CH"/>
        </w:rPr>
        <w:t>Laut aktuellem Gesetz wird der Vorschuss solange gewährt, bis die Frist im Unterhaltstitel ausläuft; im EUB ist keine ausdrückliche zeitliche Begrenzung vorgesehen. B</w:t>
      </w:r>
      <w:r w:rsidRPr="00137E2E">
        <w:rPr>
          <w:rFonts w:ascii="Times New Roman" w:hAnsi="Times New Roman" w:cs="Times New Roman"/>
          <w:sz w:val="24"/>
          <w:lang w:val="de-CH"/>
        </w:rPr>
        <w:t>uchstabe</w:t>
      </w:r>
      <w:r w:rsidR="00216406" w:rsidRPr="00137E2E">
        <w:rPr>
          <w:rFonts w:ascii="Times New Roman" w:hAnsi="Times New Roman" w:cs="Times New Roman"/>
          <w:sz w:val="24"/>
          <w:lang w:val="de-CH"/>
        </w:rPr>
        <w:t> </w:t>
      </w:r>
      <w:r w:rsidRPr="00137E2E">
        <w:rPr>
          <w:rFonts w:ascii="Times New Roman" w:hAnsi="Times New Roman" w:cs="Times New Roman"/>
          <w:sz w:val="24"/>
          <w:lang w:val="de-CH"/>
        </w:rPr>
        <w:t xml:space="preserve">e legt die Altersgrenze für den </w:t>
      </w:r>
      <w:r w:rsidR="00216406" w:rsidRPr="00137E2E">
        <w:rPr>
          <w:rFonts w:ascii="Times New Roman" w:hAnsi="Times New Roman" w:cs="Times New Roman"/>
          <w:sz w:val="24"/>
          <w:lang w:val="de-CH"/>
        </w:rPr>
        <w:t>Bezug der Bevorschussung bei 25 </w:t>
      </w:r>
      <w:r w:rsidRPr="00137E2E">
        <w:rPr>
          <w:rFonts w:ascii="Times New Roman" w:hAnsi="Times New Roman" w:cs="Times New Roman"/>
          <w:sz w:val="24"/>
          <w:lang w:val="de-CH"/>
        </w:rPr>
        <w:t xml:space="preserve">Jahren fest, und zwar aus folgenden Gründen: </w:t>
      </w:r>
    </w:p>
    <w:p w14:paraId="1AAD13F0" w14:textId="77777777" w:rsidR="00FA2B01" w:rsidRPr="00137E2E" w:rsidRDefault="000F6A61" w:rsidP="00104909">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 xml:space="preserve">Die Unterhaltsbeiträge können längstens bis zu jenem Zeitpunkt bevorschusst werden, in dem die Unterhaltspflicht gemäss Unterhaltstitel endet. Neun Kantone bevorschussen die Kinderalimente gemäss Unterhaltstitel (FR, JU, LU, NE, NW, OW, VD, ZG, ZH). Im Kanton Neuenburg endet jedoch die Bevorschussung, wenn der Betrag, den die unterhaltspflichtige Person der öffentlichen Hand schuldet, insgesamt 24 monatlichen Unterhaltsbeiträgen entspricht. </w:t>
      </w:r>
    </w:p>
    <w:p w14:paraId="7CE2921C" w14:textId="720EDE39" w:rsidR="0095458D" w:rsidRPr="00137E2E" w:rsidRDefault="00517B27" w:rsidP="00104909">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Fünfzehn Kantone schränken den Bezug der Bevorschussung durch unterschiedliche Altersgrenzen ein: Sieben Kantone bevorschussen lä</w:t>
      </w:r>
      <w:r w:rsidR="00FD7FEE" w:rsidRPr="00137E2E">
        <w:rPr>
          <w:rFonts w:ascii="Times New Roman" w:hAnsi="Times New Roman" w:cs="Times New Roman"/>
          <w:sz w:val="24"/>
          <w:lang w:val="de-CH"/>
        </w:rPr>
        <w:t>ngstens bis zum vollendeten 25. </w:t>
      </w:r>
      <w:r w:rsidRPr="00137E2E">
        <w:rPr>
          <w:rFonts w:ascii="Times New Roman" w:hAnsi="Times New Roman" w:cs="Times New Roman"/>
          <w:sz w:val="24"/>
          <w:lang w:val="de-CH"/>
        </w:rPr>
        <w:t>Altersjahr (BE, BS, GL, SH, GR, SG, SO), fünf längs</w:t>
      </w:r>
      <w:r w:rsidR="00FD7FEE" w:rsidRPr="00137E2E">
        <w:rPr>
          <w:rFonts w:ascii="Times New Roman" w:hAnsi="Times New Roman" w:cs="Times New Roman"/>
          <w:sz w:val="24"/>
          <w:lang w:val="de-CH"/>
        </w:rPr>
        <w:t>tens bis zum vollendeten 20. </w:t>
      </w:r>
      <w:r w:rsidRPr="00137E2E">
        <w:rPr>
          <w:rFonts w:ascii="Times New Roman" w:hAnsi="Times New Roman" w:cs="Times New Roman"/>
          <w:sz w:val="24"/>
          <w:lang w:val="de-CH"/>
        </w:rPr>
        <w:t>Altersjahr (AG, AR, BL, UR, VS) und drei lä</w:t>
      </w:r>
      <w:r w:rsidR="00C900ED" w:rsidRPr="00137E2E">
        <w:rPr>
          <w:rFonts w:ascii="Times New Roman" w:hAnsi="Times New Roman" w:cs="Times New Roman"/>
          <w:sz w:val="24"/>
          <w:lang w:val="de-CH"/>
        </w:rPr>
        <w:t>ngstens bis zum vollendeten 18. </w:t>
      </w:r>
      <w:r w:rsidRPr="00137E2E">
        <w:rPr>
          <w:rFonts w:ascii="Times New Roman" w:hAnsi="Times New Roman" w:cs="Times New Roman"/>
          <w:sz w:val="24"/>
          <w:lang w:val="de-CH"/>
        </w:rPr>
        <w:t>Altersjahr des Kindes (AI, SZ, TG). In zwei Kantonen kommen andere Kriterien zur Anwendung: Der Kanton Genf bevorschusst die Unterhaltsbeiträge längsten</w:t>
      </w:r>
      <w:r w:rsidR="000A39BF" w:rsidRPr="00137E2E">
        <w:rPr>
          <w:rFonts w:ascii="Times New Roman" w:hAnsi="Times New Roman" w:cs="Times New Roman"/>
          <w:sz w:val="24"/>
          <w:lang w:val="de-CH"/>
        </w:rPr>
        <w:t>s 36 </w:t>
      </w:r>
      <w:r w:rsidRPr="00137E2E">
        <w:rPr>
          <w:rFonts w:ascii="Times New Roman" w:hAnsi="Times New Roman" w:cs="Times New Roman"/>
          <w:sz w:val="24"/>
          <w:lang w:val="de-CH"/>
        </w:rPr>
        <w:t>Monate. Für ein Kind, welches das Kindergartenalter noch nicht erreicht hat, kann d</w:t>
      </w:r>
      <w:r w:rsidR="000A39BF" w:rsidRPr="00137E2E">
        <w:rPr>
          <w:rFonts w:ascii="Times New Roman" w:hAnsi="Times New Roman" w:cs="Times New Roman"/>
          <w:sz w:val="24"/>
          <w:lang w:val="de-CH"/>
        </w:rPr>
        <w:t>ie Bezugsdauer auf längstens 48 </w:t>
      </w:r>
      <w:r w:rsidRPr="00137E2E">
        <w:rPr>
          <w:rFonts w:ascii="Times New Roman" w:hAnsi="Times New Roman" w:cs="Times New Roman"/>
          <w:sz w:val="24"/>
          <w:lang w:val="de-CH"/>
        </w:rPr>
        <w:t>Monate ausgedehnt werden. Der Kanton Tessin wiederum bevorschusst Unterhal</w:t>
      </w:r>
      <w:r w:rsidR="00FD7FEE" w:rsidRPr="00137E2E">
        <w:rPr>
          <w:rFonts w:ascii="Times New Roman" w:hAnsi="Times New Roman" w:cs="Times New Roman"/>
          <w:sz w:val="24"/>
          <w:lang w:val="de-CH"/>
        </w:rPr>
        <w:t>tsbeiträge längstens während 60 </w:t>
      </w:r>
      <w:r w:rsidRPr="00137E2E">
        <w:rPr>
          <w:rFonts w:ascii="Times New Roman" w:hAnsi="Times New Roman" w:cs="Times New Roman"/>
          <w:sz w:val="24"/>
          <w:lang w:val="de-CH"/>
        </w:rPr>
        <w:t xml:space="preserve">Monaten, Ausnahmen sind jedoch möglich. </w:t>
      </w:r>
    </w:p>
    <w:p w14:paraId="1B0C37A8" w14:textId="0227A80B" w:rsidR="000870C8" w:rsidRPr="00137E2E" w:rsidRDefault="00EB1D48" w:rsidP="00C01E8C">
      <w:pPr>
        <w:spacing w:line="240" w:lineRule="auto"/>
        <w:jc w:val="both"/>
        <w:rPr>
          <w:rFonts w:ascii="Times New Roman" w:hAnsi="Times New Roman" w:cs="Times New Roman"/>
          <w:sz w:val="24"/>
          <w:szCs w:val="24"/>
          <w:lang w:val="de-CH"/>
        </w:rPr>
      </w:pPr>
      <w:r w:rsidRPr="00137E2E">
        <w:rPr>
          <w:rFonts w:ascii="Times" w:hAnsi="Times" w:cs="Times"/>
          <w:sz w:val="24"/>
          <w:lang w:val="de-CH"/>
        </w:rPr>
        <w:t>Im Harmonisierungs-Bericht empfiehlt der Bundesrat den Kantonen als maximale Dauer der Bevorschussung entweder die Frist gemä</w:t>
      </w:r>
      <w:r w:rsidR="000A39BF" w:rsidRPr="00137E2E">
        <w:rPr>
          <w:rFonts w:ascii="Times" w:hAnsi="Times" w:cs="Times"/>
          <w:sz w:val="24"/>
          <w:lang w:val="de-CH"/>
        </w:rPr>
        <w:t>ss Unterhaltstitel oder das 25. </w:t>
      </w:r>
      <w:r w:rsidRPr="00137E2E">
        <w:rPr>
          <w:rFonts w:ascii="Times" w:hAnsi="Times" w:cs="Times"/>
          <w:sz w:val="24"/>
          <w:lang w:val="de-CH"/>
        </w:rPr>
        <w:t>Altersjahr</w:t>
      </w:r>
      <w:r w:rsidRPr="00137E2E">
        <w:rPr>
          <w:rStyle w:val="Appelnotedebasdep"/>
          <w:rFonts w:ascii="Times" w:hAnsi="Times" w:cs="Times"/>
          <w:sz w:val="24"/>
          <w:lang w:val="de-CH"/>
        </w:rPr>
        <w:footnoteReference w:id="20"/>
      </w:r>
      <w:r w:rsidRPr="00137E2E">
        <w:rPr>
          <w:rFonts w:ascii="Times" w:hAnsi="Times" w:cs="Times"/>
          <w:sz w:val="24"/>
          <w:lang w:val="de-CH"/>
        </w:rPr>
        <w:t xml:space="preserve">. </w:t>
      </w:r>
      <w:r w:rsidRPr="00137E2E">
        <w:rPr>
          <w:rFonts w:ascii="Times New Roman" w:hAnsi="Times New Roman" w:cs="Times New Roman"/>
          <w:sz w:val="24"/>
          <w:lang w:val="de-CH"/>
        </w:rPr>
        <w:t>Die SODK empfiehlt ihrerseits eine Ausrichtung gemäss Unterhaltstitel, maximal</w:t>
      </w:r>
      <w:r w:rsidR="000A39BF" w:rsidRPr="00137E2E">
        <w:rPr>
          <w:rFonts w:ascii="Times New Roman" w:hAnsi="Times New Roman" w:cs="Times New Roman"/>
          <w:sz w:val="24"/>
          <w:lang w:val="de-CH"/>
        </w:rPr>
        <w:t xml:space="preserve"> jedoch bis zum </w:t>
      </w:r>
      <w:r w:rsidR="000A39BF" w:rsidRPr="00137E2E">
        <w:rPr>
          <w:rFonts w:ascii="Times New Roman" w:hAnsi="Times New Roman" w:cs="Times New Roman"/>
          <w:sz w:val="24"/>
          <w:lang w:val="de-CH"/>
        </w:rPr>
        <w:lastRenderedPageBreak/>
        <w:t>vollendeten 25. </w:t>
      </w:r>
      <w:r w:rsidRPr="00137E2E">
        <w:rPr>
          <w:rFonts w:ascii="Times New Roman" w:hAnsi="Times New Roman" w:cs="Times New Roman"/>
          <w:sz w:val="24"/>
          <w:lang w:val="de-CH"/>
        </w:rPr>
        <w:t>Altersjahr, da ihr eine analoge Begrenzung zur Bundesgesetzgebung für die Waisenrente (</w:t>
      </w:r>
      <w:r w:rsidR="00216406" w:rsidRPr="00137E2E">
        <w:rPr>
          <w:rFonts w:ascii="Times New Roman" w:hAnsi="Times New Roman" w:cs="Times New Roman"/>
          <w:sz w:val="24"/>
          <w:lang w:val="de-CH"/>
        </w:rPr>
        <w:t>Art. </w:t>
      </w:r>
      <w:r w:rsidRPr="00137E2E">
        <w:rPr>
          <w:rFonts w:ascii="Times New Roman" w:hAnsi="Times New Roman" w:cs="Times New Roman"/>
          <w:sz w:val="24"/>
          <w:lang w:val="de-CH"/>
        </w:rPr>
        <w:t>25 Bundesgesetz über die Alters- und Hinterlassenenversicherung [AHVG]) und die Ausbildungszulagen (</w:t>
      </w:r>
      <w:r w:rsidR="00216406" w:rsidRPr="00137E2E">
        <w:rPr>
          <w:rFonts w:ascii="Times New Roman" w:hAnsi="Times New Roman" w:cs="Times New Roman"/>
          <w:sz w:val="24"/>
          <w:lang w:val="de-CH"/>
        </w:rPr>
        <w:t>Art. </w:t>
      </w:r>
      <w:r w:rsidRPr="00137E2E">
        <w:rPr>
          <w:rFonts w:ascii="Times New Roman" w:hAnsi="Times New Roman" w:cs="Times New Roman"/>
          <w:sz w:val="24"/>
          <w:lang w:val="de-CH"/>
        </w:rPr>
        <w:t xml:space="preserve">3 </w:t>
      </w:r>
      <w:r w:rsidR="00216406" w:rsidRPr="00137E2E">
        <w:rPr>
          <w:rFonts w:ascii="Times New Roman" w:hAnsi="Times New Roman" w:cs="Times New Roman"/>
          <w:sz w:val="24"/>
          <w:lang w:val="de-CH"/>
        </w:rPr>
        <w:t>Abs. </w:t>
      </w:r>
      <w:r w:rsidRPr="00137E2E">
        <w:rPr>
          <w:rFonts w:ascii="Times New Roman" w:hAnsi="Times New Roman" w:cs="Times New Roman"/>
          <w:sz w:val="24"/>
          <w:lang w:val="de-CH"/>
        </w:rPr>
        <w:t xml:space="preserve">1 </w:t>
      </w:r>
      <w:r w:rsidR="00216406" w:rsidRPr="00137E2E">
        <w:rPr>
          <w:rFonts w:ascii="Times New Roman" w:hAnsi="Times New Roman" w:cs="Times New Roman"/>
          <w:sz w:val="24"/>
          <w:lang w:val="de-CH"/>
        </w:rPr>
        <w:t>Bst. </w:t>
      </w:r>
      <w:r w:rsidRPr="00137E2E">
        <w:rPr>
          <w:rFonts w:ascii="Times New Roman" w:hAnsi="Times New Roman" w:cs="Times New Roman"/>
          <w:sz w:val="24"/>
          <w:lang w:val="de-CH"/>
        </w:rPr>
        <w:t>b Bundesgesetz über die Familienzulagen [Familienzulagengesetz, FamZG]</w:t>
      </w:r>
      <w:r w:rsidRPr="00137E2E">
        <w:rPr>
          <w:rStyle w:val="Appelnotedebasdep"/>
          <w:rFonts w:ascii="Times New Roman" w:hAnsi="Times New Roman" w:cs="Times New Roman"/>
          <w:sz w:val="24"/>
          <w:lang w:val="de-CH"/>
        </w:rPr>
        <w:t>)</w:t>
      </w:r>
      <w:r w:rsidRPr="00137E2E">
        <w:rPr>
          <w:rFonts w:ascii="Times New Roman" w:hAnsi="Times New Roman" w:cs="Times New Roman"/>
          <w:sz w:val="24"/>
          <w:lang w:val="de-CH"/>
        </w:rPr>
        <w:t xml:space="preserve"> angemessen scheint.</w:t>
      </w:r>
      <w:r w:rsidRPr="00137E2E">
        <w:rPr>
          <w:rStyle w:val="Appelnotedebasdep"/>
          <w:rFonts w:ascii="Times New Roman" w:hAnsi="Times New Roman" w:cs="Times New Roman"/>
          <w:sz w:val="24"/>
          <w:lang w:val="de-CH"/>
        </w:rPr>
        <w:footnoteReference w:id="21"/>
      </w:r>
      <w:r w:rsidRPr="00137E2E">
        <w:rPr>
          <w:rFonts w:ascii="Times New Roman" w:hAnsi="Times New Roman" w:cs="Times New Roman"/>
          <w:sz w:val="24"/>
          <w:lang w:val="de-CH"/>
        </w:rPr>
        <w:t xml:space="preserve"> </w:t>
      </w:r>
    </w:p>
    <w:p w14:paraId="634EC523" w14:textId="5F17BC5F" w:rsidR="009B46D1" w:rsidRPr="00137E2E" w:rsidRDefault="00216406" w:rsidP="00C01E8C">
      <w:pPr>
        <w:spacing w:line="240" w:lineRule="auto"/>
        <w:contextualSpacing/>
        <w:jc w:val="both"/>
        <w:rPr>
          <w:rFonts w:ascii="Times" w:hAnsi="Times" w:cs="Times"/>
          <w:b/>
          <w:sz w:val="24"/>
          <w:szCs w:val="24"/>
          <w:lang w:val="de-CH"/>
        </w:rPr>
      </w:pPr>
      <w:r w:rsidRPr="00137E2E">
        <w:rPr>
          <w:rFonts w:ascii="Times" w:hAnsi="Times" w:cs="Times"/>
          <w:b/>
          <w:sz w:val="24"/>
          <w:lang w:val="de-CH"/>
        </w:rPr>
        <w:t>Art. </w:t>
      </w:r>
      <w:r w:rsidR="00CE6165" w:rsidRPr="00137E2E">
        <w:rPr>
          <w:rFonts w:ascii="Times" w:hAnsi="Times" w:cs="Times"/>
          <w:b/>
          <w:sz w:val="24"/>
          <w:lang w:val="de-CH"/>
        </w:rPr>
        <w:t xml:space="preserve">12 </w:t>
      </w:r>
      <w:r w:rsidR="00476901" w:rsidRPr="00137E2E">
        <w:rPr>
          <w:rFonts w:ascii="Times" w:hAnsi="Times" w:cs="Times"/>
          <w:b/>
          <w:sz w:val="24"/>
          <w:lang w:val="de-CH"/>
        </w:rPr>
        <w:t xml:space="preserve">Zahlungsmodalitäten </w:t>
      </w:r>
    </w:p>
    <w:p w14:paraId="5FEDACB3" w14:textId="0429B745" w:rsidR="00BE166B" w:rsidRPr="00137E2E" w:rsidRDefault="00216406" w:rsidP="00C01E8C">
      <w:pPr>
        <w:spacing w:line="240" w:lineRule="auto"/>
        <w:jc w:val="both"/>
        <w:rPr>
          <w:rFonts w:ascii="Times" w:hAnsi="Times" w:cs="Times"/>
          <w:sz w:val="24"/>
          <w:szCs w:val="24"/>
          <w:lang w:val="de-CH"/>
        </w:rPr>
      </w:pPr>
      <w:r w:rsidRPr="00137E2E">
        <w:rPr>
          <w:rFonts w:ascii="Times" w:hAnsi="Times" w:cs="Times"/>
          <w:i/>
          <w:sz w:val="24"/>
          <w:lang w:val="de-CH"/>
        </w:rPr>
        <w:t>Absatz </w:t>
      </w:r>
      <w:r w:rsidR="00EB2FFB" w:rsidRPr="00137E2E">
        <w:rPr>
          <w:rFonts w:ascii="Times" w:hAnsi="Times" w:cs="Times"/>
          <w:i/>
          <w:sz w:val="24"/>
          <w:lang w:val="de-CH"/>
        </w:rPr>
        <w:t xml:space="preserve">1: </w:t>
      </w:r>
      <w:r w:rsidR="00EB2FFB" w:rsidRPr="00137E2E">
        <w:rPr>
          <w:rFonts w:ascii="Times" w:hAnsi="Times" w:cs="Times"/>
          <w:sz w:val="24"/>
          <w:lang w:val="de-CH"/>
        </w:rPr>
        <w:t xml:space="preserve">Das aktuelle Recht sieht vor, dass die Bevorschussung jeweils am 5. jedes Monats entrichtet wird. Diese Bestimmung verankert die Praxis, wonach sie jeweils am Monatsanfang für den laufenden Monat entrichtet wird. </w:t>
      </w:r>
    </w:p>
    <w:p w14:paraId="3C0738D4" w14:textId="790E6933" w:rsidR="0032594D" w:rsidRPr="00137E2E" w:rsidRDefault="00216406" w:rsidP="00C01E8C">
      <w:pPr>
        <w:spacing w:line="240" w:lineRule="auto"/>
        <w:jc w:val="both"/>
        <w:rPr>
          <w:rFonts w:ascii="Times" w:hAnsi="Times" w:cs="Times"/>
          <w:sz w:val="24"/>
          <w:szCs w:val="24"/>
          <w:lang w:val="de-CH"/>
        </w:rPr>
      </w:pPr>
      <w:r w:rsidRPr="00137E2E">
        <w:rPr>
          <w:rFonts w:ascii="Times" w:hAnsi="Times" w:cs="Times"/>
          <w:i/>
          <w:sz w:val="24"/>
          <w:lang w:val="de-CH"/>
        </w:rPr>
        <w:t>Absatz </w:t>
      </w:r>
      <w:r w:rsidR="00BE166B" w:rsidRPr="00137E2E">
        <w:rPr>
          <w:rFonts w:ascii="Times" w:hAnsi="Times" w:cs="Times"/>
          <w:i/>
          <w:sz w:val="24"/>
          <w:lang w:val="de-CH"/>
        </w:rPr>
        <w:t>2:</w:t>
      </w:r>
      <w:r w:rsidR="00BE166B" w:rsidRPr="00137E2E">
        <w:rPr>
          <w:rFonts w:ascii="Times" w:hAnsi="Times" w:cs="Times"/>
          <w:sz w:val="24"/>
          <w:lang w:val="de-CH"/>
        </w:rPr>
        <w:t xml:space="preserve"> Die zuständige Behörde muss die Bevorschussung an Dritte überweisen können, namentlich einem Sozialdienst, einer Person mit Erwachsenen- oder Kindesschutzmandat oder einer Pflegefamilie. </w:t>
      </w:r>
    </w:p>
    <w:p w14:paraId="7C1BE2C5" w14:textId="2CA27EFA" w:rsidR="009B46D1" w:rsidRPr="00137E2E" w:rsidRDefault="00216406" w:rsidP="00C01E8C">
      <w:pPr>
        <w:spacing w:line="240" w:lineRule="auto"/>
        <w:contextualSpacing/>
        <w:jc w:val="both"/>
        <w:rPr>
          <w:rFonts w:ascii="Times" w:hAnsi="Times" w:cs="Times"/>
          <w:b/>
          <w:sz w:val="24"/>
          <w:szCs w:val="24"/>
          <w:lang w:val="de-CH"/>
        </w:rPr>
      </w:pPr>
      <w:r w:rsidRPr="00137E2E">
        <w:rPr>
          <w:rFonts w:ascii="Times" w:hAnsi="Times" w:cs="Times"/>
          <w:b/>
          <w:sz w:val="24"/>
          <w:lang w:val="de-CH"/>
        </w:rPr>
        <w:t>Art. </w:t>
      </w:r>
      <w:r w:rsidR="00CE6165" w:rsidRPr="00137E2E">
        <w:rPr>
          <w:rFonts w:ascii="Times" w:hAnsi="Times" w:cs="Times"/>
          <w:b/>
          <w:sz w:val="24"/>
          <w:lang w:val="de-CH"/>
        </w:rPr>
        <w:t xml:space="preserve">13 </w:t>
      </w:r>
      <w:r w:rsidR="00476901" w:rsidRPr="00137E2E">
        <w:rPr>
          <w:rFonts w:ascii="Times" w:hAnsi="Times" w:cs="Times"/>
          <w:b/>
          <w:sz w:val="24"/>
          <w:lang w:val="de-CH"/>
        </w:rPr>
        <w:t xml:space="preserve">Subrogation </w:t>
      </w:r>
    </w:p>
    <w:p w14:paraId="54D7A3E4" w14:textId="2782BD4F" w:rsidR="0032594D" w:rsidRPr="00137E2E" w:rsidRDefault="0032594D" w:rsidP="00C01E8C">
      <w:pPr>
        <w:spacing w:line="240" w:lineRule="auto"/>
        <w:jc w:val="both"/>
        <w:rPr>
          <w:rFonts w:ascii="Times" w:hAnsi="Times" w:cs="Times"/>
          <w:sz w:val="24"/>
          <w:szCs w:val="24"/>
          <w:lang w:val="de-CH"/>
        </w:rPr>
      </w:pPr>
      <w:r w:rsidRPr="00137E2E">
        <w:rPr>
          <w:rFonts w:ascii="Times" w:hAnsi="Times" w:cs="Times"/>
          <w:sz w:val="24"/>
          <w:lang w:val="de-CH"/>
        </w:rPr>
        <w:t>Die Rechte gehen allesamt auf das Gemeinwesen über, das den Unterhalt vorschiesst (</w:t>
      </w:r>
      <w:r w:rsidR="00216406" w:rsidRPr="00137E2E">
        <w:rPr>
          <w:rFonts w:ascii="Times" w:hAnsi="Times" w:cs="Times"/>
          <w:sz w:val="24"/>
          <w:lang w:val="de-CH"/>
        </w:rPr>
        <w:t>Art. </w:t>
      </w:r>
      <w:r w:rsidRPr="00137E2E">
        <w:rPr>
          <w:rFonts w:ascii="Times" w:hAnsi="Times" w:cs="Times"/>
          <w:sz w:val="24"/>
          <w:lang w:val="de-CH"/>
        </w:rPr>
        <w:t xml:space="preserve">289 </w:t>
      </w:r>
      <w:r w:rsidR="00216406" w:rsidRPr="00137E2E">
        <w:rPr>
          <w:rFonts w:ascii="Times" w:hAnsi="Times" w:cs="Times"/>
          <w:sz w:val="24"/>
          <w:lang w:val="de-CH"/>
        </w:rPr>
        <w:t>Abs. </w:t>
      </w:r>
      <w:r w:rsidRPr="00137E2E">
        <w:rPr>
          <w:rFonts w:ascii="Times" w:hAnsi="Times" w:cs="Times"/>
          <w:sz w:val="24"/>
          <w:lang w:val="de-CH"/>
        </w:rPr>
        <w:t xml:space="preserve">2 ZGB). Die zuständige Behörde muss die unterhaltspflichtige Person unmittelbar darüber informieren, damit diese den Auftrag künftig zu dessen Gunsten erfüllt. </w:t>
      </w:r>
    </w:p>
    <w:p w14:paraId="6FB73346" w14:textId="77777777" w:rsidR="00110947" w:rsidRPr="00137E2E" w:rsidRDefault="00110947" w:rsidP="00EF4518">
      <w:pPr>
        <w:pStyle w:val="Titre2"/>
        <w:jc w:val="both"/>
        <w:rPr>
          <w:lang w:val="de-CH"/>
        </w:rPr>
      </w:pPr>
      <w:bookmarkStart w:id="15" w:name="_Toc49330776"/>
      <w:r w:rsidRPr="00137E2E">
        <w:rPr>
          <w:lang w:val="de-CH"/>
        </w:rPr>
        <w:t>3 Rückerstattung und Verjährung</w:t>
      </w:r>
      <w:bookmarkEnd w:id="15"/>
      <w:r w:rsidRPr="00137E2E">
        <w:rPr>
          <w:lang w:val="de-CH"/>
        </w:rPr>
        <w:t xml:space="preserve"> </w:t>
      </w:r>
    </w:p>
    <w:p w14:paraId="6236EF47" w14:textId="70EDF6F6" w:rsidR="009B46D1" w:rsidRPr="00137E2E" w:rsidRDefault="00216406" w:rsidP="00EF4518">
      <w:pPr>
        <w:spacing w:line="240" w:lineRule="auto"/>
        <w:contextualSpacing/>
        <w:jc w:val="both"/>
        <w:rPr>
          <w:rFonts w:ascii="Times" w:hAnsi="Times" w:cs="Times"/>
          <w:b/>
          <w:sz w:val="24"/>
          <w:szCs w:val="24"/>
          <w:lang w:val="de-CH"/>
        </w:rPr>
      </w:pPr>
      <w:r w:rsidRPr="00137E2E">
        <w:rPr>
          <w:rFonts w:ascii="Times" w:hAnsi="Times" w:cs="Times"/>
          <w:b/>
          <w:sz w:val="24"/>
          <w:lang w:val="de-CH"/>
        </w:rPr>
        <w:t>Art. </w:t>
      </w:r>
      <w:r w:rsidR="00CE6165" w:rsidRPr="00137E2E">
        <w:rPr>
          <w:rFonts w:ascii="Times" w:hAnsi="Times" w:cs="Times"/>
          <w:b/>
          <w:sz w:val="24"/>
          <w:lang w:val="de-CH"/>
        </w:rPr>
        <w:t xml:space="preserve">14 </w:t>
      </w:r>
      <w:r w:rsidR="00110947" w:rsidRPr="00137E2E">
        <w:rPr>
          <w:rFonts w:ascii="Times" w:hAnsi="Times" w:cs="Times"/>
          <w:b/>
          <w:sz w:val="24"/>
          <w:lang w:val="de-CH"/>
        </w:rPr>
        <w:t xml:space="preserve">Rückerstattung </w:t>
      </w:r>
    </w:p>
    <w:p w14:paraId="70865187" w14:textId="228005CE" w:rsidR="00446A2A" w:rsidRPr="00137E2E" w:rsidRDefault="00216406" w:rsidP="00EF4518">
      <w:pPr>
        <w:spacing w:line="240" w:lineRule="auto"/>
        <w:jc w:val="both"/>
        <w:rPr>
          <w:rFonts w:ascii="Times" w:hAnsi="Times" w:cs="Times"/>
          <w:sz w:val="24"/>
          <w:szCs w:val="24"/>
          <w:lang w:val="de-CH"/>
        </w:rPr>
      </w:pPr>
      <w:r w:rsidRPr="00137E2E">
        <w:rPr>
          <w:rFonts w:ascii="Times" w:hAnsi="Times" w:cs="Times"/>
          <w:i/>
          <w:sz w:val="24"/>
          <w:lang w:val="de-CH"/>
        </w:rPr>
        <w:t>Absatz </w:t>
      </w:r>
      <w:r w:rsidR="00800042" w:rsidRPr="00137E2E">
        <w:rPr>
          <w:rFonts w:ascii="Times" w:hAnsi="Times" w:cs="Times"/>
          <w:i/>
          <w:sz w:val="24"/>
          <w:lang w:val="de-CH"/>
        </w:rPr>
        <w:t xml:space="preserve">1 und 2: </w:t>
      </w:r>
      <w:r w:rsidR="00800042" w:rsidRPr="00137E2E">
        <w:rPr>
          <w:rFonts w:ascii="Times" w:hAnsi="Times" w:cs="Times"/>
          <w:sz w:val="24"/>
          <w:lang w:val="de-CH"/>
        </w:rPr>
        <w:t>Wer unberechtigterweise eine Bevorschussung bezogen hat, muss diese zurückzahlen. Die Person wird nur von der Rückerstattung befreit, wenn sie sowohl gutgläubig war als auch wenn die Rückerstattung sie in eine</w:t>
      </w:r>
      <w:r w:rsidR="000A39BF" w:rsidRPr="00137E2E">
        <w:rPr>
          <w:rFonts w:ascii="Times" w:hAnsi="Times" w:cs="Times"/>
          <w:sz w:val="24"/>
          <w:lang w:val="de-CH"/>
        </w:rPr>
        <w:t xml:space="preserve"> schwierige Lage bringen würde.</w:t>
      </w:r>
      <w:r w:rsidR="00800042" w:rsidRPr="00137E2E">
        <w:rPr>
          <w:rStyle w:val="Appelnotedebasdep"/>
          <w:rFonts w:ascii="Times" w:hAnsi="Times" w:cs="Times"/>
          <w:sz w:val="24"/>
          <w:lang w:val="de-CH"/>
        </w:rPr>
        <w:footnoteReference w:id="22"/>
      </w:r>
    </w:p>
    <w:p w14:paraId="6BF2A6F8" w14:textId="2C164E7A" w:rsidR="005F0435" w:rsidRPr="00137E2E" w:rsidRDefault="00216406" w:rsidP="00EF4518">
      <w:pPr>
        <w:spacing w:line="240" w:lineRule="auto"/>
        <w:jc w:val="both"/>
        <w:rPr>
          <w:rFonts w:ascii="Times" w:hAnsi="Times" w:cs="Times"/>
          <w:sz w:val="24"/>
          <w:szCs w:val="24"/>
          <w:lang w:val="de-CH"/>
        </w:rPr>
      </w:pPr>
      <w:r w:rsidRPr="00137E2E">
        <w:rPr>
          <w:rFonts w:ascii="Times" w:hAnsi="Times" w:cs="Times"/>
          <w:i/>
          <w:sz w:val="24"/>
          <w:lang w:val="de-CH"/>
        </w:rPr>
        <w:t>Absatz </w:t>
      </w:r>
      <w:r w:rsidR="00AD3609" w:rsidRPr="00137E2E">
        <w:rPr>
          <w:rFonts w:ascii="Times" w:hAnsi="Times" w:cs="Times"/>
          <w:i/>
          <w:sz w:val="24"/>
          <w:lang w:val="de-CH"/>
        </w:rPr>
        <w:t>3:</w:t>
      </w:r>
      <w:r w:rsidR="00AD3609" w:rsidRPr="00137E2E">
        <w:rPr>
          <w:rFonts w:ascii="Times" w:hAnsi="Times" w:cs="Times"/>
          <w:sz w:val="24"/>
          <w:lang w:val="de-CH"/>
        </w:rPr>
        <w:t xml:space="preserve"> Die Behörde kann die unrechtmässig bezogene Bevorschussung von der zukünftigen Bevorschussung abziehen, muss dabei jedoch das betreibungsrechtliche Existenzminimum der unterhaltsberechtigten Person berücksichtigen. </w:t>
      </w:r>
    </w:p>
    <w:p w14:paraId="56FC6CE8" w14:textId="742839C5" w:rsidR="009B46D1" w:rsidRPr="00137E2E" w:rsidRDefault="00216406" w:rsidP="003237C8">
      <w:pPr>
        <w:spacing w:before="240" w:line="240" w:lineRule="auto"/>
        <w:contextualSpacing/>
        <w:jc w:val="both"/>
        <w:rPr>
          <w:rFonts w:ascii="Times" w:hAnsi="Times" w:cs="Times"/>
          <w:b/>
          <w:sz w:val="24"/>
          <w:szCs w:val="24"/>
          <w:lang w:val="de-CH"/>
        </w:rPr>
      </w:pPr>
      <w:r w:rsidRPr="00137E2E">
        <w:rPr>
          <w:rFonts w:ascii="Times" w:hAnsi="Times" w:cs="Times"/>
          <w:b/>
          <w:sz w:val="24"/>
          <w:lang w:val="de-CH"/>
        </w:rPr>
        <w:t>Art. </w:t>
      </w:r>
      <w:r w:rsidR="00CE6165" w:rsidRPr="00137E2E">
        <w:rPr>
          <w:rFonts w:ascii="Times" w:hAnsi="Times" w:cs="Times"/>
          <w:b/>
          <w:sz w:val="24"/>
          <w:lang w:val="de-CH"/>
        </w:rPr>
        <w:t xml:space="preserve">15 </w:t>
      </w:r>
      <w:r w:rsidR="00F54BBD" w:rsidRPr="00137E2E">
        <w:rPr>
          <w:rFonts w:ascii="Times" w:hAnsi="Times" w:cs="Times"/>
          <w:b/>
          <w:sz w:val="24"/>
          <w:lang w:val="de-CH"/>
        </w:rPr>
        <w:t xml:space="preserve">Verjährung </w:t>
      </w:r>
    </w:p>
    <w:p w14:paraId="2CEAE104" w14:textId="77777777" w:rsidR="00F54BBD" w:rsidRPr="00137E2E" w:rsidRDefault="00FA0DF6" w:rsidP="003237C8">
      <w:pPr>
        <w:spacing w:before="240" w:line="240" w:lineRule="auto"/>
        <w:jc w:val="both"/>
        <w:rPr>
          <w:rFonts w:ascii="Times" w:hAnsi="Times" w:cs="Times"/>
          <w:sz w:val="24"/>
          <w:szCs w:val="24"/>
          <w:lang w:val="de-CH"/>
        </w:rPr>
      </w:pPr>
      <w:r w:rsidRPr="00137E2E">
        <w:rPr>
          <w:rFonts w:ascii="Times" w:hAnsi="Times" w:cs="Times"/>
          <w:sz w:val="24"/>
          <w:lang w:val="de-CH"/>
        </w:rPr>
        <w:t>Die Regel wurde vom Sozialhilfegesetz (SHG) abgekupfert und findet sinngemäss bereits im aktuellen Recht Anwendung.</w:t>
      </w:r>
      <w:r w:rsidRPr="00137E2E">
        <w:rPr>
          <w:rStyle w:val="Appelnotedebasdep"/>
          <w:rFonts w:ascii="Times" w:hAnsi="Times" w:cs="Times"/>
          <w:sz w:val="24"/>
          <w:lang w:val="de-CH"/>
        </w:rPr>
        <w:footnoteReference w:id="23"/>
      </w:r>
      <w:r w:rsidRPr="00137E2E">
        <w:rPr>
          <w:rFonts w:ascii="Times" w:hAnsi="Times" w:cs="Times"/>
          <w:sz w:val="24"/>
          <w:lang w:val="de-CH"/>
        </w:rPr>
        <w:t xml:space="preserve"> </w:t>
      </w:r>
    </w:p>
    <w:p w14:paraId="49C71D09" w14:textId="77777777" w:rsidR="0091111C" w:rsidRPr="00137E2E" w:rsidRDefault="0091111C" w:rsidP="003237C8">
      <w:pPr>
        <w:pStyle w:val="Titre2"/>
        <w:jc w:val="both"/>
        <w:rPr>
          <w:lang w:val="de-CH"/>
        </w:rPr>
      </w:pPr>
      <w:bookmarkStart w:id="16" w:name="_Toc49330777"/>
      <w:r w:rsidRPr="00137E2E">
        <w:rPr>
          <w:lang w:val="de-CH"/>
        </w:rPr>
        <w:t>4 Verfahren</w:t>
      </w:r>
      <w:bookmarkEnd w:id="16"/>
      <w:r w:rsidRPr="00137E2E">
        <w:rPr>
          <w:lang w:val="de-CH"/>
        </w:rPr>
        <w:t xml:space="preserve"> </w:t>
      </w:r>
    </w:p>
    <w:p w14:paraId="76B1C027" w14:textId="463D24E4" w:rsidR="000E1037" w:rsidRPr="00137E2E" w:rsidRDefault="00216406" w:rsidP="003237C8">
      <w:pPr>
        <w:spacing w:line="240" w:lineRule="auto"/>
        <w:contextualSpacing/>
        <w:jc w:val="both"/>
        <w:rPr>
          <w:rFonts w:ascii="Times" w:hAnsi="Times" w:cs="Times"/>
          <w:b/>
          <w:sz w:val="24"/>
          <w:szCs w:val="24"/>
          <w:lang w:val="de-CH"/>
        </w:rPr>
      </w:pPr>
      <w:r w:rsidRPr="00137E2E">
        <w:rPr>
          <w:rFonts w:ascii="Times" w:hAnsi="Times" w:cs="Times"/>
          <w:b/>
          <w:sz w:val="24"/>
          <w:lang w:val="de-CH"/>
        </w:rPr>
        <w:t>Art. </w:t>
      </w:r>
      <w:r w:rsidR="00CE6165" w:rsidRPr="00137E2E">
        <w:rPr>
          <w:rFonts w:ascii="Times" w:hAnsi="Times" w:cs="Times"/>
          <w:b/>
          <w:sz w:val="24"/>
          <w:lang w:val="de-CH"/>
        </w:rPr>
        <w:t xml:space="preserve">16 </w:t>
      </w:r>
      <w:r w:rsidR="000E1037" w:rsidRPr="00137E2E">
        <w:rPr>
          <w:rFonts w:ascii="Times" w:hAnsi="Times" w:cs="Times"/>
          <w:b/>
          <w:sz w:val="24"/>
          <w:lang w:val="de-CH"/>
        </w:rPr>
        <w:t xml:space="preserve">Observation </w:t>
      </w:r>
    </w:p>
    <w:p w14:paraId="1C2588DD" w14:textId="5CB608BD" w:rsidR="00CB7BCD" w:rsidRPr="00137E2E" w:rsidRDefault="00CB7BCD" w:rsidP="00676B97">
      <w:pPr>
        <w:spacing w:line="240" w:lineRule="auto"/>
        <w:jc w:val="both"/>
        <w:rPr>
          <w:rFonts w:ascii="Times" w:hAnsi="Times" w:cs="Times"/>
          <w:sz w:val="24"/>
          <w:szCs w:val="24"/>
          <w:lang w:val="de-CH"/>
        </w:rPr>
      </w:pPr>
      <w:r w:rsidRPr="00137E2E">
        <w:rPr>
          <w:rFonts w:ascii="Times" w:hAnsi="Times" w:cs="Times"/>
          <w:sz w:val="24"/>
          <w:lang w:val="de-CH"/>
        </w:rPr>
        <w:t>Es kommt vor, dass Eltern den Behörden zwar ihre Trennung melden, in Wirklichkeit jedoch weiterhin zusammenleben. In einem solchen Fall hat das Kind keinen Anspruch auf Bevorschussung mehr (</w:t>
      </w:r>
      <w:r w:rsidR="00216406" w:rsidRPr="00137E2E">
        <w:rPr>
          <w:rFonts w:ascii="Times" w:hAnsi="Times" w:cs="Times"/>
          <w:sz w:val="24"/>
          <w:lang w:val="de-CH"/>
        </w:rPr>
        <w:t>Art. </w:t>
      </w:r>
      <w:r w:rsidR="009C3B6A">
        <w:rPr>
          <w:rFonts w:ascii="Times" w:hAnsi="Times" w:cs="Times"/>
          <w:sz w:val="24"/>
          <w:lang w:val="de-CH"/>
        </w:rPr>
        <w:t>2</w:t>
      </w:r>
      <w:r w:rsidRPr="00137E2E">
        <w:rPr>
          <w:rFonts w:ascii="Times" w:hAnsi="Times" w:cs="Times"/>
          <w:sz w:val="24"/>
          <w:lang w:val="de-CH"/>
        </w:rPr>
        <w:t xml:space="preserve"> </w:t>
      </w:r>
      <w:r w:rsidR="00216406" w:rsidRPr="00137E2E">
        <w:rPr>
          <w:rFonts w:ascii="Times" w:hAnsi="Times" w:cs="Times"/>
          <w:sz w:val="24"/>
          <w:lang w:val="de-CH"/>
        </w:rPr>
        <w:t>Abs. </w:t>
      </w:r>
      <w:r w:rsidR="009C3B6A">
        <w:rPr>
          <w:rFonts w:ascii="Times" w:hAnsi="Times" w:cs="Times"/>
          <w:sz w:val="24"/>
          <w:lang w:val="de-CH"/>
        </w:rPr>
        <w:t>4</w:t>
      </w:r>
      <w:r w:rsidRPr="00137E2E">
        <w:rPr>
          <w:rFonts w:ascii="Times" w:hAnsi="Times" w:cs="Times"/>
          <w:sz w:val="24"/>
          <w:lang w:val="de-CH"/>
        </w:rPr>
        <w:t xml:space="preserve">). In anderen Fällen tun der obhutsberechtigte Elternteil und eine unter demselben Dach lebende erwachsene Person so, als würden sie nicht im Konkubinat leben, sondern nur eine Wohngemeinschaft bilden, damit </w:t>
      </w:r>
      <w:r w:rsidR="00093982">
        <w:rPr>
          <w:rFonts w:ascii="Times" w:hAnsi="Times" w:cs="Times"/>
          <w:sz w:val="24"/>
          <w:lang w:val="de-CH"/>
        </w:rPr>
        <w:t>die</w:t>
      </w:r>
      <w:r w:rsidRPr="00137E2E">
        <w:rPr>
          <w:rFonts w:ascii="Times" w:hAnsi="Times" w:cs="Times"/>
          <w:sz w:val="24"/>
          <w:lang w:val="de-CH"/>
        </w:rPr>
        <w:t xml:space="preserve"> finanzielle Situation</w:t>
      </w:r>
      <w:r w:rsidR="00093982">
        <w:rPr>
          <w:rFonts w:ascii="Times" w:hAnsi="Times" w:cs="Times"/>
          <w:sz w:val="24"/>
          <w:lang w:val="de-CH"/>
        </w:rPr>
        <w:t xml:space="preserve"> des «Mitbewohners»</w:t>
      </w:r>
      <w:r w:rsidRPr="00137E2E">
        <w:rPr>
          <w:rFonts w:ascii="Times" w:hAnsi="Times" w:cs="Times"/>
          <w:sz w:val="24"/>
          <w:lang w:val="de-CH"/>
        </w:rPr>
        <w:t xml:space="preserve"> bei der Prüfung des Anspruchs auf Bevorschussung und der Festlegung ihrer Höhe nicht berücksichtigt wird (vgl. </w:t>
      </w:r>
      <w:r w:rsidR="00216406" w:rsidRPr="00137E2E">
        <w:rPr>
          <w:rFonts w:ascii="Times" w:hAnsi="Times" w:cs="Times"/>
          <w:sz w:val="24"/>
          <w:lang w:val="de-CH"/>
        </w:rPr>
        <w:t>Art. </w:t>
      </w:r>
      <w:r w:rsidR="00093982">
        <w:rPr>
          <w:rFonts w:ascii="Times" w:hAnsi="Times" w:cs="Times"/>
          <w:sz w:val="24"/>
          <w:lang w:val="de-CH"/>
        </w:rPr>
        <w:t>8</w:t>
      </w:r>
      <w:r w:rsidRPr="00137E2E">
        <w:rPr>
          <w:rFonts w:ascii="Times" w:hAnsi="Times" w:cs="Times"/>
          <w:sz w:val="24"/>
          <w:lang w:val="de-CH"/>
        </w:rPr>
        <w:t xml:space="preserve"> </w:t>
      </w:r>
      <w:r w:rsidR="00216406" w:rsidRPr="00137E2E">
        <w:rPr>
          <w:rFonts w:ascii="Times" w:hAnsi="Times" w:cs="Times"/>
          <w:sz w:val="24"/>
          <w:lang w:val="de-CH"/>
        </w:rPr>
        <w:t>Abs. </w:t>
      </w:r>
      <w:r w:rsidRPr="00137E2E">
        <w:rPr>
          <w:rFonts w:ascii="Times" w:hAnsi="Times" w:cs="Times"/>
          <w:sz w:val="24"/>
          <w:lang w:val="de-CH"/>
        </w:rPr>
        <w:t xml:space="preserve">1 </w:t>
      </w:r>
      <w:r w:rsidR="00216406" w:rsidRPr="00137E2E">
        <w:rPr>
          <w:rFonts w:ascii="Times" w:hAnsi="Times" w:cs="Times"/>
          <w:sz w:val="24"/>
          <w:lang w:val="de-CH"/>
        </w:rPr>
        <w:t>Bst. </w:t>
      </w:r>
      <w:r w:rsidRPr="00137E2E">
        <w:rPr>
          <w:rFonts w:ascii="Times" w:hAnsi="Times" w:cs="Times"/>
          <w:sz w:val="24"/>
          <w:lang w:val="de-CH"/>
        </w:rPr>
        <w:t xml:space="preserve">c und </w:t>
      </w:r>
      <w:r w:rsidR="00216406" w:rsidRPr="00137E2E">
        <w:rPr>
          <w:rFonts w:ascii="Times" w:hAnsi="Times" w:cs="Times"/>
          <w:sz w:val="24"/>
          <w:lang w:val="de-CH"/>
        </w:rPr>
        <w:t>Abs. </w:t>
      </w:r>
      <w:r w:rsidRPr="00137E2E">
        <w:rPr>
          <w:rFonts w:ascii="Times" w:hAnsi="Times" w:cs="Times"/>
          <w:sz w:val="24"/>
          <w:lang w:val="de-CH"/>
        </w:rPr>
        <w:t xml:space="preserve">2). </w:t>
      </w:r>
    </w:p>
    <w:p w14:paraId="670040F4" w14:textId="77777777" w:rsidR="000E1037" w:rsidRPr="00137E2E" w:rsidRDefault="00EF3CF9" w:rsidP="00676B97">
      <w:pPr>
        <w:spacing w:line="240" w:lineRule="auto"/>
        <w:jc w:val="both"/>
        <w:rPr>
          <w:rFonts w:ascii="Times" w:hAnsi="Times" w:cs="Times"/>
          <w:sz w:val="24"/>
          <w:szCs w:val="24"/>
          <w:lang w:val="de-CH"/>
        </w:rPr>
      </w:pPr>
      <w:r w:rsidRPr="00137E2E">
        <w:rPr>
          <w:rFonts w:ascii="Times" w:hAnsi="Times" w:cs="Times"/>
          <w:sz w:val="24"/>
          <w:lang w:val="de-CH"/>
        </w:rPr>
        <w:t xml:space="preserve">Die beschränkten Beweismittel, die der zuständigen Behörde zur Verfügung stehen, machen eine Abklärung des Sachverhalts in solchen Situationen schwierig. Der Staatsrat schlägt vor, die Mittel zur Bekämpfung solcher Missbräuche auszubauen, indem der zuständigen Behörde die Möglichkeit der Observation eingeräumt wird. </w:t>
      </w:r>
    </w:p>
    <w:p w14:paraId="0FC8B31A" w14:textId="5CC844E1" w:rsidR="00C523B8" w:rsidRPr="00137E2E" w:rsidRDefault="00C523B8" w:rsidP="003237C8">
      <w:pPr>
        <w:spacing w:line="240" w:lineRule="auto"/>
        <w:jc w:val="both"/>
        <w:rPr>
          <w:rFonts w:ascii="Times" w:hAnsi="Times" w:cs="Times"/>
          <w:sz w:val="24"/>
          <w:szCs w:val="24"/>
          <w:lang w:val="de-CH"/>
        </w:rPr>
      </w:pPr>
      <w:r w:rsidRPr="00137E2E">
        <w:rPr>
          <w:rFonts w:ascii="Times" w:hAnsi="Times" w:cs="Times"/>
          <w:sz w:val="24"/>
          <w:lang w:val="de-CH"/>
        </w:rPr>
        <w:lastRenderedPageBreak/>
        <w:t>Der Europäische Gerichtshof für Menschenrechte (EGM</w:t>
      </w:r>
      <w:r w:rsidR="000A39BF" w:rsidRPr="00137E2E">
        <w:rPr>
          <w:rFonts w:ascii="Times" w:hAnsi="Times" w:cs="Times"/>
          <w:sz w:val="24"/>
          <w:lang w:val="de-CH"/>
        </w:rPr>
        <w:t>R) kam in seinem Urteil vom 18. </w:t>
      </w:r>
      <w:r w:rsidRPr="00137E2E">
        <w:rPr>
          <w:rFonts w:ascii="Times" w:hAnsi="Times" w:cs="Times"/>
          <w:sz w:val="24"/>
          <w:lang w:val="de-CH"/>
        </w:rPr>
        <w:t>Oktober</w:t>
      </w:r>
      <w:r w:rsidR="00FD7FEE" w:rsidRPr="00137E2E">
        <w:rPr>
          <w:rFonts w:ascii="Times" w:hAnsi="Times" w:cs="Times"/>
          <w:sz w:val="24"/>
          <w:lang w:val="de-CH"/>
        </w:rPr>
        <w:t> 20</w:t>
      </w:r>
      <w:r w:rsidRPr="00137E2E">
        <w:rPr>
          <w:rFonts w:ascii="Times" w:hAnsi="Times" w:cs="Times"/>
          <w:sz w:val="24"/>
          <w:lang w:val="de-CH"/>
        </w:rPr>
        <w:t>16</w:t>
      </w:r>
      <w:r w:rsidRPr="00137E2E">
        <w:rPr>
          <w:rStyle w:val="Appelnotedebasdep"/>
          <w:rFonts w:ascii="Times" w:hAnsi="Times" w:cs="Times"/>
          <w:sz w:val="24"/>
          <w:lang w:val="de-CH"/>
        </w:rPr>
        <w:footnoteReference w:id="24"/>
      </w:r>
      <w:r w:rsidRPr="00137E2E">
        <w:rPr>
          <w:rFonts w:ascii="Times" w:hAnsi="Times" w:cs="Times"/>
          <w:sz w:val="24"/>
          <w:lang w:val="de-CH"/>
        </w:rPr>
        <w:t xml:space="preserve"> zum Schluss, dass durch eine Observation der Schutzbereich des Rechts auf Achtung des Privat- und Familienlebens (</w:t>
      </w:r>
      <w:r w:rsidR="00216406" w:rsidRPr="00137E2E">
        <w:rPr>
          <w:rFonts w:ascii="Times" w:hAnsi="Times" w:cs="Times"/>
          <w:sz w:val="24"/>
          <w:lang w:val="de-CH"/>
        </w:rPr>
        <w:t>Art. </w:t>
      </w:r>
      <w:r w:rsidRPr="00137E2E">
        <w:rPr>
          <w:rFonts w:ascii="Times" w:hAnsi="Times" w:cs="Times"/>
          <w:sz w:val="24"/>
          <w:lang w:val="de-CH"/>
        </w:rPr>
        <w:t xml:space="preserve">8 der Konvention zum Schutze der Menschenrechte und Grundfreiheiten [EMRK], in nationalen Recht </w:t>
      </w:r>
      <w:r w:rsidR="00216406" w:rsidRPr="00137E2E">
        <w:rPr>
          <w:rFonts w:ascii="Times" w:hAnsi="Times" w:cs="Times"/>
          <w:sz w:val="24"/>
          <w:lang w:val="de-CH"/>
        </w:rPr>
        <w:t>Art. </w:t>
      </w:r>
      <w:r w:rsidRPr="00137E2E">
        <w:rPr>
          <w:rFonts w:ascii="Times" w:hAnsi="Times" w:cs="Times"/>
          <w:sz w:val="24"/>
          <w:lang w:val="de-CH"/>
        </w:rPr>
        <w:t xml:space="preserve">13 der Bundesverfassung [BV]) tangiert wird. Eine solche Einschränkung einer grundrechtlichen Position ist nur, aber immerhin dann zulässig, wenn eine ausreichend klare und hinsichtlich der Voraussetzungen und Modalitäten einer Observation konkrete gesetzliche Grundlage besteht. Aus diesem Urteil ergibt sich, dass die Gesetzesbestimmung die Umstände definieren muss, die eine Observation rechtfertigen. Ausserdem sind die maximale Dauer, die Kommunikation, die Aufbewahrung und die Löschung der Daten festzulegen. </w:t>
      </w:r>
    </w:p>
    <w:p w14:paraId="218B937C" w14:textId="32BD0F14" w:rsidR="00EC4E29" w:rsidRPr="00137E2E" w:rsidRDefault="00216406" w:rsidP="009E33E3">
      <w:pPr>
        <w:spacing w:line="240" w:lineRule="auto"/>
        <w:jc w:val="both"/>
        <w:rPr>
          <w:rFonts w:ascii="Times" w:hAnsi="Times" w:cs="Times"/>
          <w:sz w:val="24"/>
          <w:szCs w:val="24"/>
          <w:lang w:val="de-CH"/>
        </w:rPr>
      </w:pPr>
      <w:r w:rsidRPr="00137E2E">
        <w:rPr>
          <w:rFonts w:ascii="Times" w:hAnsi="Times" w:cs="Times"/>
          <w:sz w:val="24"/>
          <w:lang w:val="de-CH"/>
        </w:rPr>
        <w:t>Artikel </w:t>
      </w:r>
      <w:r w:rsidR="00CE6165" w:rsidRPr="00137E2E">
        <w:rPr>
          <w:rFonts w:ascii="Times" w:hAnsi="Times" w:cs="Times"/>
          <w:sz w:val="24"/>
          <w:lang w:val="de-CH"/>
        </w:rPr>
        <w:t xml:space="preserve">16 </w:t>
      </w:r>
      <w:r w:rsidR="00EC4E29" w:rsidRPr="00137E2E">
        <w:rPr>
          <w:rFonts w:ascii="Times" w:hAnsi="Times" w:cs="Times"/>
          <w:sz w:val="24"/>
          <w:lang w:val="de-CH"/>
        </w:rPr>
        <w:t xml:space="preserve">inspiriert sich an </w:t>
      </w:r>
      <w:r w:rsidRPr="00137E2E">
        <w:rPr>
          <w:rFonts w:ascii="Times" w:hAnsi="Times" w:cs="Times"/>
          <w:sz w:val="24"/>
          <w:lang w:val="de-CH"/>
        </w:rPr>
        <w:t>Artikel </w:t>
      </w:r>
      <w:r w:rsidR="00C900ED" w:rsidRPr="00137E2E">
        <w:rPr>
          <w:rFonts w:ascii="Times" w:hAnsi="Times" w:cs="Times"/>
          <w:sz w:val="24"/>
          <w:lang w:val="de-CH"/>
        </w:rPr>
        <w:t>43 ATSG, der am 16. </w:t>
      </w:r>
      <w:r w:rsidR="00EC4E29" w:rsidRPr="00137E2E">
        <w:rPr>
          <w:rFonts w:ascii="Times" w:hAnsi="Times" w:cs="Times"/>
          <w:sz w:val="24"/>
          <w:lang w:val="de-CH"/>
        </w:rPr>
        <w:t>März</w:t>
      </w:r>
      <w:r w:rsidR="00FD7FEE" w:rsidRPr="00137E2E">
        <w:rPr>
          <w:rFonts w:ascii="Times" w:hAnsi="Times" w:cs="Times"/>
          <w:sz w:val="24"/>
          <w:lang w:val="de-CH"/>
        </w:rPr>
        <w:t> 20</w:t>
      </w:r>
      <w:r w:rsidR="00EC4E29" w:rsidRPr="00137E2E">
        <w:rPr>
          <w:rFonts w:ascii="Times" w:hAnsi="Times" w:cs="Times"/>
          <w:sz w:val="24"/>
          <w:lang w:val="de-CH"/>
        </w:rPr>
        <w:t>18 verabschiedet wurde, und nimmt Bezug auf die vorstehenden Kriterien.</w:t>
      </w:r>
      <w:r w:rsidR="00EC4E29" w:rsidRPr="00137E2E">
        <w:rPr>
          <w:rStyle w:val="Appelnotedebasdep"/>
          <w:rFonts w:ascii="Times" w:hAnsi="Times" w:cs="Times"/>
          <w:sz w:val="24"/>
          <w:lang w:val="de-CH"/>
        </w:rPr>
        <w:footnoteReference w:id="25"/>
      </w:r>
      <w:r w:rsidR="00EC4E29" w:rsidRPr="00137E2E">
        <w:rPr>
          <w:rFonts w:ascii="Times" w:hAnsi="Times" w:cs="Times"/>
          <w:sz w:val="24"/>
          <w:lang w:val="de-CH"/>
        </w:rPr>
        <w:t xml:space="preserve"> </w:t>
      </w:r>
    </w:p>
    <w:p w14:paraId="02A5C7E1" w14:textId="777CF4EA" w:rsidR="00EC4E29" w:rsidRPr="00137E2E" w:rsidRDefault="00216406" w:rsidP="00EC4E29">
      <w:pPr>
        <w:spacing w:line="240" w:lineRule="auto"/>
        <w:jc w:val="both"/>
        <w:rPr>
          <w:rFonts w:ascii="Times" w:hAnsi="Times" w:cs="Times"/>
          <w:sz w:val="24"/>
          <w:szCs w:val="24"/>
          <w:lang w:val="de-CH"/>
        </w:rPr>
      </w:pPr>
      <w:r w:rsidRPr="00137E2E">
        <w:rPr>
          <w:rFonts w:ascii="Times" w:hAnsi="Times" w:cs="Times"/>
          <w:i/>
          <w:sz w:val="24"/>
          <w:lang w:val="de-CH"/>
        </w:rPr>
        <w:t>Absatz </w:t>
      </w:r>
      <w:r w:rsidR="00EC4E29" w:rsidRPr="00137E2E">
        <w:rPr>
          <w:rFonts w:ascii="Times" w:hAnsi="Times" w:cs="Times"/>
          <w:i/>
          <w:sz w:val="24"/>
          <w:lang w:val="de-CH"/>
        </w:rPr>
        <w:t>1:</w:t>
      </w:r>
      <w:r w:rsidR="00EC4E29" w:rsidRPr="00137E2E">
        <w:rPr>
          <w:rFonts w:ascii="Times" w:hAnsi="Times" w:cs="Times"/>
          <w:sz w:val="24"/>
          <w:lang w:val="de-CH"/>
        </w:rPr>
        <w:t xml:space="preserve"> Dieser </w:t>
      </w:r>
      <w:r w:rsidRPr="00137E2E">
        <w:rPr>
          <w:rFonts w:ascii="Times" w:hAnsi="Times" w:cs="Times"/>
          <w:sz w:val="24"/>
          <w:lang w:val="de-CH"/>
        </w:rPr>
        <w:t>Absatz </w:t>
      </w:r>
      <w:r w:rsidR="00EC4E29" w:rsidRPr="00137E2E">
        <w:rPr>
          <w:rFonts w:ascii="Times" w:hAnsi="Times" w:cs="Times"/>
          <w:sz w:val="24"/>
          <w:lang w:val="de-CH"/>
        </w:rPr>
        <w:t xml:space="preserve">regelt die Umstände, die eine Observation rechtfertigen. Er führt insbesondere die Bedingungen auf, die erfüllt sein müssen, damit eine Observation stattfinden kann, und die Mittel, die verwendet werden können. </w:t>
      </w:r>
    </w:p>
    <w:p w14:paraId="2CF1AF52" w14:textId="77777777" w:rsidR="008552E7" w:rsidRPr="00137E2E" w:rsidRDefault="008552E7" w:rsidP="008552E7">
      <w:pPr>
        <w:spacing w:line="240" w:lineRule="auto"/>
        <w:jc w:val="both"/>
        <w:rPr>
          <w:rFonts w:ascii="Times" w:hAnsi="Times" w:cs="Times"/>
          <w:sz w:val="24"/>
          <w:szCs w:val="24"/>
          <w:lang w:val="de-CH"/>
        </w:rPr>
      </w:pPr>
      <w:r w:rsidRPr="00137E2E">
        <w:rPr>
          <w:rFonts w:ascii="Times" w:hAnsi="Times" w:cs="Times"/>
          <w:sz w:val="24"/>
          <w:lang w:val="de-CH"/>
        </w:rPr>
        <w:t xml:space="preserve">Als Observation gilt die systematische Überwachung von Tätigkeiten einer Person während einer bestimmten Zeit und die Aufzeichnung der Resultate im Hinblick auf deren Verwendung im Rahmen des Abklärungsverfahrens. Zulässig sind Bildaufnahmen und Tonaufzeichnungen. </w:t>
      </w:r>
    </w:p>
    <w:p w14:paraId="4EDFB98D" w14:textId="1770400F" w:rsidR="008552E7" w:rsidRPr="00137E2E" w:rsidRDefault="003279CA" w:rsidP="008552E7">
      <w:pPr>
        <w:spacing w:line="240" w:lineRule="auto"/>
        <w:jc w:val="both"/>
        <w:rPr>
          <w:rFonts w:ascii="Times" w:hAnsi="Times" w:cs="Times"/>
          <w:sz w:val="24"/>
          <w:szCs w:val="24"/>
          <w:lang w:val="de-CH"/>
        </w:rPr>
      </w:pPr>
      <w:r w:rsidRPr="00137E2E">
        <w:rPr>
          <w:rFonts w:ascii="Times" w:hAnsi="Times" w:cs="Times"/>
          <w:sz w:val="24"/>
          <w:lang w:val="de-CH"/>
        </w:rPr>
        <w:t xml:space="preserve">Für eine Observation müssen zuallererst konkrete Anhaltspunkte vorliegen, aufgrund derer anzunehmen ist, dass die Person unrechtmässig Leistungen bezogen hat, bezieht oder zu beziehen versucht. Der Begriff der konkreten Anhaltspunkte ist aus </w:t>
      </w:r>
      <w:r w:rsidR="00216406" w:rsidRPr="00137E2E">
        <w:rPr>
          <w:rFonts w:ascii="Times" w:hAnsi="Times" w:cs="Times"/>
          <w:sz w:val="24"/>
          <w:lang w:val="de-CH"/>
        </w:rPr>
        <w:t>Artikel </w:t>
      </w:r>
      <w:r w:rsidRPr="00137E2E">
        <w:rPr>
          <w:rFonts w:ascii="Times" w:hAnsi="Times" w:cs="Times"/>
          <w:sz w:val="24"/>
          <w:lang w:val="de-CH"/>
        </w:rPr>
        <w:t xml:space="preserve">282 </w:t>
      </w:r>
      <w:r w:rsidR="00216406" w:rsidRPr="00137E2E">
        <w:rPr>
          <w:rFonts w:ascii="Times" w:hAnsi="Times" w:cs="Times"/>
          <w:sz w:val="24"/>
          <w:lang w:val="de-CH"/>
        </w:rPr>
        <w:t>Abs. </w:t>
      </w:r>
      <w:r w:rsidRPr="00137E2E">
        <w:rPr>
          <w:rFonts w:ascii="Times" w:hAnsi="Times" w:cs="Times"/>
          <w:sz w:val="24"/>
          <w:lang w:val="de-CH"/>
        </w:rPr>
        <w:t xml:space="preserve">1 </w:t>
      </w:r>
      <w:r w:rsidR="00216406" w:rsidRPr="00137E2E">
        <w:rPr>
          <w:rFonts w:ascii="Times" w:hAnsi="Times" w:cs="Times"/>
          <w:sz w:val="24"/>
          <w:lang w:val="de-CH"/>
        </w:rPr>
        <w:t>Bst. </w:t>
      </w:r>
      <w:r w:rsidRPr="00137E2E">
        <w:rPr>
          <w:rFonts w:ascii="Times" w:hAnsi="Times" w:cs="Times"/>
          <w:sz w:val="24"/>
          <w:lang w:val="de-CH"/>
        </w:rPr>
        <w:t>a der Schweizerischen Strafprozessordnung (Strafprozessordnung, StPO) sowie der Rechtsp</w:t>
      </w:r>
      <w:r w:rsidR="00C900ED" w:rsidRPr="00137E2E">
        <w:rPr>
          <w:rFonts w:ascii="Times" w:hAnsi="Times" w:cs="Times"/>
          <w:sz w:val="24"/>
          <w:lang w:val="de-CH"/>
        </w:rPr>
        <w:t>rechung des Bundesgerichts (BGE </w:t>
      </w:r>
      <w:r w:rsidRPr="00137E2E">
        <w:rPr>
          <w:rFonts w:ascii="Times" w:hAnsi="Times" w:cs="Times"/>
          <w:sz w:val="24"/>
          <w:lang w:val="de-CH"/>
        </w:rPr>
        <w:t xml:space="preserve">137 I 327, </w:t>
      </w:r>
      <w:r w:rsidR="00216406" w:rsidRPr="00137E2E">
        <w:rPr>
          <w:rFonts w:ascii="Times" w:hAnsi="Times" w:cs="Times"/>
          <w:sz w:val="24"/>
          <w:lang w:val="de-CH"/>
        </w:rPr>
        <w:t>Erw. </w:t>
      </w:r>
      <w:r w:rsidRPr="00137E2E">
        <w:rPr>
          <w:rFonts w:ascii="Times" w:hAnsi="Times" w:cs="Times"/>
          <w:sz w:val="24"/>
          <w:lang w:val="de-CH"/>
        </w:rPr>
        <w:t xml:space="preserve">5.4.2.1, 136 III 410, </w:t>
      </w:r>
      <w:r w:rsidR="00216406" w:rsidRPr="00137E2E">
        <w:rPr>
          <w:rFonts w:ascii="Times" w:hAnsi="Times" w:cs="Times"/>
          <w:sz w:val="24"/>
          <w:lang w:val="de-CH"/>
        </w:rPr>
        <w:t>Erw. </w:t>
      </w:r>
      <w:r w:rsidRPr="00137E2E">
        <w:rPr>
          <w:rFonts w:ascii="Times" w:hAnsi="Times" w:cs="Times"/>
          <w:sz w:val="24"/>
          <w:lang w:val="de-CH"/>
        </w:rPr>
        <w:t xml:space="preserve">4.2.1) übernommen. Grundsätzlich stellt eine Observation einen Eingriff in die Grundrechte der versicherten Person dar. Deshalb und gemäss dem Prinzip der Verhältnismässigkeit müssen sich die Versicherungsträger vor der Durchführung der Observation vergewissern, dass andere Abklärungen aussichtslos wären oder unverhältnismässig erschwert würden. Diese Regel entspricht </w:t>
      </w:r>
      <w:r w:rsidR="00216406" w:rsidRPr="00137E2E">
        <w:rPr>
          <w:rFonts w:ascii="Times" w:hAnsi="Times" w:cs="Times"/>
          <w:sz w:val="24"/>
          <w:lang w:val="de-CH"/>
        </w:rPr>
        <w:t>Artikel </w:t>
      </w:r>
      <w:r w:rsidRPr="00137E2E">
        <w:rPr>
          <w:rFonts w:ascii="Times" w:hAnsi="Times" w:cs="Times"/>
          <w:sz w:val="24"/>
          <w:lang w:val="de-CH"/>
        </w:rPr>
        <w:t xml:space="preserve">282 </w:t>
      </w:r>
      <w:r w:rsidR="00216406" w:rsidRPr="00137E2E">
        <w:rPr>
          <w:rFonts w:ascii="Times" w:hAnsi="Times" w:cs="Times"/>
          <w:sz w:val="24"/>
          <w:lang w:val="de-CH"/>
        </w:rPr>
        <w:t>Abs. </w:t>
      </w:r>
      <w:r w:rsidRPr="00137E2E">
        <w:rPr>
          <w:rFonts w:ascii="Times" w:hAnsi="Times" w:cs="Times"/>
          <w:sz w:val="24"/>
          <w:lang w:val="de-CH"/>
        </w:rPr>
        <w:t xml:space="preserve">1 </w:t>
      </w:r>
      <w:r w:rsidR="00216406" w:rsidRPr="00137E2E">
        <w:rPr>
          <w:rFonts w:ascii="Times" w:hAnsi="Times" w:cs="Times"/>
          <w:sz w:val="24"/>
          <w:lang w:val="de-CH"/>
        </w:rPr>
        <w:t>Bst. </w:t>
      </w:r>
      <w:r w:rsidRPr="00137E2E">
        <w:rPr>
          <w:rFonts w:ascii="Times" w:hAnsi="Times" w:cs="Times"/>
          <w:sz w:val="24"/>
          <w:lang w:val="de-CH"/>
        </w:rPr>
        <w:t xml:space="preserve">b StPO. </w:t>
      </w:r>
    </w:p>
    <w:p w14:paraId="77DE421E" w14:textId="19F83A59" w:rsidR="00C523B8" w:rsidRPr="00137E2E" w:rsidRDefault="00216406" w:rsidP="003237C8">
      <w:pPr>
        <w:spacing w:line="240" w:lineRule="auto"/>
        <w:jc w:val="both"/>
        <w:rPr>
          <w:rFonts w:ascii="Times" w:hAnsi="Times" w:cs="Times"/>
          <w:sz w:val="24"/>
          <w:szCs w:val="24"/>
          <w:lang w:val="de-CH"/>
        </w:rPr>
      </w:pPr>
      <w:r w:rsidRPr="00137E2E">
        <w:rPr>
          <w:rFonts w:ascii="Times" w:hAnsi="Times" w:cs="Times"/>
          <w:i/>
          <w:sz w:val="24"/>
          <w:lang w:val="de-CH"/>
        </w:rPr>
        <w:t>Absatz </w:t>
      </w:r>
      <w:r w:rsidR="00CE6165" w:rsidRPr="00137E2E">
        <w:rPr>
          <w:rFonts w:ascii="Times" w:hAnsi="Times" w:cs="Times"/>
          <w:i/>
          <w:sz w:val="24"/>
          <w:lang w:val="de-CH"/>
        </w:rPr>
        <w:t>3</w:t>
      </w:r>
      <w:r w:rsidR="003279CA" w:rsidRPr="00137E2E">
        <w:rPr>
          <w:rFonts w:ascii="Times" w:hAnsi="Times" w:cs="Times"/>
          <w:i/>
          <w:sz w:val="24"/>
          <w:lang w:val="de-CH"/>
        </w:rPr>
        <w:t>:</w:t>
      </w:r>
      <w:r w:rsidR="003279CA" w:rsidRPr="00137E2E">
        <w:rPr>
          <w:rFonts w:ascii="Times" w:hAnsi="Times" w:cs="Times"/>
          <w:sz w:val="24"/>
          <w:lang w:val="de-CH"/>
        </w:rPr>
        <w:t xml:space="preserve"> Die Person kann an allgemein zugänglichen Orten bzw. an von solchen aus frei einsehbaren Orten überwacht werden. G</w:t>
      </w:r>
      <w:r w:rsidR="00C900ED" w:rsidRPr="00137E2E">
        <w:rPr>
          <w:rFonts w:ascii="Times" w:hAnsi="Times" w:cs="Times"/>
          <w:sz w:val="24"/>
          <w:lang w:val="de-CH"/>
        </w:rPr>
        <w:t>emäss BGE 137 I </w:t>
      </w:r>
      <w:r w:rsidR="003279CA" w:rsidRPr="00137E2E">
        <w:rPr>
          <w:rFonts w:ascii="Times" w:hAnsi="Times" w:cs="Times"/>
          <w:sz w:val="24"/>
          <w:lang w:val="de-CH"/>
        </w:rPr>
        <w:t>327 sind «Videoaufnahmen der versicherten Person, die sie bei alltäglichen Verrichtungen (Haushaltsarbeiten) auf dem frei einsehbaren Balkon zeigen» zulässig.</w:t>
      </w:r>
      <w:r w:rsidR="003279CA" w:rsidRPr="00137E2E">
        <w:rPr>
          <w:sz w:val="24"/>
          <w:lang w:val="de-CH"/>
        </w:rPr>
        <w:t xml:space="preserve"> </w:t>
      </w:r>
      <w:r w:rsidR="003279CA" w:rsidRPr="00137E2E">
        <w:rPr>
          <w:rFonts w:ascii="Times" w:hAnsi="Times" w:cs="Times"/>
          <w:sz w:val="24"/>
          <w:lang w:val="de-CH"/>
        </w:rPr>
        <w:t>Von jedermann frei einsehbar bedeutet, dass die Tätigkeit von blossem Auge zu gegebener Tageszeit erkennbar ist. Der Innenbereich des Hauses, in dem die versicherte Person wohnt, bildet keinen ohne weiteres öffentlich frei einsehbaren Raum und eine hierin erfolgte Observation ist grund</w:t>
      </w:r>
      <w:r w:rsidR="00C900ED" w:rsidRPr="00137E2E">
        <w:rPr>
          <w:rFonts w:ascii="Times" w:hAnsi="Times" w:cs="Times"/>
          <w:sz w:val="24"/>
          <w:lang w:val="de-CH"/>
        </w:rPr>
        <w:t>sätzlich unzulässig, weshalb z. </w:t>
      </w:r>
      <w:r w:rsidR="003279CA" w:rsidRPr="00137E2E">
        <w:rPr>
          <w:rFonts w:ascii="Times" w:hAnsi="Times" w:cs="Times"/>
          <w:sz w:val="24"/>
          <w:lang w:val="de-CH"/>
        </w:rPr>
        <w:t xml:space="preserve">B. die Überwachung im Treppenhaus oder in der Waschküche nicht gestattet ist. </w:t>
      </w:r>
    </w:p>
    <w:p w14:paraId="249B6852" w14:textId="62E33821" w:rsidR="00175D7A" w:rsidRPr="00137E2E" w:rsidRDefault="00216406" w:rsidP="003237C8">
      <w:pPr>
        <w:spacing w:line="240" w:lineRule="auto"/>
        <w:jc w:val="both"/>
        <w:rPr>
          <w:rFonts w:ascii="Times" w:hAnsi="Times" w:cs="Times"/>
          <w:sz w:val="24"/>
          <w:szCs w:val="24"/>
          <w:lang w:val="de-CH"/>
        </w:rPr>
      </w:pPr>
      <w:r w:rsidRPr="00137E2E">
        <w:rPr>
          <w:rFonts w:ascii="Times" w:hAnsi="Times" w:cs="Times"/>
          <w:i/>
          <w:sz w:val="24"/>
          <w:lang w:val="de-CH"/>
        </w:rPr>
        <w:t>Absatz </w:t>
      </w:r>
      <w:r w:rsidR="00CE6165" w:rsidRPr="00137E2E">
        <w:rPr>
          <w:rFonts w:ascii="Times" w:hAnsi="Times" w:cs="Times"/>
          <w:i/>
          <w:sz w:val="24"/>
          <w:lang w:val="de-CH"/>
        </w:rPr>
        <w:t>4</w:t>
      </w:r>
      <w:r w:rsidR="00175D7A" w:rsidRPr="00137E2E">
        <w:rPr>
          <w:rFonts w:ascii="Times" w:hAnsi="Times" w:cs="Times"/>
          <w:i/>
          <w:sz w:val="24"/>
          <w:lang w:val="de-CH"/>
        </w:rPr>
        <w:t xml:space="preserve">: </w:t>
      </w:r>
      <w:r w:rsidR="00175D7A" w:rsidRPr="00137E2E">
        <w:rPr>
          <w:rFonts w:ascii="Times" w:hAnsi="Times" w:cs="Times"/>
          <w:sz w:val="24"/>
          <w:lang w:val="de-CH"/>
        </w:rPr>
        <w:t xml:space="preserve">Eine Observation kann sich über höchstens 30 aufeinanderfolgende oder einzelne Kalendertage erstrecken. Es spielt dabei keine Rolle, wie lange die Observation pro Tag erfolgt. Diese 30 Observationstage verstehen sich pro Observationsauftrag und müssen innerhalb einer </w:t>
      </w:r>
      <w:r w:rsidR="00175D7A" w:rsidRPr="00137E2E">
        <w:rPr>
          <w:rFonts w:ascii="Times" w:hAnsi="Times" w:cs="Times"/>
          <w:sz w:val="24"/>
          <w:lang w:val="de-CH"/>
        </w:rPr>
        <w:lastRenderedPageBreak/>
        <w:t xml:space="preserve">Zeitspanne von sechs Monaten ab dem ersten Observationstag stattfinden. Die sechsmonatige Frist kann aus hinreichenden Gründen verlängert werden. </w:t>
      </w:r>
    </w:p>
    <w:p w14:paraId="78FDC928" w14:textId="44169012" w:rsidR="00175D7A" w:rsidRPr="00137E2E" w:rsidRDefault="00216406" w:rsidP="003237C8">
      <w:pPr>
        <w:spacing w:line="240" w:lineRule="auto"/>
        <w:jc w:val="both"/>
        <w:rPr>
          <w:rFonts w:ascii="Times" w:hAnsi="Times" w:cs="Times"/>
          <w:sz w:val="24"/>
          <w:szCs w:val="24"/>
          <w:lang w:val="de-CH"/>
        </w:rPr>
      </w:pPr>
      <w:r w:rsidRPr="00137E2E">
        <w:rPr>
          <w:rFonts w:ascii="Times" w:hAnsi="Times" w:cs="Times"/>
          <w:i/>
          <w:sz w:val="24"/>
          <w:lang w:val="de-CH"/>
        </w:rPr>
        <w:t>Absatz </w:t>
      </w:r>
      <w:r w:rsidR="00CE6165" w:rsidRPr="00137E2E">
        <w:rPr>
          <w:rFonts w:ascii="Times" w:hAnsi="Times" w:cs="Times"/>
          <w:i/>
          <w:sz w:val="24"/>
          <w:lang w:val="de-CH"/>
        </w:rPr>
        <w:t>5</w:t>
      </w:r>
      <w:r w:rsidR="00175D7A" w:rsidRPr="00137E2E">
        <w:rPr>
          <w:rFonts w:ascii="Times" w:hAnsi="Times" w:cs="Times"/>
          <w:i/>
          <w:sz w:val="24"/>
          <w:lang w:val="de-CH"/>
        </w:rPr>
        <w:t xml:space="preserve">: </w:t>
      </w:r>
      <w:r w:rsidR="00175D7A" w:rsidRPr="00137E2E">
        <w:rPr>
          <w:rFonts w:ascii="Times" w:hAnsi="Times" w:cs="Times"/>
          <w:sz w:val="24"/>
          <w:lang w:val="de-CH"/>
        </w:rPr>
        <w:t xml:space="preserve">Mit dem Observationsmandat sollen die spezialisierten Sozialinspektorinnen/-inspektoren der zuständigen kantonalen Behörde betraut werden. Schätzungen zufolge könnten rund </w:t>
      </w:r>
      <w:r w:rsidR="00CE6165" w:rsidRPr="00137E2E">
        <w:rPr>
          <w:rFonts w:ascii="Times" w:hAnsi="Times" w:cs="Times"/>
          <w:sz w:val="24"/>
          <w:lang w:val="de-CH"/>
        </w:rPr>
        <w:t xml:space="preserve">zehn </w:t>
      </w:r>
      <w:r w:rsidR="00175D7A" w:rsidRPr="00137E2E">
        <w:rPr>
          <w:rFonts w:ascii="Times" w:hAnsi="Times" w:cs="Times"/>
          <w:sz w:val="24"/>
          <w:lang w:val="de-CH"/>
        </w:rPr>
        <w:t xml:space="preserve">Mandate pro Jahr erteilt werden. </w:t>
      </w:r>
    </w:p>
    <w:p w14:paraId="3B1B0CA7" w14:textId="30A1EB4A" w:rsidR="003C721A" w:rsidRPr="00137E2E" w:rsidRDefault="00216406" w:rsidP="003237C8">
      <w:pPr>
        <w:spacing w:line="240" w:lineRule="auto"/>
        <w:jc w:val="both"/>
        <w:rPr>
          <w:rFonts w:ascii="Times" w:hAnsi="Times" w:cs="Times"/>
          <w:sz w:val="24"/>
          <w:szCs w:val="24"/>
          <w:lang w:val="de-CH"/>
        </w:rPr>
      </w:pPr>
      <w:r w:rsidRPr="00137E2E">
        <w:rPr>
          <w:rFonts w:ascii="Times" w:hAnsi="Times" w:cs="Times"/>
          <w:i/>
          <w:sz w:val="24"/>
          <w:lang w:val="de-CH"/>
        </w:rPr>
        <w:t>Absatz </w:t>
      </w:r>
      <w:r w:rsidR="00CE6165" w:rsidRPr="00137E2E">
        <w:rPr>
          <w:rFonts w:ascii="Times" w:hAnsi="Times" w:cs="Times"/>
          <w:i/>
          <w:sz w:val="24"/>
          <w:lang w:val="de-CH"/>
        </w:rPr>
        <w:t>6</w:t>
      </w:r>
      <w:r w:rsidR="003C721A" w:rsidRPr="00137E2E">
        <w:rPr>
          <w:rFonts w:ascii="Times" w:hAnsi="Times" w:cs="Times"/>
          <w:i/>
          <w:sz w:val="24"/>
          <w:lang w:val="de-CH"/>
        </w:rPr>
        <w:t xml:space="preserve">: </w:t>
      </w:r>
      <w:r w:rsidR="003C721A" w:rsidRPr="00137E2E">
        <w:rPr>
          <w:rFonts w:ascii="Times" w:hAnsi="Times" w:cs="Times"/>
          <w:sz w:val="24"/>
          <w:lang w:val="de-CH"/>
        </w:rPr>
        <w:t xml:space="preserve">Bei einer Observation muss der versicherten Person das Recht auf Anhörung garantiert werden. Nachdem die Observation erfolgt ist, jedoch bevor die zuständige Behörde ihren Entscheid zur betreffenden Bevorschussung erlässt, musst die Person über Grund, Art und Dauer der Überwachung in Kenntnis gesetzt werden. Erfolgt diese Information in einem Gespräch, muss eine Zusammenfassung des Gesprächs erstellt und zu den Akten gelegt werden. Die versicherte Person muss nicht zwingend unmittelbar nach erfolgter Observation informiert werden, spätestens aber vor Erlass des Entscheids. </w:t>
      </w:r>
    </w:p>
    <w:p w14:paraId="17C125BB" w14:textId="4ECC4D2C" w:rsidR="00175D7A" w:rsidRPr="00137E2E" w:rsidRDefault="00216406" w:rsidP="003237C8">
      <w:pPr>
        <w:spacing w:line="240" w:lineRule="auto"/>
        <w:jc w:val="both"/>
        <w:rPr>
          <w:rFonts w:ascii="Times" w:hAnsi="Times" w:cs="Times"/>
          <w:sz w:val="24"/>
          <w:szCs w:val="24"/>
          <w:lang w:val="de-CH"/>
        </w:rPr>
      </w:pPr>
      <w:r w:rsidRPr="00137E2E">
        <w:rPr>
          <w:rFonts w:ascii="Times" w:hAnsi="Times" w:cs="Times"/>
          <w:i/>
          <w:sz w:val="24"/>
          <w:lang w:val="de-CH"/>
        </w:rPr>
        <w:t>Absatz </w:t>
      </w:r>
      <w:r w:rsidR="00CE6165" w:rsidRPr="00137E2E">
        <w:rPr>
          <w:rFonts w:ascii="Times" w:hAnsi="Times" w:cs="Times"/>
          <w:i/>
          <w:sz w:val="24"/>
          <w:lang w:val="de-CH"/>
        </w:rPr>
        <w:t>7</w:t>
      </w:r>
      <w:r w:rsidR="00312496" w:rsidRPr="00137E2E">
        <w:rPr>
          <w:rFonts w:ascii="Times" w:hAnsi="Times" w:cs="Times"/>
          <w:i/>
          <w:sz w:val="24"/>
          <w:lang w:val="de-CH"/>
        </w:rPr>
        <w:t>:</w:t>
      </w:r>
      <w:r w:rsidR="00312496" w:rsidRPr="00137E2E">
        <w:rPr>
          <w:rFonts w:ascii="Times" w:hAnsi="Times" w:cs="Times"/>
          <w:sz w:val="24"/>
          <w:lang w:val="de-CH"/>
        </w:rPr>
        <w:t xml:space="preserve"> Erbringt das Überwachungsmaterial (Fotos, Videos, Überwachungsbericht usw.) nicht den Beweis eines unrechtmässigen Leistungsbezugs oder eines Versuchs, unrechtmässige Leistungen zu beziehen, hat die zuständige Behörde einen Entscheid zu erlassen, aus dem der Grund, die Art und die Dauer der Observation hervorgehen. Die betroffene Person hat damit die Möglichkeit, eine unrechtmässige Anordnung oder Ausführung der Observation anzufechten. Im Rahmen des rechtlichen Gehörs hat sie Anspruch auf Akteneinsicht und damit die Möglichkeit, das Observationsmaterial einzusehen. Das Observationsmaterial muss nach Inkrafttreten des Entscheids vernichtet werden. </w:t>
      </w:r>
    </w:p>
    <w:p w14:paraId="67D14036" w14:textId="77777777" w:rsidR="00156278" w:rsidRPr="00137E2E" w:rsidRDefault="00156278" w:rsidP="003237C8">
      <w:pPr>
        <w:spacing w:line="240" w:lineRule="auto"/>
        <w:jc w:val="both"/>
        <w:rPr>
          <w:rFonts w:ascii="Times" w:hAnsi="Times" w:cs="Times"/>
          <w:sz w:val="24"/>
          <w:szCs w:val="24"/>
          <w:lang w:val="de-CH"/>
        </w:rPr>
      </w:pPr>
      <w:r w:rsidRPr="00137E2E">
        <w:rPr>
          <w:rFonts w:ascii="Times" w:hAnsi="Times" w:cs="Times"/>
          <w:sz w:val="24"/>
          <w:lang w:val="de-CH"/>
        </w:rPr>
        <w:t xml:space="preserve">Es kann indes im Interesse der observierten Person sein, dass das Observationsmaterial in ihrer Akte aufbewahrt wird, auch wenn kein Missbrauch vorliegt. Insofern, als die Person einen Eingriff in ihre Privatsphäre hat dulden müssen, sollte ihr das Recht zustehen, den Verbleib des Observationsmaterials in den Akten zu fordern. Es soll aber eine Ausnahme sein und deshalb nur auf ausdrücklichen Antrag der observierten Person hin geschehen. </w:t>
      </w:r>
    </w:p>
    <w:p w14:paraId="61994A2E" w14:textId="0EB98247" w:rsidR="00156278" w:rsidRPr="00137E2E" w:rsidRDefault="00216406" w:rsidP="00156278">
      <w:pPr>
        <w:spacing w:line="240" w:lineRule="auto"/>
        <w:jc w:val="both"/>
        <w:rPr>
          <w:rFonts w:ascii="Times" w:hAnsi="Times" w:cs="Times"/>
          <w:sz w:val="24"/>
          <w:szCs w:val="24"/>
          <w:lang w:val="de-CH"/>
        </w:rPr>
      </w:pPr>
      <w:r w:rsidRPr="00137E2E">
        <w:rPr>
          <w:rFonts w:ascii="Times" w:hAnsi="Times" w:cs="Times"/>
          <w:i/>
          <w:sz w:val="24"/>
          <w:lang w:val="de-CH"/>
        </w:rPr>
        <w:t>Absatz </w:t>
      </w:r>
      <w:r w:rsidR="00CE6165" w:rsidRPr="00137E2E">
        <w:rPr>
          <w:rFonts w:ascii="Times" w:hAnsi="Times" w:cs="Times"/>
          <w:i/>
          <w:sz w:val="24"/>
          <w:lang w:val="de-CH"/>
        </w:rPr>
        <w:t>8</w:t>
      </w:r>
      <w:r w:rsidR="00156278" w:rsidRPr="00137E2E">
        <w:rPr>
          <w:rFonts w:ascii="Times" w:hAnsi="Times" w:cs="Times"/>
          <w:i/>
          <w:sz w:val="24"/>
          <w:lang w:val="de-CH"/>
        </w:rPr>
        <w:t xml:space="preserve">: </w:t>
      </w:r>
      <w:r w:rsidR="00156278" w:rsidRPr="00137E2E">
        <w:rPr>
          <w:rFonts w:ascii="Times" w:hAnsi="Times" w:cs="Times"/>
          <w:sz w:val="24"/>
          <w:lang w:val="de-CH"/>
        </w:rPr>
        <w:t>Mit dieser Bestimmung wird die Kompetenz zum Erlass der Ausführungsverordnungen des Gesetzes an den Staatsrat delegiert. Diese Delegierung ist gerechtfertigt und notwendig, weil sie Bestimmungen betrifft, die den auf Gesetzesebene möglichen Konkretisierungsgrad übersteigen würden. Die Leitlinien, die im Gesetzes</w:t>
      </w:r>
      <w:r w:rsidR="00C900ED" w:rsidRPr="00137E2E">
        <w:rPr>
          <w:rFonts w:ascii="Times" w:hAnsi="Times" w:cs="Times"/>
          <w:sz w:val="24"/>
          <w:lang w:val="de-CH"/>
        </w:rPr>
        <w:t xml:space="preserve">artikel </w:t>
      </w:r>
      <w:r w:rsidR="00156278" w:rsidRPr="00137E2E">
        <w:rPr>
          <w:rFonts w:ascii="Times" w:hAnsi="Times" w:cs="Times"/>
          <w:sz w:val="24"/>
          <w:lang w:val="de-CH"/>
        </w:rPr>
        <w:t xml:space="preserve">definiert werden, genügen, um die entsprechenden Rechtssetzungsbefugnisse an den Staatsrat zu delegieren. </w:t>
      </w:r>
    </w:p>
    <w:p w14:paraId="50BFBC7F" w14:textId="77777777" w:rsidR="00156278" w:rsidRPr="00137E2E" w:rsidRDefault="008A44B0" w:rsidP="00156278">
      <w:pPr>
        <w:spacing w:line="240" w:lineRule="auto"/>
        <w:jc w:val="both"/>
        <w:rPr>
          <w:rFonts w:ascii="Times" w:hAnsi="Times" w:cs="Times"/>
          <w:sz w:val="24"/>
          <w:szCs w:val="24"/>
          <w:lang w:val="de-CH"/>
        </w:rPr>
      </w:pPr>
      <w:r w:rsidRPr="00137E2E">
        <w:rPr>
          <w:rFonts w:ascii="Times" w:hAnsi="Times" w:cs="Times"/>
          <w:sz w:val="24"/>
          <w:lang w:val="de-CH"/>
        </w:rPr>
        <w:t xml:space="preserve">Demnach ist vorgesehen, dass der Staatsrat das Verfahren zur Einsichtnahme des vollständigen Observationsmaterials durch die observierte Person sowie die Aufbewahrung und Vernichtung des Observationsmaterials regelt. </w:t>
      </w:r>
    </w:p>
    <w:p w14:paraId="66AF42A7" w14:textId="7DC7A9D7" w:rsidR="009B46D1" w:rsidRPr="00137E2E" w:rsidRDefault="00216406" w:rsidP="003237C8">
      <w:pPr>
        <w:spacing w:line="240" w:lineRule="auto"/>
        <w:contextualSpacing/>
        <w:jc w:val="both"/>
        <w:rPr>
          <w:rFonts w:ascii="Times New Roman" w:hAnsi="Times New Roman" w:cs="Times New Roman"/>
          <w:b/>
          <w:sz w:val="24"/>
          <w:szCs w:val="24"/>
          <w:lang w:val="de-CH"/>
        </w:rPr>
      </w:pPr>
      <w:r w:rsidRPr="00137E2E">
        <w:rPr>
          <w:rFonts w:ascii="Times" w:hAnsi="Times" w:cs="Times"/>
          <w:b/>
          <w:sz w:val="24"/>
          <w:lang w:val="de-CH"/>
        </w:rPr>
        <w:t>Art. </w:t>
      </w:r>
      <w:r w:rsidR="00CE6165" w:rsidRPr="00137E2E">
        <w:rPr>
          <w:rFonts w:ascii="Times" w:hAnsi="Times" w:cs="Times"/>
          <w:b/>
          <w:sz w:val="24"/>
          <w:lang w:val="de-CH"/>
        </w:rPr>
        <w:t xml:space="preserve">17 </w:t>
      </w:r>
      <w:r w:rsidR="000C3BE9" w:rsidRPr="00137E2E">
        <w:rPr>
          <w:rFonts w:ascii="Times" w:hAnsi="Times" w:cs="Times"/>
          <w:b/>
          <w:sz w:val="24"/>
          <w:lang w:val="de-CH"/>
        </w:rPr>
        <w:t xml:space="preserve">Einsprache und Beschwerde </w:t>
      </w:r>
    </w:p>
    <w:p w14:paraId="6C9CFDCC" w14:textId="43058587" w:rsidR="00650AB9" w:rsidRDefault="0091111C" w:rsidP="00C840A9">
      <w:pPr>
        <w:overflowPunct w:val="0"/>
        <w:autoSpaceDE w:val="0"/>
        <w:autoSpaceDN w:val="0"/>
        <w:adjustRightInd w:val="0"/>
        <w:spacing w:line="240" w:lineRule="auto"/>
        <w:jc w:val="both"/>
        <w:textAlignment w:val="baseline"/>
        <w:rPr>
          <w:rFonts w:ascii="Times New Roman" w:eastAsia="Times New Roman" w:hAnsi="Times New Roman" w:cs="Times New Roman"/>
          <w:spacing w:val="2"/>
          <w:sz w:val="24"/>
          <w:lang w:val="de-CH"/>
        </w:rPr>
      </w:pPr>
      <w:r w:rsidRPr="00137E2E">
        <w:rPr>
          <w:rFonts w:ascii="Times New Roman" w:eastAsia="Times New Roman" w:hAnsi="Times New Roman" w:cs="Times New Roman"/>
          <w:spacing w:val="2"/>
          <w:sz w:val="24"/>
          <w:lang w:val="de-CH"/>
        </w:rPr>
        <w:t xml:space="preserve">Der Weg der Einsprache bei der entscheidenden Behörde ist sowohl gegen Entscheide im Zusammenhang mit der Inkassohilfe als auch mit der Bevorschussung zulässig. Gegen den Einspracheentscheid kann zuerst bei der zuständigen Direktion, danach beim Kantonsgericht Beschwerde geführt werden, nach den Regeln des Gesetzes über die Verwaltungsrechtspflege (VRG, </w:t>
      </w:r>
      <w:r w:rsidR="00216406" w:rsidRPr="00137E2E">
        <w:rPr>
          <w:rFonts w:ascii="Times New Roman" w:eastAsia="Times New Roman" w:hAnsi="Times New Roman" w:cs="Times New Roman"/>
          <w:spacing w:val="2"/>
          <w:sz w:val="24"/>
          <w:lang w:val="de-CH"/>
        </w:rPr>
        <w:t>Art. </w:t>
      </w:r>
      <w:r w:rsidRPr="00137E2E">
        <w:rPr>
          <w:rFonts w:ascii="Times New Roman" w:eastAsia="Times New Roman" w:hAnsi="Times New Roman" w:cs="Times New Roman"/>
          <w:spacing w:val="2"/>
          <w:sz w:val="24"/>
          <w:lang w:val="de-CH"/>
        </w:rPr>
        <w:t xml:space="preserve">103 und 118). </w:t>
      </w:r>
    </w:p>
    <w:p w14:paraId="45E07278" w14:textId="77777777" w:rsidR="00650AB9" w:rsidRDefault="00650AB9">
      <w:pPr>
        <w:rPr>
          <w:rFonts w:ascii="Times New Roman" w:eastAsia="Times New Roman" w:hAnsi="Times New Roman" w:cs="Times New Roman"/>
          <w:spacing w:val="2"/>
          <w:sz w:val="24"/>
          <w:lang w:val="de-CH"/>
        </w:rPr>
      </w:pPr>
      <w:r>
        <w:rPr>
          <w:rFonts w:ascii="Times New Roman" w:eastAsia="Times New Roman" w:hAnsi="Times New Roman" w:cs="Times New Roman"/>
          <w:spacing w:val="2"/>
          <w:sz w:val="24"/>
          <w:lang w:val="de-CH"/>
        </w:rPr>
        <w:br w:type="page"/>
      </w:r>
    </w:p>
    <w:p w14:paraId="6F44F204" w14:textId="77777777" w:rsidR="000C3BE9" w:rsidRPr="00137E2E" w:rsidRDefault="000C3BE9" w:rsidP="00C840A9">
      <w:pPr>
        <w:overflowPunct w:val="0"/>
        <w:autoSpaceDE w:val="0"/>
        <w:autoSpaceDN w:val="0"/>
        <w:adjustRightInd w:val="0"/>
        <w:spacing w:line="240" w:lineRule="auto"/>
        <w:jc w:val="both"/>
        <w:textAlignment w:val="baseline"/>
        <w:rPr>
          <w:rFonts w:ascii="Times New Roman" w:eastAsia="Times New Roman" w:hAnsi="Times New Roman" w:cs="Times New Roman"/>
          <w:spacing w:val="2"/>
          <w:sz w:val="24"/>
          <w:szCs w:val="24"/>
          <w:lang w:val="de-CH"/>
        </w:rPr>
      </w:pPr>
    </w:p>
    <w:p w14:paraId="5DC161FC" w14:textId="77777777" w:rsidR="0091111C" w:rsidRPr="00137E2E" w:rsidRDefault="0091111C" w:rsidP="003237C8">
      <w:pPr>
        <w:pStyle w:val="Titre2"/>
        <w:jc w:val="both"/>
        <w:rPr>
          <w:lang w:val="de-CH"/>
        </w:rPr>
      </w:pPr>
      <w:bookmarkStart w:id="17" w:name="_Toc49330778"/>
      <w:r w:rsidRPr="00137E2E">
        <w:rPr>
          <w:lang w:val="de-CH"/>
        </w:rPr>
        <w:t>5 Finanzierung</w:t>
      </w:r>
      <w:bookmarkEnd w:id="17"/>
      <w:r w:rsidRPr="00137E2E">
        <w:rPr>
          <w:lang w:val="de-CH"/>
        </w:rPr>
        <w:t xml:space="preserve"> </w:t>
      </w:r>
    </w:p>
    <w:p w14:paraId="5ED8E985" w14:textId="6FCBAB51" w:rsidR="009B46D1" w:rsidRPr="00137E2E" w:rsidRDefault="00216406" w:rsidP="003237C8">
      <w:pPr>
        <w:spacing w:line="240" w:lineRule="auto"/>
        <w:contextualSpacing/>
        <w:jc w:val="both"/>
        <w:rPr>
          <w:rFonts w:ascii="Times New Roman" w:hAnsi="Times New Roman" w:cs="Times New Roman"/>
          <w:b/>
          <w:sz w:val="24"/>
          <w:szCs w:val="24"/>
          <w:lang w:val="de-CH"/>
        </w:rPr>
      </w:pPr>
      <w:r w:rsidRPr="00137E2E">
        <w:rPr>
          <w:rFonts w:ascii="Times" w:hAnsi="Times" w:cs="Times"/>
          <w:b/>
          <w:sz w:val="24"/>
          <w:lang w:val="de-CH"/>
        </w:rPr>
        <w:t>Art. </w:t>
      </w:r>
      <w:r w:rsidR="00CE6165" w:rsidRPr="00137E2E">
        <w:rPr>
          <w:rFonts w:ascii="Times" w:hAnsi="Times" w:cs="Times"/>
          <w:b/>
          <w:sz w:val="24"/>
          <w:lang w:val="de-CH"/>
        </w:rPr>
        <w:t xml:space="preserve">18 </w:t>
      </w:r>
      <w:r w:rsidR="0091111C" w:rsidRPr="00137E2E">
        <w:rPr>
          <w:rFonts w:ascii="Times" w:hAnsi="Times" w:cs="Times"/>
          <w:b/>
          <w:sz w:val="24"/>
          <w:lang w:val="de-CH"/>
        </w:rPr>
        <w:t xml:space="preserve">Kostenaufteilung </w:t>
      </w:r>
    </w:p>
    <w:p w14:paraId="42837F83" w14:textId="50855A3E" w:rsidR="0091111C" w:rsidRPr="00137E2E" w:rsidRDefault="00B93C15" w:rsidP="003237C8">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 xml:space="preserve">Die Hälfte der Beträge der nicht zurückbezahlten Vorschüsse wird den Gemeinden belastet und nach </w:t>
      </w:r>
      <w:r w:rsidR="0048409D" w:rsidRPr="00137E2E">
        <w:rPr>
          <w:rFonts w:ascii="Times New Roman" w:hAnsi="Times New Roman" w:cs="Times New Roman"/>
          <w:sz w:val="24"/>
          <w:lang w:val="de-CH"/>
        </w:rPr>
        <w:t>demselben</w:t>
      </w:r>
      <w:r w:rsidRPr="00137E2E">
        <w:rPr>
          <w:rFonts w:ascii="Times New Roman" w:hAnsi="Times New Roman" w:cs="Times New Roman"/>
          <w:sz w:val="24"/>
          <w:lang w:val="de-CH"/>
        </w:rPr>
        <w:t xml:space="preserve"> Verteilschlüssel unter diesen aufgeteilt, wie im aktuellen Recht.</w:t>
      </w:r>
      <w:r w:rsidRPr="00137E2E">
        <w:rPr>
          <w:rStyle w:val="Appelnotedebasdep"/>
          <w:rFonts w:ascii="Times New Roman" w:hAnsi="Times New Roman" w:cs="Times New Roman"/>
          <w:sz w:val="24"/>
          <w:lang w:val="de-CH"/>
        </w:rPr>
        <w:footnoteReference w:id="26"/>
      </w:r>
      <w:r w:rsidRPr="00137E2E">
        <w:rPr>
          <w:rFonts w:ascii="Times New Roman" w:hAnsi="Times New Roman" w:cs="Times New Roman"/>
          <w:sz w:val="24"/>
          <w:lang w:val="de-CH"/>
        </w:rPr>
        <w:t xml:space="preserve"> </w:t>
      </w:r>
    </w:p>
    <w:p w14:paraId="49BFA985" w14:textId="77777777" w:rsidR="009D209A" w:rsidRPr="00137E2E" w:rsidRDefault="009D209A" w:rsidP="009D209A">
      <w:pPr>
        <w:pStyle w:val="Titre2"/>
        <w:jc w:val="both"/>
        <w:rPr>
          <w:lang w:val="de-CH"/>
        </w:rPr>
      </w:pPr>
      <w:bookmarkStart w:id="18" w:name="_Toc49330779"/>
      <w:r w:rsidRPr="00137E2E">
        <w:rPr>
          <w:lang w:val="de-CH"/>
        </w:rPr>
        <w:t>6 Inkassohilfe</w:t>
      </w:r>
      <w:bookmarkEnd w:id="18"/>
      <w:r w:rsidRPr="00137E2E">
        <w:rPr>
          <w:lang w:val="de-CH"/>
        </w:rPr>
        <w:t xml:space="preserve"> </w:t>
      </w:r>
    </w:p>
    <w:p w14:paraId="58D7207E" w14:textId="73783956" w:rsidR="009D209A" w:rsidRPr="00137E2E" w:rsidRDefault="009D209A" w:rsidP="009D209A">
      <w:pPr>
        <w:spacing w:after="0" w:line="240" w:lineRule="auto"/>
        <w:jc w:val="both"/>
        <w:rPr>
          <w:rFonts w:ascii="Times New Roman" w:hAnsi="Times New Roman" w:cs="Times New Roman"/>
          <w:b/>
          <w:sz w:val="24"/>
          <w:szCs w:val="24"/>
          <w:lang w:val="de-CH"/>
        </w:rPr>
      </w:pPr>
      <w:r w:rsidRPr="00137E2E">
        <w:rPr>
          <w:rFonts w:ascii="Times New Roman" w:hAnsi="Times New Roman" w:cs="Times New Roman"/>
          <w:b/>
          <w:sz w:val="24"/>
          <w:lang w:val="de-CH"/>
        </w:rPr>
        <w:t xml:space="preserve">Art </w:t>
      </w:r>
      <w:r w:rsidR="00843653" w:rsidRPr="00137E2E">
        <w:rPr>
          <w:rFonts w:ascii="Times New Roman" w:hAnsi="Times New Roman" w:cs="Times New Roman"/>
          <w:b/>
          <w:sz w:val="24"/>
          <w:lang w:val="de-CH"/>
        </w:rPr>
        <w:t xml:space="preserve">19 </w:t>
      </w:r>
      <w:r w:rsidRPr="00137E2E">
        <w:rPr>
          <w:rFonts w:ascii="Times New Roman" w:hAnsi="Times New Roman" w:cs="Times New Roman"/>
          <w:b/>
          <w:sz w:val="24"/>
          <w:lang w:val="de-CH"/>
        </w:rPr>
        <w:t xml:space="preserve">Geltende Vorschriften </w:t>
      </w:r>
    </w:p>
    <w:p w14:paraId="50065F0F" w14:textId="663C7C45" w:rsidR="009D209A" w:rsidRPr="00137E2E" w:rsidRDefault="009A5AF3" w:rsidP="00166E83">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 xml:space="preserve">Die </w:t>
      </w:r>
      <w:r w:rsidR="00843653" w:rsidRPr="00137E2E">
        <w:rPr>
          <w:rFonts w:ascii="Times New Roman" w:hAnsi="Times New Roman" w:cs="Times New Roman"/>
          <w:sz w:val="24"/>
          <w:lang w:val="de-CH"/>
        </w:rPr>
        <w:t xml:space="preserve">Inkassohilfeverordnung </w:t>
      </w:r>
      <w:r w:rsidRPr="00137E2E">
        <w:rPr>
          <w:rFonts w:ascii="Times New Roman" w:hAnsi="Times New Roman" w:cs="Times New Roman"/>
          <w:sz w:val="24"/>
          <w:lang w:val="de-CH"/>
        </w:rPr>
        <w:t xml:space="preserve">enthält einen Mindestkatalog von Leistungen, die jede Fachstelle anbieten muss; dazu gehören ein persönliches Beratungsgespräch mit der unterhaltsberechtigten Person, eine schriftliche Kontaktaufnahme mit der unterhaltspflichtigen Person, die Einleitung eines Betreibungsverfahrens, die Einreichung eines Schuldneranweisungsgesuchs oder noch die Erstattung eines Strafantrags wegen Vernachlässigung von Unterhaltspflichten. Der Bund hat beschlossen, den Kantonen bei der Ausführung einen Ermessensspielraum zu überlassen. Die nachfolgenden </w:t>
      </w:r>
      <w:r w:rsidR="00216406" w:rsidRPr="00137E2E">
        <w:rPr>
          <w:rFonts w:ascii="Times New Roman" w:hAnsi="Times New Roman" w:cs="Times New Roman"/>
          <w:sz w:val="24"/>
          <w:lang w:val="de-CH"/>
        </w:rPr>
        <w:t>Artikel </w:t>
      </w:r>
      <w:r w:rsidRPr="00137E2E">
        <w:rPr>
          <w:rFonts w:ascii="Times New Roman" w:hAnsi="Times New Roman" w:cs="Times New Roman"/>
          <w:sz w:val="24"/>
          <w:lang w:val="de-CH"/>
        </w:rPr>
        <w:t>(</w:t>
      </w:r>
      <w:r w:rsidR="00216406" w:rsidRPr="00137E2E">
        <w:rPr>
          <w:rFonts w:ascii="Times New Roman" w:hAnsi="Times New Roman" w:cs="Times New Roman"/>
          <w:sz w:val="24"/>
          <w:lang w:val="de-CH"/>
        </w:rPr>
        <w:t>Art. </w:t>
      </w:r>
      <w:r w:rsidRPr="00137E2E">
        <w:rPr>
          <w:rFonts w:ascii="Times New Roman" w:hAnsi="Times New Roman" w:cs="Times New Roman"/>
          <w:sz w:val="24"/>
          <w:lang w:val="de-CH"/>
        </w:rPr>
        <w:t xml:space="preserve">19 bis 22) versuchen, die verschiedenen Punkte der Zuständigkeit des Kantons zu regeln. </w:t>
      </w:r>
    </w:p>
    <w:p w14:paraId="1F79A1C3" w14:textId="5799C15D" w:rsidR="009D209A" w:rsidRPr="00137E2E" w:rsidRDefault="00216406" w:rsidP="009D209A">
      <w:pPr>
        <w:spacing w:after="0" w:line="240" w:lineRule="auto"/>
        <w:jc w:val="both"/>
        <w:rPr>
          <w:rFonts w:ascii="Times New Roman" w:hAnsi="Times New Roman" w:cs="Times New Roman"/>
          <w:b/>
          <w:sz w:val="24"/>
          <w:szCs w:val="24"/>
          <w:lang w:val="de-CH"/>
        </w:rPr>
      </w:pPr>
      <w:r w:rsidRPr="00137E2E">
        <w:rPr>
          <w:rFonts w:ascii="Times New Roman" w:hAnsi="Times New Roman" w:cs="Times New Roman"/>
          <w:b/>
          <w:sz w:val="24"/>
          <w:lang w:val="de-CH"/>
        </w:rPr>
        <w:t>Art. </w:t>
      </w:r>
      <w:r w:rsidR="00843653" w:rsidRPr="00137E2E">
        <w:rPr>
          <w:rFonts w:ascii="Times New Roman" w:hAnsi="Times New Roman" w:cs="Times New Roman"/>
          <w:b/>
          <w:sz w:val="24"/>
          <w:lang w:val="de-CH"/>
        </w:rPr>
        <w:t xml:space="preserve">20 </w:t>
      </w:r>
      <w:r w:rsidR="009D209A" w:rsidRPr="00137E2E">
        <w:rPr>
          <w:rFonts w:ascii="Times New Roman" w:hAnsi="Times New Roman" w:cs="Times New Roman"/>
          <w:b/>
          <w:sz w:val="24"/>
          <w:lang w:val="de-CH"/>
        </w:rPr>
        <w:t>Unterstützung beim Bezug von Familienzulagen</w:t>
      </w:r>
      <w:r w:rsidR="009D209A" w:rsidRPr="00137E2E">
        <w:rPr>
          <w:rFonts w:ascii="Times New Roman" w:hAnsi="Times New Roman" w:cs="Times New Roman"/>
          <w:sz w:val="24"/>
          <w:lang w:val="de-CH"/>
        </w:rPr>
        <w:t xml:space="preserve"> </w:t>
      </w:r>
    </w:p>
    <w:p w14:paraId="183F6B1E" w14:textId="6DE7B97E" w:rsidR="009D209A" w:rsidRPr="00137E2E" w:rsidRDefault="009A5AF3" w:rsidP="00166E83">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 xml:space="preserve">Im Sinne von </w:t>
      </w:r>
      <w:r w:rsidR="00216406" w:rsidRPr="00137E2E">
        <w:rPr>
          <w:rFonts w:ascii="Times New Roman" w:hAnsi="Times New Roman" w:cs="Times New Roman"/>
          <w:sz w:val="24"/>
          <w:lang w:val="de-CH"/>
        </w:rPr>
        <w:t>Artikel </w:t>
      </w:r>
      <w:r w:rsidRPr="00137E2E">
        <w:rPr>
          <w:rFonts w:ascii="Times New Roman" w:hAnsi="Times New Roman" w:cs="Times New Roman"/>
          <w:sz w:val="24"/>
          <w:lang w:val="de-CH"/>
        </w:rPr>
        <w:t xml:space="preserve">3 </w:t>
      </w:r>
      <w:r w:rsidR="00216406" w:rsidRPr="00137E2E">
        <w:rPr>
          <w:rFonts w:ascii="Times New Roman" w:hAnsi="Times New Roman" w:cs="Times New Roman"/>
          <w:sz w:val="24"/>
          <w:lang w:val="de-CH"/>
        </w:rPr>
        <w:t>Abs. </w:t>
      </w:r>
      <w:r w:rsidRPr="00137E2E">
        <w:rPr>
          <w:rFonts w:ascii="Times New Roman" w:hAnsi="Times New Roman" w:cs="Times New Roman"/>
          <w:sz w:val="24"/>
          <w:lang w:val="de-CH"/>
        </w:rPr>
        <w:t xml:space="preserve">2 InkHV leistet das Gemeinwesen, das Hilfe bei der Vollstreckung von familienrechtlichen Unterhaltsansprüchen leistet, ebenfalls Inkassohilfe für gesetzliche sowie vertraglich oder reglementarisch geregelte Familienzulagen, die vom Unterhaltstitel erfasst sind. </w:t>
      </w:r>
    </w:p>
    <w:p w14:paraId="2F67F7D9" w14:textId="337E4BC2" w:rsidR="009A5AF3" w:rsidRPr="00137E2E" w:rsidRDefault="009A5AF3" w:rsidP="00166E83">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 xml:space="preserve">Gemäss erläuterndem Bericht über die InkHV besteht die Leistung der Fachstelle meistens darin, die unterhaltsberechtigte Person im Verfahren für die Erwirkung der direkten Auszahlung der Familienzulagen im Sinne von </w:t>
      </w:r>
      <w:r w:rsidR="00216406" w:rsidRPr="00137E2E">
        <w:rPr>
          <w:rFonts w:ascii="Times New Roman" w:hAnsi="Times New Roman" w:cs="Times New Roman"/>
          <w:sz w:val="24"/>
          <w:lang w:val="de-CH"/>
        </w:rPr>
        <w:t>Artikel </w:t>
      </w:r>
      <w:r w:rsidRPr="00137E2E">
        <w:rPr>
          <w:rFonts w:ascii="Times New Roman" w:hAnsi="Times New Roman" w:cs="Times New Roman"/>
          <w:sz w:val="24"/>
          <w:lang w:val="de-CH"/>
        </w:rPr>
        <w:t xml:space="preserve">9 </w:t>
      </w:r>
      <w:r w:rsidR="00216406" w:rsidRPr="00137E2E">
        <w:rPr>
          <w:rFonts w:ascii="Times New Roman" w:hAnsi="Times New Roman" w:cs="Times New Roman"/>
          <w:sz w:val="24"/>
          <w:lang w:val="de-CH"/>
        </w:rPr>
        <w:t>Abs. </w:t>
      </w:r>
      <w:r w:rsidRPr="00137E2E">
        <w:rPr>
          <w:rFonts w:ascii="Times New Roman" w:hAnsi="Times New Roman" w:cs="Times New Roman"/>
          <w:sz w:val="24"/>
          <w:lang w:val="de-CH"/>
        </w:rPr>
        <w:t xml:space="preserve">1 </w:t>
      </w:r>
      <w:r w:rsidR="00843653" w:rsidRPr="00137E2E">
        <w:rPr>
          <w:rFonts w:ascii="Times New Roman" w:hAnsi="Times New Roman" w:cs="Times New Roman"/>
          <w:sz w:val="24"/>
          <w:lang w:val="de-CH"/>
        </w:rPr>
        <w:t xml:space="preserve">des </w:t>
      </w:r>
      <w:r w:rsidR="00843653" w:rsidRPr="007B41EB">
        <w:rPr>
          <w:rFonts w:ascii="Times New Roman" w:hAnsi="Times New Roman" w:cs="Times New Roman"/>
          <w:sz w:val="24"/>
          <w:lang w:val="de-CH"/>
        </w:rPr>
        <w:t>Familienzulagengesetz</w:t>
      </w:r>
      <w:r w:rsidR="00843653" w:rsidRPr="00137E2E">
        <w:rPr>
          <w:rFonts w:ascii="Times New Roman" w:hAnsi="Times New Roman" w:cs="Times New Roman"/>
          <w:sz w:val="24"/>
          <w:lang w:val="de-CH"/>
        </w:rPr>
        <w:t>es (</w:t>
      </w:r>
      <w:r w:rsidR="00843653" w:rsidRPr="007B41EB">
        <w:rPr>
          <w:rFonts w:ascii="Times New Roman" w:hAnsi="Times New Roman" w:cs="Times New Roman"/>
          <w:sz w:val="24"/>
          <w:lang w:val="de-CH"/>
        </w:rPr>
        <w:t>FamZG</w:t>
      </w:r>
      <w:r w:rsidR="00843653" w:rsidRPr="00137E2E">
        <w:rPr>
          <w:rFonts w:ascii="Times New Roman" w:hAnsi="Times New Roman" w:cs="Times New Roman"/>
          <w:sz w:val="24"/>
          <w:lang w:val="de-CH"/>
        </w:rPr>
        <w:t xml:space="preserve">) </w:t>
      </w:r>
      <w:r w:rsidRPr="00137E2E">
        <w:rPr>
          <w:rFonts w:ascii="Times New Roman" w:hAnsi="Times New Roman" w:cs="Times New Roman"/>
          <w:sz w:val="24"/>
          <w:lang w:val="de-CH"/>
        </w:rPr>
        <w:t>zu unterstützen. Die Auszahlung der Familienzulagen erfolgt direkt an die berechtigte Person, sodass die Fachstelle keine Rückzahlungsanträge bewältigen muss. Im erläuternden Bericht zur InkHV wird jedoch präzisiert, dass die kantonale Gesetzgebung vorsehen kann, dass die Fachstelle die Familienzulagen entgegennimmt und an die berechtigte Person weiterleitet (</w:t>
      </w:r>
      <w:r w:rsidR="00216406" w:rsidRPr="00137E2E">
        <w:rPr>
          <w:rFonts w:ascii="Times New Roman" w:hAnsi="Times New Roman" w:cs="Times New Roman"/>
          <w:sz w:val="24"/>
          <w:lang w:val="de-CH"/>
        </w:rPr>
        <w:t>Art. </w:t>
      </w:r>
      <w:r w:rsidRPr="00137E2E">
        <w:rPr>
          <w:rFonts w:ascii="Times New Roman" w:hAnsi="Times New Roman" w:cs="Times New Roman"/>
          <w:sz w:val="24"/>
          <w:lang w:val="de-CH"/>
        </w:rPr>
        <w:t xml:space="preserve">3 </w:t>
      </w:r>
      <w:r w:rsidR="00216406" w:rsidRPr="00137E2E">
        <w:rPr>
          <w:rFonts w:ascii="Times New Roman" w:hAnsi="Times New Roman" w:cs="Times New Roman"/>
          <w:sz w:val="24"/>
          <w:lang w:val="de-CH"/>
        </w:rPr>
        <w:t>Abs. </w:t>
      </w:r>
      <w:r w:rsidRPr="00137E2E">
        <w:rPr>
          <w:rFonts w:ascii="Times New Roman" w:hAnsi="Times New Roman" w:cs="Times New Roman"/>
          <w:sz w:val="24"/>
          <w:lang w:val="de-CH"/>
        </w:rPr>
        <w:t xml:space="preserve">2 InkHV). </w:t>
      </w:r>
    </w:p>
    <w:p w14:paraId="792D11AE" w14:textId="147E12A7" w:rsidR="009A5AF3" w:rsidRPr="00137E2E" w:rsidRDefault="00947418" w:rsidP="00E32B56">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Das vorliegende Gesetz geht nicht über die Mindestvorschriften nach InkHV hinaus. So sieht es insbesondere keine</w:t>
      </w:r>
      <w:r w:rsidR="0048409D" w:rsidRPr="00137E2E">
        <w:rPr>
          <w:rFonts w:ascii="Times New Roman" w:hAnsi="Times New Roman" w:cs="Times New Roman"/>
          <w:sz w:val="24"/>
          <w:lang w:val="de-CH"/>
        </w:rPr>
        <w:t>n</w:t>
      </w:r>
      <w:r w:rsidRPr="00137E2E">
        <w:rPr>
          <w:rFonts w:ascii="Times New Roman" w:hAnsi="Times New Roman" w:cs="Times New Roman"/>
          <w:sz w:val="24"/>
          <w:lang w:val="de-CH"/>
        </w:rPr>
        <w:t xml:space="preserve"> direkten Einzug der Familien- und Arbeitgeberzulagen vor, sondern nur eine Unterstützung bei deren Inkasso, hauptsächlich um zu verhindern, dass die für Bevorschussung und Eintreibung der Unterhaltsbeiträge zuständige Fachstelle die </w:t>
      </w:r>
      <w:r w:rsidR="0048409D" w:rsidRPr="00137E2E">
        <w:rPr>
          <w:rFonts w:ascii="Times New Roman" w:hAnsi="Times New Roman" w:cs="Times New Roman"/>
          <w:sz w:val="24"/>
          <w:lang w:val="de-CH"/>
        </w:rPr>
        <w:t>zu viel</w:t>
      </w:r>
      <w:r w:rsidRPr="00137E2E">
        <w:rPr>
          <w:rFonts w:ascii="Times New Roman" w:hAnsi="Times New Roman" w:cs="Times New Roman"/>
          <w:sz w:val="24"/>
          <w:lang w:val="de-CH"/>
        </w:rPr>
        <w:t xml:space="preserve"> bezogenen und den anspruchsberechtigten Personen bereits entrichteten Familienzulagen zurückzahlen muss. Dies hätte einen beträchtlichen Mehraufwand zur Folge. </w:t>
      </w:r>
    </w:p>
    <w:p w14:paraId="510C36BF" w14:textId="409BE37A" w:rsidR="000B49E3" w:rsidRPr="00137E2E" w:rsidRDefault="00216406" w:rsidP="00166E83">
      <w:pPr>
        <w:spacing w:after="0" w:line="240" w:lineRule="auto"/>
        <w:jc w:val="both"/>
        <w:rPr>
          <w:rFonts w:ascii="Times New Roman" w:hAnsi="Times New Roman" w:cs="Times New Roman"/>
          <w:b/>
          <w:sz w:val="24"/>
          <w:szCs w:val="24"/>
          <w:lang w:val="de-CH"/>
        </w:rPr>
      </w:pPr>
      <w:r w:rsidRPr="00137E2E">
        <w:rPr>
          <w:rFonts w:ascii="Times New Roman" w:hAnsi="Times New Roman" w:cs="Times New Roman"/>
          <w:b/>
          <w:sz w:val="24"/>
          <w:lang w:val="de-CH"/>
        </w:rPr>
        <w:t>Art. </w:t>
      </w:r>
      <w:r w:rsidR="00843653" w:rsidRPr="00137E2E">
        <w:rPr>
          <w:rFonts w:ascii="Times New Roman" w:hAnsi="Times New Roman" w:cs="Times New Roman"/>
          <w:b/>
          <w:sz w:val="24"/>
          <w:lang w:val="de-CH"/>
        </w:rPr>
        <w:t xml:space="preserve">21 </w:t>
      </w:r>
      <w:r w:rsidR="000B49E3" w:rsidRPr="00137E2E">
        <w:rPr>
          <w:rFonts w:ascii="Times New Roman" w:hAnsi="Times New Roman" w:cs="Times New Roman"/>
          <w:b/>
          <w:sz w:val="24"/>
          <w:lang w:val="de-CH"/>
        </w:rPr>
        <w:t xml:space="preserve">Treuhänderische Abtretung </w:t>
      </w:r>
    </w:p>
    <w:p w14:paraId="5C9D2503" w14:textId="7BC7B84A" w:rsidR="000B49E3" w:rsidRPr="00137E2E" w:rsidRDefault="00867FE1" w:rsidP="00E32B56">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 xml:space="preserve">Die zuständige Behörde besitzt eine Legalzession bis höchstens in Höhe der Bevorschussung (vgl. </w:t>
      </w:r>
      <w:r w:rsidR="00216406" w:rsidRPr="00137E2E">
        <w:rPr>
          <w:rFonts w:ascii="Times New Roman" w:hAnsi="Times New Roman" w:cs="Times New Roman"/>
          <w:sz w:val="24"/>
          <w:lang w:val="de-CH"/>
        </w:rPr>
        <w:t>Art. </w:t>
      </w:r>
      <w:r w:rsidRPr="00137E2E">
        <w:rPr>
          <w:rFonts w:ascii="Times New Roman" w:hAnsi="Times New Roman" w:cs="Times New Roman"/>
          <w:sz w:val="24"/>
          <w:lang w:val="de-CH"/>
        </w:rPr>
        <w:t xml:space="preserve">12). Die Bestimmung sieht eine treuhänderische Abtretung der Forderung für den Teil des Unterhaltsbeitrags vor, der diesen Betrag übersteigt. Dank dieser Abtretung kann die zuständige Behörde im Namen des Staates auf Rechnung der unterhaltsberechtigten Person handeln. </w:t>
      </w:r>
    </w:p>
    <w:p w14:paraId="4033B74C" w14:textId="37729F3B" w:rsidR="009D209A" w:rsidRPr="00137E2E" w:rsidRDefault="00216406" w:rsidP="009D209A">
      <w:pPr>
        <w:spacing w:after="0" w:line="240" w:lineRule="auto"/>
        <w:jc w:val="both"/>
        <w:rPr>
          <w:rFonts w:ascii="Times New Roman" w:hAnsi="Times New Roman" w:cs="Times New Roman"/>
          <w:b/>
          <w:sz w:val="24"/>
          <w:szCs w:val="24"/>
          <w:lang w:val="de-CH"/>
        </w:rPr>
      </w:pPr>
      <w:r w:rsidRPr="00137E2E">
        <w:rPr>
          <w:rFonts w:ascii="Times New Roman" w:hAnsi="Times New Roman" w:cs="Times New Roman"/>
          <w:b/>
          <w:sz w:val="24"/>
          <w:lang w:val="de-CH"/>
        </w:rPr>
        <w:t>Art. </w:t>
      </w:r>
      <w:r w:rsidR="00843653" w:rsidRPr="00137E2E">
        <w:rPr>
          <w:rFonts w:ascii="Times New Roman" w:hAnsi="Times New Roman" w:cs="Times New Roman"/>
          <w:b/>
          <w:sz w:val="24"/>
          <w:lang w:val="de-CH"/>
        </w:rPr>
        <w:t xml:space="preserve">22 </w:t>
      </w:r>
      <w:r w:rsidR="009D209A" w:rsidRPr="00137E2E">
        <w:rPr>
          <w:rFonts w:ascii="Times New Roman" w:hAnsi="Times New Roman" w:cs="Times New Roman"/>
          <w:b/>
          <w:sz w:val="24"/>
          <w:lang w:val="de-CH"/>
        </w:rPr>
        <w:t xml:space="preserve">Anrechnung eingegangener Zahlungen </w:t>
      </w:r>
    </w:p>
    <w:p w14:paraId="1B0BA50B" w14:textId="77777777" w:rsidR="009579A5" w:rsidRPr="00137E2E" w:rsidRDefault="009579A5" w:rsidP="00166E83">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 xml:space="preserve">Die Frage der Anrechnung der eingegangenen Zahlungen im Falle von Teilzahlungen stellt sich in mehreren Situationen: gleichzeitiges Inkasso von Unterhaltsbeitrag und Familienzulage; </w:t>
      </w:r>
      <w:r w:rsidRPr="00137E2E">
        <w:rPr>
          <w:rFonts w:ascii="Times New Roman" w:hAnsi="Times New Roman" w:cs="Times New Roman"/>
          <w:sz w:val="24"/>
          <w:lang w:val="de-CH"/>
        </w:rPr>
        <w:lastRenderedPageBreak/>
        <w:t xml:space="preserve">Inkasso der Forderung des Gemeinwesens (in Höhe des bevorschussten Unterhaltsbeitrags) und des Restbetrags der Forderung der unterhaltsberechtigten Person (nicht bevorschusster Teil des Unterhaltsbeitrags); Inkasso der Unterhaltsbeiträge zugunsten mehrerer unterhaltsberechtigter Personen. </w:t>
      </w:r>
    </w:p>
    <w:p w14:paraId="28C766F2" w14:textId="61540DDF" w:rsidR="009A5AF3" w:rsidRPr="00137E2E" w:rsidRDefault="001B0279" w:rsidP="00166E83">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 xml:space="preserve">Die erste Situation wird in </w:t>
      </w:r>
      <w:r w:rsidR="00216406" w:rsidRPr="00137E2E">
        <w:rPr>
          <w:rFonts w:ascii="Times New Roman" w:hAnsi="Times New Roman" w:cs="Times New Roman"/>
          <w:sz w:val="24"/>
          <w:lang w:val="de-CH"/>
        </w:rPr>
        <w:t>Artikel </w:t>
      </w:r>
      <w:r w:rsidRPr="00137E2E">
        <w:rPr>
          <w:rFonts w:ascii="Times New Roman" w:hAnsi="Times New Roman" w:cs="Times New Roman"/>
          <w:sz w:val="24"/>
          <w:lang w:val="de-CH"/>
        </w:rPr>
        <w:t xml:space="preserve">15 InkHV geregelt. Dieser sieht namentlich vor, dass eine Teilzahlung vorab auf den Unterhaltsbeitrag anzurechnen ist, wenn die Inkassohilfe sowohl für den Unterhaltsbeitrag als auch für die Familienzulagen geleistet wird. </w:t>
      </w:r>
    </w:p>
    <w:p w14:paraId="04C5247D" w14:textId="094BB097" w:rsidR="00395CD8" w:rsidRPr="00137E2E" w:rsidRDefault="00216406" w:rsidP="00166E83">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Artikel </w:t>
      </w:r>
      <w:r w:rsidR="00FD7FEE" w:rsidRPr="00137E2E">
        <w:rPr>
          <w:rFonts w:ascii="Times New Roman" w:hAnsi="Times New Roman" w:cs="Times New Roman"/>
          <w:sz w:val="24"/>
          <w:lang w:val="de-CH"/>
        </w:rPr>
        <w:t>20</w:t>
      </w:r>
      <w:r w:rsidR="00395CD8" w:rsidRPr="00137E2E">
        <w:rPr>
          <w:rFonts w:ascii="Times New Roman" w:hAnsi="Times New Roman" w:cs="Times New Roman"/>
          <w:sz w:val="24"/>
          <w:lang w:val="de-CH"/>
        </w:rPr>
        <w:t xml:space="preserve"> regelt die zwei anderen Situationen. </w:t>
      </w:r>
    </w:p>
    <w:p w14:paraId="1A158955" w14:textId="445A4007" w:rsidR="00395CD8" w:rsidRPr="00137E2E" w:rsidRDefault="00395CD8" w:rsidP="00166E83">
      <w:pPr>
        <w:spacing w:line="240" w:lineRule="auto"/>
        <w:jc w:val="both"/>
        <w:rPr>
          <w:rFonts w:ascii="Times New Roman" w:hAnsi="Times New Roman" w:cs="Times New Roman"/>
          <w:sz w:val="24"/>
          <w:szCs w:val="24"/>
          <w:lang w:val="de-CH"/>
        </w:rPr>
      </w:pPr>
      <w:r w:rsidRPr="00137E2E">
        <w:rPr>
          <w:rFonts w:ascii="Times New Roman" w:hAnsi="Times New Roman" w:cs="Times New Roman"/>
          <w:i/>
          <w:sz w:val="24"/>
          <w:lang w:val="de-CH"/>
        </w:rPr>
        <w:t>Absätze 1 und 2:</w:t>
      </w:r>
      <w:r w:rsidRPr="00137E2E">
        <w:rPr>
          <w:rFonts w:ascii="Times New Roman" w:hAnsi="Times New Roman" w:cs="Times New Roman"/>
          <w:sz w:val="24"/>
          <w:lang w:val="de-CH"/>
        </w:rPr>
        <w:t xml:space="preserve"> Diese Bestimmung verankert die aktuelle Praxis des KSA: Die Zahlungen der unterhaltspflichtigen Person dienen der Deckung (Prioritätenfolge!): des laufenden Unterhaltsbeitrags, der Rückstände zugunsten des Staates, der Rückstände zuhanden der unterhaltsberechtigten Person. Bei den Rückständen wird der Anspruch des Gemeinwesens, die geleisteten Vorschüsse wiederzuerlangen, höher gewichtet als der Anspruch der unterhaltsberechtigten Person, den gesamten ihr zustehenden Unterhaltsbeitrag zu erhalten. Dies ist gerechtfertigt, denn ihre Situation ist ja ohnehin besser als ohne Bevorschussung. Und mit der vorgeschlagenen Anhebung der Bevorschussung wird dies umso mehr der Fall sein. </w:t>
      </w:r>
    </w:p>
    <w:p w14:paraId="3B094F1D" w14:textId="7528FAB8" w:rsidR="009A5AF3" w:rsidRPr="00137E2E" w:rsidRDefault="00216406" w:rsidP="00166E83">
      <w:pPr>
        <w:spacing w:line="240" w:lineRule="auto"/>
        <w:jc w:val="both"/>
        <w:rPr>
          <w:rFonts w:ascii="Times New Roman" w:hAnsi="Times New Roman" w:cs="Times New Roman"/>
          <w:sz w:val="24"/>
          <w:szCs w:val="24"/>
          <w:lang w:val="de-CH"/>
        </w:rPr>
      </w:pPr>
      <w:r w:rsidRPr="00137E2E">
        <w:rPr>
          <w:rFonts w:ascii="Times New Roman" w:hAnsi="Times New Roman" w:cs="Times New Roman"/>
          <w:i/>
          <w:sz w:val="24"/>
          <w:lang w:val="de-CH"/>
        </w:rPr>
        <w:t>Absatz </w:t>
      </w:r>
      <w:r w:rsidR="006B4505" w:rsidRPr="00137E2E">
        <w:rPr>
          <w:rFonts w:ascii="Times New Roman" w:hAnsi="Times New Roman" w:cs="Times New Roman"/>
          <w:i/>
          <w:sz w:val="24"/>
          <w:lang w:val="de-CH"/>
        </w:rPr>
        <w:t>3:</w:t>
      </w:r>
      <w:r w:rsidR="006B4505" w:rsidRPr="00137E2E">
        <w:rPr>
          <w:rFonts w:ascii="Times New Roman" w:hAnsi="Times New Roman" w:cs="Times New Roman"/>
          <w:sz w:val="24"/>
          <w:lang w:val="de-CH"/>
        </w:rPr>
        <w:t xml:space="preserve"> Werden mehrere Unterhaltsbeiträge gleichzeitig geschuldet, erfolgt die Anrechnung anteilsmässig. Diese Regel richtet sich nach </w:t>
      </w:r>
      <w:r w:rsidRPr="00137E2E">
        <w:rPr>
          <w:rFonts w:ascii="Times New Roman" w:hAnsi="Times New Roman" w:cs="Times New Roman"/>
          <w:sz w:val="24"/>
          <w:lang w:val="de-CH"/>
        </w:rPr>
        <w:t>Artikel </w:t>
      </w:r>
      <w:r w:rsidR="006B4505" w:rsidRPr="00137E2E">
        <w:rPr>
          <w:rFonts w:ascii="Times New Roman" w:hAnsi="Times New Roman" w:cs="Times New Roman"/>
          <w:sz w:val="24"/>
          <w:lang w:val="de-CH"/>
        </w:rPr>
        <w:t xml:space="preserve">87 </w:t>
      </w:r>
      <w:r w:rsidRPr="00137E2E">
        <w:rPr>
          <w:rFonts w:ascii="Times New Roman" w:hAnsi="Times New Roman" w:cs="Times New Roman"/>
          <w:sz w:val="24"/>
          <w:lang w:val="de-CH"/>
        </w:rPr>
        <w:t>Abs. </w:t>
      </w:r>
      <w:r w:rsidR="006B4505" w:rsidRPr="00137E2E">
        <w:rPr>
          <w:rFonts w:ascii="Times New Roman" w:hAnsi="Times New Roman" w:cs="Times New Roman"/>
          <w:sz w:val="24"/>
          <w:lang w:val="de-CH"/>
        </w:rPr>
        <w:t xml:space="preserve">2 des Obligationenrechts (OR). </w:t>
      </w:r>
    </w:p>
    <w:p w14:paraId="6F2CCDB2" w14:textId="43536117" w:rsidR="009D209A" w:rsidRPr="00137E2E" w:rsidRDefault="00216406" w:rsidP="009D209A">
      <w:pPr>
        <w:spacing w:after="0" w:line="240" w:lineRule="auto"/>
        <w:jc w:val="both"/>
        <w:rPr>
          <w:rFonts w:ascii="Times New Roman" w:hAnsi="Times New Roman" w:cs="Times New Roman"/>
          <w:b/>
          <w:sz w:val="24"/>
          <w:szCs w:val="24"/>
          <w:lang w:val="de-CH"/>
        </w:rPr>
      </w:pPr>
      <w:r w:rsidRPr="00137E2E">
        <w:rPr>
          <w:rFonts w:ascii="Times New Roman" w:hAnsi="Times New Roman" w:cs="Times New Roman"/>
          <w:b/>
          <w:sz w:val="24"/>
          <w:lang w:val="de-CH"/>
        </w:rPr>
        <w:t>Art. </w:t>
      </w:r>
      <w:r w:rsidR="00843653" w:rsidRPr="00137E2E">
        <w:rPr>
          <w:rFonts w:ascii="Times New Roman" w:hAnsi="Times New Roman" w:cs="Times New Roman"/>
          <w:b/>
          <w:sz w:val="24"/>
          <w:lang w:val="de-CH"/>
        </w:rPr>
        <w:t xml:space="preserve">23 </w:t>
      </w:r>
      <w:r w:rsidR="009D209A" w:rsidRPr="00137E2E">
        <w:rPr>
          <w:rFonts w:ascii="Times New Roman" w:hAnsi="Times New Roman" w:cs="Times New Roman"/>
          <w:b/>
          <w:sz w:val="24"/>
          <w:lang w:val="de-CH"/>
        </w:rPr>
        <w:t xml:space="preserve">Beteiligung der erwachsenen Beziehenden an den Kosten der zuständigen Behörde </w:t>
      </w:r>
    </w:p>
    <w:p w14:paraId="24DC0E6A" w14:textId="406DE55A" w:rsidR="001B0279" w:rsidRPr="00137E2E" w:rsidRDefault="005C6904" w:rsidP="00166E83">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 xml:space="preserve">Im Sinne von </w:t>
      </w:r>
      <w:r w:rsidR="00216406" w:rsidRPr="00137E2E">
        <w:rPr>
          <w:rFonts w:ascii="Times New Roman" w:hAnsi="Times New Roman" w:cs="Times New Roman"/>
          <w:sz w:val="24"/>
          <w:lang w:val="de-CH"/>
        </w:rPr>
        <w:t>Artikel </w:t>
      </w:r>
      <w:r w:rsidRPr="00137E2E">
        <w:rPr>
          <w:rFonts w:ascii="Times New Roman" w:hAnsi="Times New Roman" w:cs="Times New Roman"/>
          <w:sz w:val="24"/>
          <w:lang w:val="de-CH"/>
        </w:rPr>
        <w:t xml:space="preserve">17 </w:t>
      </w:r>
      <w:r w:rsidR="00216406" w:rsidRPr="00137E2E">
        <w:rPr>
          <w:rFonts w:ascii="Times New Roman" w:hAnsi="Times New Roman" w:cs="Times New Roman"/>
          <w:sz w:val="24"/>
          <w:lang w:val="de-CH"/>
        </w:rPr>
        <w:t>Abs. </w:t>
      </w:r>
      <w:r w:rsidRPr="00137E2E">
        <w:rPr>
          <w:rFonts w:ascii="Times New Roman" w:hAnsi="Times New Roman" w:cs="Times New Roman"/>
          <w:sz w:val="24"/>
          <w:lang w:val="de-CH"/>
        </w:rPr>
        <w:t xml:space="preserve">1 InkHV sind die Leistungen der Fachstelle zur Inkassohilfe für Unterhaltsbeiträge für Kinder unentgeltlich. Laut </w:t>
      </w:r>
      <w:r w:rsidR="00216406" w:rsidRPr="00137E2E">
        <w:rPr>
          <w:rFonts w:ascii="Times New Roman" w:hAnsi="Times New Roman" w:cs="Times New Roman"/>
          <w:sz w:val="24"/>
          <w:lang w:val="de-CH"/>
        </w:rPr>
        <w:t>Absatz </w:t>
      </w:r>
      <w:r w:rsidRPr="00137E2E">
        <w:rPr>
          <w:rFonts w:ascii="Times New Roman" w:hAnsi="Times New Roman" w:cs="Times New Roman"/>
          <w:sz w:val="24"/>
          <w:lang w:val="de-CH"/>
        </w:rPr>
        <w:t xml:space="preserve">2 sind die Leistungen im Zusammenhang mit der Eintreibung von Unterhaltsbeiträgen zugunsten anderer Unterhaltsberechtigter als das Kind in der Regel kostenlos. Verfügt die unterhaltsberechtigte Person über die erforderlichen Mittel, so kann die Fachstelle von ihr verlangen, sich an den Kosten zu beteiligen. </w:t>
      </w:r>
    </w:p>
    <w:p w14:paraId="4CDAB065" w14:textId="5AF1934D" w:rsidR="005C6904" w:rsidRPr="00137E2E" w:rsidRDefault="00FB2F12" w:rsidP="00166E83">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 xml:space="preserve">Der Entwurf sieht vor, dass Gebühren erhoben werden, wenn die unterhaltsberechtigte Person über </w:t>
      </w:r>
      <w:r w:rsidRPr="007B41EB">
        <w:rPr>
          <w:rFonts w:ascii="Times New Roman" w:hAnsi="Times New Roman" w:cs="Times New Roman"/>
          <w:sz w:val="24"/>
          <w:lang w:val="de-CH"/>
        </w:rPr>
        <w:t>das um 20</w:t>
      </w:r>
      <w:r w:rsidR="00FD7FEE" w:rsidRPr="007B41EB">
        <w:rPr>
          <w:rFonts w:ascii="Times New Roman" w:hAnsi="Times New Roman" w:cs="Times New Roman"/>
          <w:sz w:val="24"/>
          <w:lang w:val="de-CH"/>
        </w:rPr>
        <w:t> %</w:t>
      </w:r>
      <w:r w:rsidRPr="007B41EB">
        <w:rPr>
          <w:rFonts w:ascii="Times New Roman" w:hAnsi="Times New Roman" w:cs="Times New Roman"/>
          <w:sz w:val="24"/>
          <w:lang w:val="de-CH"/>
        </w:rPr>
        <w:t xml:space="preserve"> und die Steuern erweiterte betreibungsrechtliche Existenzminimum</w:t>
      </w:r>
      <w:r w:rsidRPr="00137E2E">
        <w:rPr>
          <w:rFonts w:ascii="Times New Roman" w:hAnsi="Times New Roman" w:cs="Times New Roman"/>
          <w:sz w:val="24"/>
          <w:lang w:val="de-CH"/>
        </w:rPr>
        <w:t xml:space="preserve"> verfügt. Die Höhe der Gebühren wird in der Verordnung festgesetzt. </w:t>
      </w:r>
    </w:p>
    <w:p w14:paraId="352A482B" w14:textId="70C09435" w:rsidR="009D209A" w:rsidRPr="00137E2E" w:rsidRDefault="00216406" w:rsidP="009D209A">
      <w:pPr>
        <w:spacing w:after="0" w:line="240" w:lineRule="auto"/>
        <w:jc w:val="both"/>
        <w:rPr>
          <w:rFonts w:ascii="Times New Roman" w:hAnsi="Times New Roman" w:cs="Times New Roman"/>
          <w:b/>
          <w:sz w:val="24"/>
          <w:szCs w:val="24"/>
          <w:lang w:val="de-CH"/>
        </w:rPr>
      </w:pPr>
      <w:r w:rsidRPr="00137E2E">
        <w:rPr>
          <w:rFonts w:ascii="Times New Roman" w:hAnsi="Times New Roman" w:cs="Times New Roman"/>
          <w:b/>
          <w:sz w:val="24"/>
          <w:lang w:val="de-CH"/>
        </w:rPr>
        <w:t>Art. </w:t>
      </w:r>
      <w:r w:rsidR="00843653" w:rsidRPr="00137E2E">
        <w:rPr>
          <w:rFonts w:ascii="Times New Roman" w:hAnsi="Times New Roman" w:cs="Times New Roman"/>
          <w:b/>
          <w:sz w:val="24"/>
          <w:lang w:val="de-CH"/>
        </w:rPr>
        <w:t xml:space="preserve">24 </w:t>
      </w:r>
      <w:r w:rsidR="009D209A" w:rsidRPr="00137E2E">
        <w:rPr>
          <w:rFonts w:ascii="Times New Roman" w:hAnsi="Times New Roman" w:cs="Times New Roman"/>
          <w:b/>
          <w:sz w:val="24"/>
          <w:lang w:val="de-CH"/>
        </w:rPr>
        <w:t xml:space="preserve">Übernahme von Kosten Dritter </w:t>
      </w:r>
    </w:p>
    <w:p w14:paraId="321F6CDE" w14:textId="6DC81BD9" w:rsidR="009D209A" w:rsidRPr="00137E2E" w:rsidRDefault="005C6904" w:rsidP="005C6904">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 xml:space="preserve">Laut </w:t>
      </w:r>
      <w:r w:rsidR="00216406" w:rsidRPr="00137E2E">
        <w:rPr>
          <w:rFonts w:ascii="Times New Roman" w:hAnsi="Times New Roman" w:cs="Times New Roman"/>
          <w:sz w:val="24"/>
          <w:lang w:val="de-CH"/>
        </w:rPr>
        <w:t>Artikel </w:t>
      </w:r>
      <w:r w:rsidRPr="00137E2E">
        <w:rPr>
          <w:rFonts w:ascii="Times New Roman" w:hAnsi="Times New Roman" w:cs="Times New Roman"/>
          <w:sz w:val="24"/>
          <w:lang w:val="de-CH"/>
        </w:rPr>
        <w:t xml:space="preserve">19 </w:t>
      </w:r>
      <w:r w:rsidR="00216406" w:rsidRPr="00137E2E">
        <w:rPr>
          <w:rFonts w:ascii="Times New Roman" w:hAnsi="Times New Roman" w:cs="Times New Roman"/>
          <w:sz w:val="24"/>
          <w:lang w:val="de-CH"/>
        </w:rPr>
        <w:t>Abs. </w:t>
      </w:r>
      <w:r w:rsidRPr="00137E2E">
        <w:rPr>
          <w:rFonts w:ascii="Times New Roman" w:hAnsi="Times New Roman" w:cs="Times New Roman"/>
          <w:sz w:val="24"/>
          <w:lang w:val="de-CH"/>
        </w:rPr>
        <w:t xml:space="preserve">1 InkHV sind die anfallenden Kosten von der unterhaltspflichtigen Person zu tragen, wenn Dritte tätig werden oder Leistungen für die Durchsetzung der Unterhaltsbeiträge erbringen. </w:t>
      </w:r>
      <w:r w:rsidR="00216406" w:rsidRPr="00137E2E">
        <w:rPr>
          <w:rFonts w:ascii="Times New Roman" w:hAnsi="Times New Roman" w:cs="Times New Roman"/>
          <w:sz w:val="24"/>
          <w:lang w:val="de-CH"/>
        </w:rPr>
        <w:t>Absatz </w:t>
      </w:r>
      <w:r w:rsidRPr="00137E2E">
        <w:rPr>
          <w:rFonts w:ascii="Times New Roman" w:hAnsi="Times New Roman" w:cs="Times New Roman"/>
          <w:sz w:val="24"/>
          <w:lang w:val="de-CH"/>
        </w:rPr>
        <w:t xml:space="preserve">2 besagt, dass – wenn die Kosten nicht von der unterhaltspflichtigen Person erhältlich gemacht werden können – das Gemeinwesen diese der unterhaltsberechtigten Person nur auferlegen kann, wenn diese über die erforderlichen Mittel verfügt. </w:t>
      </w:r>
    </w:p>
    <w:p w14:paraId="7AA052EB" w14:textId="10B12A01" w:rsidR="005C6904" w:rsidRPr="00137E2E" w:rsidRDefault="005C6904" w:rsidP="005C6904">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 xml:space="preserve">Gemäss erläuterndem Bericht über die InkHV hat die unterhaltspflichtige Person die Kosten für die Durchsetzung der Unterhaltsbeiträge zu tragen, entstehen diese doch aufgrund ihres renitenten Verhaltens. Dieser Grundsatz gilt jedenfalls für die Kosten des Zahlungsbefehls und die Übersetzungskosten. Was die Kosten von Gerichtsverfahren betrifft, ist es Sache des Gerichts zu entscheiden, wer die Kosten zu tragen hat. Es kann davon ausgegangen werden, dass in den meisten Fällen die unterhaltspflichtige Person unterliegt, und dass folglich sie die vom Gemeinwesen bevorschussten Kosten zu tragen hat. </w:t>
      </w:r>
    </w:p>
    <w:p w14:paraId="7399EC24" w14:textId="4EFA4815" w:rsidR="005C6904" w:rsidRPr="00137E2E" w:rsidRDefault="005458E0" w:rsidP="00D71EC3">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lastRenderedPageBreak/>
        <w:t xml:space="preserve">Die InkHV überlässt dem Gemeinwesen die Entscheidung im Einzelfall, ob es von der unterhaltsberechtigten Person die Rückerstattung der ungedeckten Kosten der unterhaltspflichtigen Person verlangen will. Der Bundesrat hat darauf verzichtet, für die Abklärung, ob die unterhaltsberechtigte Person über genügend Mittel verfügt, eine bestimmte Methode vorzuschreiben. Der Bericht präzisiert ferner, dass die Rückerstattung der Kosten vom Elternteil, der das Gesuch um Inkassohilfe eingereicht hat, verlangt werden kann, wenn es sich bei der unterhaltsberechtigten Person um ein minderjähriges Kind handelt. Ist jedoch die unterhaltsberechtigte Person ein volljähriges Kind und hat es selber Inkassohilfe verlangt, kann das Gemeinwesen die finanziellen Ressourcen desjenigen Elternteils, der nicht Schuldner des dem Gesuch um Inkassohilfe zugrundeliegenden Unterhaltsbeitrags ist, berücksichtigen. </w:t>
      </w:r>
    </w:p>
    <w:p w14:paraId="73051B22" w14:textId="709E3C33" w:rsidR="00D71EC3" w:rsidRPr="007B41EB" w:rsidRDefault="00FB2F12" w:rsidP="00D71EC3">
      <w:pPr>
        <w:spacing w:line="240" w:lineRule="auto"/>
        <w:jc w:val="both"/>
        <w:rPr>
          <w:rFonts w:ascii="Times New Roman" w:hAnsi="Times New Roman" w:cs="Times New Roman"/>
          <w:sz w:val="24"/>
          <w:szCs w:val="24"/>
        </w:rPr>
      </w:pPr>
      <w:r w:rsidRPr="00137E2E">
        <w:rPr>
          <w:rFonts w:ascii="Times New Roman" w:hAnsi="Times New Roman" w:cs="Times New Roman"/>
          <w:sz w:val="24"/>
          <w:lang w:val="de-CH"/>
        </w:rPr>
        <w:t xml:space="preserve">Verschiedene Vernehmlassungsteilnehmende sind der Ansicht, dass eine unterhaltsberechtigte Person über die «erforderlichen Mittel» verfügt, sobald ihre Einnahmen es ihr nicht mehr erlauben, unentgeltliche Rechtspflege in Anspruch zu nehmen. Der Entwurf schlägt vor, noch weiter zu gehen: Die unterhaltsberechtigte Person, von der man die Rückerstattung der Kosten Dritter verlangen könnte, sollte </w:t>
      </w:r>
      <w:r w:rsidR="00CE4217" w:rsidRPr="00137E2E">
        <w:rPr>
          <w:rFonts w:ascii="Times New Roman" w:hAnsi="Times New Roman" w:cs="Times New Roman"/>
          <w:sz w:val="24"/>
          <w:lang w:val="de-CH"/>
        </w:rPr>
        <w:t xml:space="preserve">über </w:t>
      </w:r>
      <w:r w:rsidR="00CE4217" w:rsidRPr="007B41EB">
        <w:rPr>
          <w:rFonts w:ascii="Times New Roman" w:hAnsi="Times New Roman" w:cs="Times New Roman"/>
          <w:sz w:val="24"/>
          <w:lang w:val="de-CH"/>
        </w:rPr>
        <w:t>das um 20 % und die Steuern erweiterte betreibungsrechtliche Existenzminimum</w:t>
      </w:r>
      <w:r w:rsidR="00CE4217" w:rsidRPr="00137E2E">
        <w:rPr>
          <w:rFonts w:ascii="Times New Roman" w:hAnsi="Times New Roman" w:cs="Times New Roman"/>
          <w:sz w:val="24"/>
          <w:lang w:val="de-CH"/>
        </w:rPr>
        <w:t xml:space="preserve"> verfügen. </w:t>
      </w:r>
    </w:p>
    <w:p w14:paraId="589ACB51" w14:textId="437C73D8" w:rsidR="0091111C" w:rsidRPr="00137E2E" w:rsidRDefault="009D209A" w:rsidP="00A739CD">
      <w:pPr>
        <w:pStyle w:val="Titre2"/>
        <w:jc w:val="both"/>
        <w:rPr>
          <w:lang w:val="de-CH"/>
        </w:rPr>
      </w:pPr>
      <w:bookmarkStart w:id="19" w:name="_Toc49330780"/>
      <w:r w:rsidRPr="00137E2E">
        <w:rPr>
          <w:lang w:val="de-CH"/>
        </w:rPr>
        <w:t>7 Schlussbestimmungen</w:t>
      </w:r>
      <w:bookmarkEnd w:id="19"/>
      <w:r w:rsidRPr="00137E2E">
        <w:rPr>
          <w:lang w:val="de-CH"/>
        </w:rPr>
        <w:t xml:space="preserve"> </w:t>
      </w:r>
    </w:p>
    <w:p w14:paraId="4576BB24" w14:textId="5314BBC5" w:rsidR="00B93C15" w:rsidRPr="00137E2E" w:rsidRDefault="00216406" w:rsidP="003237C8">
      <w:pPr>
        <w:spacing w:after="0" w:line="240" w:lineRule="auto"/>
        <w:jc w:val="both"/>
        <w:rPr>
          <w:rFonts w:ascii="Times New Roman" w:hAnsi="Times New Roman" w:cs="Times New Roman"/>
          <w:b/>
          <w:sz w:val="24"/>
          <w:szCs w:val="24"/>
          <w:lang w:val="de-CH"/>
        </w:rPr>
      </w:pPr>
      <w:r w:rsidRPr="00137E2E">
        <w:rPr>
          <w:rFonts w:ascii="Times New Roman" w:hAnsi="Times New Roman" w:cs="Times New Roman"/>
          <w:b/>
          <w:sz w:val="24"/>
          <w:lang w:val="de-CH"/>
        </w:rPr>
        <w:t>Art. </w:t>
      </w:r>
      <w:r w:rsidR="00CE4217" w:rsidRPr="00137E2E">
        <w:rPr>
          <w:rFonts w:ascii="Times New Roman" w:hAnsi="Times New Roman" w:cs="Times New Roman"/>
          <w:b/>
          <w:sz w:val="24"/>
          <w:lang w:val="de-CH"/>
        </w:rPr>
        <w:t xml:space="preserve">25 </w:t>
      </w:r>
      <w:r w:rsidR="00B93C15" w:rsidRPr="00137E2E">
        <w:rPr>
          <w:rFonts w:ascii="Times New Roman" w:hAnsi="Times New Roman" w:cs="Times New Roman"/>
          <w:b/>
          <w:sz w:val="24"/>
          <w:lang w:val="de-CH"/>
        </w:rPr>
        <w:t xml:space="preserve">Übergangsrecht </w:t>
      </w:r>
    </w:p>
    <w:p w14:paraId="76F63050" w14:textId="64EDD2AE" w:rsidR="00B93C15" w:rsidRPr="00137E2E" w:rsidRDefault="00216406" w:rsidP="003237C8">
      <w:pPr>
        <w:spacing w:line="240" w:lineRule="auto"/>
        <w:jc w:val="both"/>
        <w:rPr>
          <w:rFonts w:ascii="Times New Roman" w:hAnsi="Times New Roman" w:cs="Times New Roman"/>
          <w:sz w:val="24"/>
          <w:szCs w:val="24"/>
          <w:lang w:val="de-CH"/>
        </w:rPr>
      </w:pPr>
      <w:r w:rsidRPr="00137E2E">
        <w:rPr>
          <w:rFonts w:ascii="Times New Roman" w:hAnsi="Times New Roman" w:cs="Times New Roman"/>
          <w:i/>
          <w:sz w:val="24"/>
          <w:lang w:val="de-CH"/>
        </w:rPr>
        <w:t>Absatz </w:t>
      </w:r>
      <w:r w:rsidR="009E5B62" w:rsidRPr="00137E2E">
        <w:rPr>
          <w:rFonts w:ascii="Times New Roman" w:hAnsi="Times New Roman" w:cs="Times New Roman"/>
          <w:i/>
          <w:sz w:val="24"/>
          <w:lang w:val="de-CH"/>
        </w:rPr>
        <w:t xml:space="preserve">1: </w:t>
      </w:r>
      <w:r w:rsidR="009E5B62" w:rsidRPr="00137E2E">
        <w:rPr>
          <w:rFonts w:ascii="Times New Roman" w:hAnsi="Times New Roman" w:cs="Times New Roman"/>
          <w:sz w:val="24"/>
          <w:lang w:val="de-CH"/>
        </w:rPr>
        <w:t xml:space="preserve">Das neue Recht gilt ab dem Zeitpunkt seines Inkrafttretens für alle laufenden und neuen Anträge. </w:t>
      </w:r>
    </w:p>
    <w:p w14:paraId="5DA85DE7" w14:textId="71DD7A95" w:rsidR="00C86A10" w:rsidRPr="00137E2E" w:rsidRDefault="00216406" w:rsidP="003237C8">
      <w:pPr>
        <w:spacing w:line="240" w:lineRule="auto"/>
        <w:jc w:val="both"/>
        <w:rPr>
          <w:rFonts w:ascii="Times New Roman" w:hAnsi="Times New Roman" w:cs="Times New Roman"/>
          <w:sz w:val="24"/>
          <w:szCs w:val="24"/>
          <w:lang w:val="de-CH"/>
        </w:rPr>
      </w:pPr>
      <w:r w:rsidRPr="00137E2E">
        <w:rPr>
          <w:rFonts w:ascii="Times New Roman" w:hAnsi="Times New Roman" w:cs="Times New Roman"/>
          <w:i/>
          <w:sz w:val="24"/>
          <w:lang w:val="de-CH"/>
        </w:rPr>
        <w:t>Absatz </w:t>
      </w:r>
      <w:r w:rsidR="00C86A10" w:rsidRPr="00137E2E">
        <w:rPr>
          <w:rFonts w:ascii="Times New Roman" w:hAnsi="Times New Roman" w:cs="Times New Roman"/>
          <w:i/>
          <w:sz w:val="24"/>
          <w:lang w:val="de-CH"/>
        </w:rPr>
        <w:t>2:</w:t>
      </w:r>
      <w:r w:rsidR="00C86A10" w:rsidRPr="00137E2E">
        <w:rPr>
          <w:rFonts w:ascii="Times New Roman" w:hAnsi="Times New Roman" w:cs="Times New Roman"/>
          <w:sz w:val="24"/>
          <w:lang w:val="de-CH"/>
        </w:rPr>
        <w:t xml:space="preserve"> Das bisherige Gesetz bleibt gültig für Entscheide, die vor Inkrafttreten des vorliegende</w:t>
      </w:r>
      <w:r w:rsidR="0048409D" w:rsidRPr="00137E2E">
        <w:rPr>
          <w:rFonts w:ascii="Times New Roman" w:hAnsi="Times New Roman" w:cs="Times New Roman"/>
          <w:sz w:val="24"/>
          <w:lang w:val="de-CH"/>
        </w:rPr>
        <w:t>n</w:t>
      </w:r>
      <w:r w:rsidR="00C86A10" w:rsidRPr="00137E2E">
        <w:rPr>
          <w:rFonts w:ascii="Times New Roman" w:hAnsi="Times New Roman" w:cs="Times New Roman"/>
          <w:sz w:val="24"/>
          <w:lang w:val="de-CH"/>
        </w:rPr>
        <w:t xml:space="preserve"> Gesetzes gefällt wurden</w:t>
      </w:r>
      <w:r w:rsidR="00D53055">
        <w:rPr>
          <w:rFonts w:ascii="Times New Roman" w:hAnsi="Times New Roman" w:cs="Times New Roman"/>
          <w:sz w:val="24"/>
          <w:lang w:val="de-CH"/>
        </w:rPr>
        <w:t>. Das neue Gesetz ist ab der jährlichen Revision anwendbar (s. Art. 11 Abs. 1).</w:t>
      </w:r>
      <w:r w:rsidR="00C86A10" w:rsidRPr="00137E2E">
        <w:rPr>
          <w:rFonts w:ascii="Times New Roman" w:hAnsi="Times New Roman" w:cs="Times New Roman"/>
          <w:sz w:val="24"/>
          <w:lang w:val="de-CH"/>
        </w:rPr>
        <w:t xml:space="preserve"> Die Höhe der Bevorschussung der Unterhaltsbeiträge wird jedoch zum Zeitpunkt des Inkrafttretens des vorliegenden Gesetzes sofort und automatisch den neuen Skalen und Obergrenzen angepasst. </w:t>
      </w:r>
    </w:p>
    <w:p w14:paraId="1F27560A" w14:textId="77777777" w:rsidR="00673011" w:rsidRPr="00137E2E" w:rsidRDefault="00673011" w:rsidP="00D73BCC">
      <w:pPr>
        <w:spacing w:line="240" w:lineRule="auto"/>
        <w:jc w:val="both"/>
        <w:rPr>
          <w:rFonts w:ascii="Times New Roman" w:hAnsi="Times New Roman" w:cs="Times New Roman"/>
          <w:i/>
          <w:sz w:val="24"/>
          <w:szCs w:val="24"/>
          <w:lang w:val="de-CH"/>
        </w:rPr>
      </w:pPr>
      <w:r w:rsidRPr="00137E2E">
        <w:rPr>
          <w:rFonts w:ascii="Times New Roman" w:hAnsi="Times New Roman" w:cs="Times New Roman"/>
          <w:i/>
          <w:sz w:val="24"/>
          <w:lang w:val="de-CH"/>
        </w:rPr>
        <w:t xml:space="preserve">Erworbene Rechte für Ehegatten und Ex-Ehegatten? </w:t>
      </w:r>
    </w:p>
    <w:p w14:paraId="431C7F6C" w14:textId="7E61F25F" w:rsidR="00D73BCC" w:rsidRPr="00137E2E" w:rsidRDefault="00D73BCC" w:rsidP="00D73BCC">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Der Gesetzgeber kann und</w:t>
      </w:r>
      <w:r w:rsidR="00E401EB" w:rsidRPr="00137E2E">
        <w:rPr>
          <w:rFonts w:ascii="Times New Roman" w:hAnsi="Times New Roman" w:cs="Times New Roman"/>
          <w:sz w:val="24"/>
          <w:lang w:val="de-CH"/>
        </w:rPr>
        <w:t xml:space="preserve"> muss das Gesetz ändern, </w:t>
      </w:r>
      <w:r w:rsidR="00E401EB" w:rsidRPr="007B41EB">
        <w:rPr>
          <w:rFonts w:ascii="Times New Roman" w:hAnsi="Times New Roman" w:cs="Times New Roman"/>
          <w:sz w:val="24"/>
          <w:lang w:val="de-CH"/>
        </w:rPr>
        <w:t>«</w:t>
      </w:r>
      <w:r w:rsidR="00CE4217" w:rsidRPr="007B41EB">
        <w:rPr>
          <w:rFonts w:ascii="Times New Roman" w:hAnsi="Times New Roman" w:cs="Times New Roman"/>
          <w:sz w:val="24"/>
          <w:lang w:val="de-CH"/>
        </w:rPr>
        <w:t>ohne dass jemand Anspruch auf Beibehaltung des Gesetzes hätte»</w:t>
      </w:r>
      <w:r w:rsidR="00137E2E">
        <w:rPr>
          <w:rFonts w:ascii="Times New Roman" w:hAnsi="Times New Roman" w:cs="Times New Roman"/>
          <w:sz w:val="24"/>
          <w:lang w:val="de-CH"/>
        </w:rPr>
        <w:t>.</w:t>
      </w:r>
      <w:r w:rsidR="00CE4217" w:rsidRPr="007B41EB">
        <w:rPr>
          <w:rFonts w:ascii="Times New Roman" w:hAnsi="Times New Roman" w:cs="Times New Roman"/>
          <w:sz w:val="24"/>
          <w:lang w:val="de-CH"/>
        </w:rPr>
        <w:t xml:space="preserve"> </w:t>
      </w:r>
      <w:r w:rsidRPr="00137E2E">
        <w:rPr>
          <w:rFonts w:ascii="Times New Roman" w:hAnsi="Times New Roman" w:cs="Times New Roman"/>
          <w:sz w:val="24"/>
          <w:lang w:val="de-CH"/>
        </w:rPr>
        <w:t xml:space="preserve">Dasselbe gilt für die Verwaltung: Sie kann und muss ihre Entscheide durch Widerruf ändern, soweit der Grundsatz der Rechtssicherheit nicht ihre Beibehaltung aufdrängt. </w:t>
      </w:r>
    </w:p>
    <w:p w14:paraId="4D784255" w14:textId="77777777" w:rsidR="00C900ED" w:rsidRPr="00137E2E" w:rsidRDefault="00D73BCC" w:rsidP="00EF7FA7">
      <w:pPr>
        <w:spacing w:line="240" w:lineRule="auto"/>
        <w:jc w:val="both"/>
        <w:rPr>
          <w:rFonts w:ascii="Times New Roman" w:hAnsi="Times New Roman" w:cs="Times New Roman"/>
          <w:sz w:val="24"/>
          <w:lang w:val="de-CH"/>
        </w:rPr>
      </w:pPr>
      <w:r w:rsidRPr="00137E2E">
        <w:rPr>
          <w:rFonts w:ascii="Times New Roman" w:hAnsi="Times New Roman" w:cs="Times New Roman"/>
          <w:sz w:val="24"/>
          <w:lang w:val="de-CH"/>
        </w:rPr>
        <w:t xml:space="preserve">Erworbene Rechte haben eine besondere Grundlage: die Tradition oder die Geschichte; einen verwaltungsrechtlichen Vertrag oder eine Konzession; ein Gesetz oder einen Entscheid. Im vorliegenden Fall kommt nur die 3. Möglichkeit in Frage. Sieht das Gesetz erworbene Rechte vor, so muss es diese als solche kennzeichnen, soll heissen: formell als solche bezeichnen, oder es muss eine Regelung verabschieden, die in materieller Hinsicht ein erworbenes Recht schafft, oder aber es muss angeben, dass das Gesetz in Zukunft nicht geändert wird. </w:t>
      </w:r>
    </w:p>
    <w:p w14:paraId="37511825" w14:textId="199586AE" w:rsidR="00D73BCC" w:rsidRPr="00137E2E" w:rsidRDefault="00D73BCC" w:rsidP="00EF7FA7">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 xml:space="preserve">Im vorliegenden Fall trifft nichts dergleichen zu, denn </w:t>
      </w:r>
      <w:r w:rsidR="00216406" w:rsidRPr="00137E2E">
        <w:rPr>
          <w:rFonts w:ascii="Times New Roman" w:hAnsi="Times New Roman" w:cs="Times New Roman"/>
          <w:sz w:val="24"/>
          <w:lang w:val="de-CH"/>
        </w:rPr>
        <w:t>Artikel </w:t>
      </w:r>
      <w:r w:rsidRPr="00137E2E">
        <w:rPr>
          <w:rFonts w:ascii="Times New Roman" w:hAnsi="Times New Roman" w:cs="Times New Roman"/>
          <w:sz w:val="24"/>
          <w:lang w:val="de-CH"/>
        </w:rPr>
        <w:t xml:space="preserve">8 </w:t>
      </w:r>
      <w:r w:rsidR="00216406" w:rsidRPr="00137E2E">
        <w:rPr>
          <w:rFonts w:ascii="Times New Roman" w:hAnsi="Times New Roman" w:cs="Times New Roman"/>
          <w:sz w:val="24"/>
          <w:lang w:val="de-CH"/>
        </w:rPr>
        <w:t>Abs. </w:t>
      </w:r>
      <w:r w:rsidRPr="00137E2E">
        <w:rPr>
          <w:rFonts w:ascii="Times New Roman" w:hAnsi="Times New Roman" w:cs="Times New Roman"/>
          <w:sz w:val="24"/>
          <w:lang w:val="de-CH"/>
        </w:rPr>
        <w:t xml:space="preserve">1 EUB sieht eine Dauer von genau einem Jahr vor. Im Übrigen sieht die EUB-Regelung kein erworbenes Recht vor, obwohl der Anspruch erneuerbar ist, wenn die Anforderungen erfüllt sind. Ein Entscheid wiederum kann zu ähnlichen Bedingungen ein erworbenes Recht schaffen wie das Gesetz. So muss sich die Behörde, die den Entscheid fällt, in diesem dazu verpflichten, dass er im Falle einer Gesetzesänderung nicht geändert wird; sie kann dies jedoch nur tun, wenn sie das Gesetz </w:t>
      </w:r>
      <w:r w:rsidRPr="00137E2E">
        <w:rPr>
          <w:rFonts w:ascii="Times New Roman" w:hAnsi="Times New Roman" w:cs="Times New Roman"/>
          <w:sz w:val="24"/>
          <w:lang w:val="de-CH"/>
        </w:rPr>
        <w:lastRenderedPageBreak/>
        <w:t>dazu ermächtigt. Im vorliegenden Fall trifft dies nicht zu; den Entscheiden, die in Anwendung des EUB gefällt werden, ist eindeutig zu entnehmen, dass sie nur für ein Jahr gültig sind.</w:t>
      </w:r>
      <w:r w:rsidRPr="00137E2E">
        <w:rPr>
          <w:rStyle w:val="Appelnotedebasdep"/>
          <w:rFonts w:ascii="Times New Roman" w:hAnsi="Times New Roman" w:cs="Times New Roman"/>
          <w:sz w:val="24"/>
          <w:lang w:val="de-CH"/>
        </w:rPr>
        <w:footnoteReference w:id="27"/>
      </w:r>
      <w:r w:rsidRPr="00137E2E">
        <w:rPr>
          <w:rFonts w:ascii="Times New Roman" w:hAnsi="Times New Roman" w:cs="Times New Roman"/>
          <w:sz w:val="24"/>
          <w:lang w:val="de-CH"/>
        </w:rPr>
        <w:t xml:space="preserve"> </w:t>
      </w:r>
    </w:p>
    <w:p w14:paraId="3D1808FA" w14:textId="77777777" w:rsidR="00D73BCC" w:rsidRPr="00137E2E" w:rsidRDefault="00D73BCC" w:rsidP="00D73BCC">
      <w:pPr>
        <w:spacing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 xml:space="preserve">Demnach existieren im EUB keine erworbenen Rechte. Die Bevorschussung, die derzeit im Rahmen des aktuellen Rechtes zugunsten der Ehegatten und Ex-Ehegatten erfolgt, endet somit mit Inkrafttreten des vorliegenden Gesetzes. </w:t>
      </w:r>
    </w:p>
    <w:p w14:paraId="5E1D27E0" w14:textId="77777777" w:rsidR="004373EA" w:rsidRPr="00137E2E" w:rsidRDefault="00CD751B" w:rsidP="003237C8">
      <w:pPr>
        <w:pStyle w:val="Titre1"/>
        <w:jc w:val="both"/>
        <w:rPr>
          <w:lang w:val="de-CH"/>
        </w:rPr>
      </w:pPr>
      <w:bookmarkStart w:id="20" w:name="_Toc49330781"/>
      <w:r w:rsidRPr="00137E2E">
        <w:rPr>
          <w:lang w:val="de-CH"/>
        </w:rPr>
        <w:t>7. Finanzielle und personelle Auswirkungen</w:t>
      </w:r>
      <w:bookmarkEnd w:id="20"/>
      <w:r w:rsidRPr="00137E2E">
        <w:rPr>
          <w:lang w:val="de-CH"/>
        </w:rPr>
        <w:t xml:space="preserve"> </w:t>
      </w:r>
    </w:p>
    <w:p w14:paraId="1F8F9A0A" w14:textId="77777777" w:rsidR="001D5475" w:rsidRPr="00137E2E" w:rsidRDefault="001D5475" w:rsidP="001D5475">
      <w:pPr>
        <w:pStyle w:val="06atexteprincipal"/>
        <w:spacing w:line="240" w:lineRule="auto"/>
        <w:jc w:val="both"/>
        <w:rPr>
          <w:i/>
          <w:spacing w:val="2"/>
          <w:lang w:val="de-CH" w:eastAsia="en-US"/>
        </w:rPr>
      </w:pPr>
      <w:r w:rsidRPr="00137E2E">
        <w:rPr>
          <w:i/>
          <w:spacing w:val="2"/>
          <w:lang w:val="de-CH"/>
        </w:rPr>
        <w:t xml:space="preserve">Finanzielle Auswirkungen </w:t>
      </w:r>
    </w:p>
    <w:p w14:paraId="6315270E" w14:textId="1E67109A" w:rsidR="001D5475" w:rsidRPr="00137E2E" w:rsidRDefault="001D5475" w:rsidP="001D5475">
      <w:pPr>
        <w:pStyle w:val="06atexteprincipal"/>
        <w:spacing w:line="240" w:lineRule="auto"/>
        <w:jc w:val="both"/>
        <w:rPr>
          <w:spacing w:val="2"/>
          <w:lang w:val="de-CH" w:eastAsia="en-US"/>
        </w:rPr>
      </w:pPr>
      <w:r w:rsidRPr="00137E2E">
        <w:rPr>
          <w:spacing w:val="2"/>
          <w:lang w:val="de-CH"/>
        </w:rPr>
        <w:t xml:space="preserve">Aus </w:t>
      </w:r>
      <w:r w:rsidR="00216406" w:rsidRPr="00137E2E">
        <w:rPr>
          <w:spacing w:val="2"/>
          <w:lang w:val="de-CH"/>
        </w:rPr>
        <w:t>Artikel </w:t>
      </w:r>
      <w:r w:rsidR="00BE7A45">
        <w:rPr>
          <w:spacing w:val="2"/>
          <w:lang w:val="de-CH"/>
        </w:rPr>
        <w:t>9</w:t>
      </w:r>
      <w:r w:rsidRPr="00137E2E">
        <w:rPr>
          <w:spacing w:val="2"/>
          <w:lang w:val="de-CH"/>
        </w:rPr>
        <w:t xml:space="preserve"> geht hervor, dass für die Bevorschussung von Unterhaltsbeiträgen eine doppelte Grenze gilt: die Höhe des Unterhaltsbeitrags gemäss Unterhaltstitel (Urteil oder Vertrag) sowie die Obergrenze nach kantonalem Recht. </w:t>
      </w:r>
      <w:r w:rsidR="00FE2F09">
        <w:rPr>
          <w:spacing w:val="2"/>
          <w:lang w:val="de-CH"/>
        </w:rPr>
        <w:t>D</w:t>
      </w:r>
      <w:r w:rsidR="00FE2F09" w:rsidRPr="00137E2E">
        <w:rPr>
          <w:spacing w:val="2"/>
          <w:lang w:val="de-CH"/>
        </w:rPr>
        <w:t xml:space="preserve">er Entwurf </w:t>
      </w:r>
      <w:r w:rsidRPr="00137E2E">
        <w:rPr>
          <w:spacing w:val="2"/>
          <w:lang w:val="de-CH"/>
        </w:rPr>
        <w:t>sieht eine Obergrenze von 650</w:t>
      </w:r>
      <w:r w:rsidR="00FD7FEE" w:rsidRPr="00137E2E">
        <w:rPr>
          <w:spacing w:val="2"/>
          <w:lang w:val="de-CH"/>
        </w:rPr>
        <w:t> Franken</w:t>
      </w:r>
      <w:r w:rsidRPr="00137E2E">
        <w:rPr>
          <w:spacing w:val="2"/>
          <w:lang w:val="de-CH"/>
        </w:rPr>
        <w:t xml:space="preserve"> pro Kind vor. Die Unterhaltsbeit</w:t>
      </w:r>
      <w:r w:rsidR="00C900ED" w:rsidRPr="00137E2E">
        <w:rPr>
          <w:spacing w:val="2"/>
          <w:lang w:val="de-CH"/>
        </w:rPr>
        <w:t>räge zugunsten der derzeit 1250 </w:t>
      </w:r>
      <w:r w:rsidRPr="00137E2E">
        <w:rPr>
          <w:spacing w:val="2"/>
          <w:lang w:val="de-CH"/>
        </w:rPr>
        <w:t>Bevorschussungsbeziehenden erzielen bei Weitem nicht alle die Grenze von 650</w:t>
      </w:r>
      <w:r w:rsidR="00FD7FEE" w:rsidRPr="00137E2E">
        <w:rPr>
          <w:spacing w:val="2"/>
          <w:lang w:val="de-CH"/>
        </w:rPr>
        <w:t> Franken</w:t>
      </w:r>
      <w:r w:rsidRPr="00137E2E">
        <w:rPr>
          <w:spacing w:val="2"/>
          <w:lang w:val="de-CH"/>
        </w:rPr>
        <w:t>, ja liegen teilweise sogar unter 400</w:t>
      </w:r>
      <w:r w:rsidR="00FD7FEE" w:rsidRPr="00137E2E">
        <w:rPr>
          <w:spacing w:val="2"/>
          <w:lang w:val="de-CH"/>
        </w:rPr>
        <w:t> Franken</w:t>
      </w:r>
      <w:r w:rsidRPr="00137E2E">
        <w:rPr>
          <w:spacing w:val="2"/>
          <w:lang w:val="de-CH"/>
        </w:rPr>
        <w:t xml:space="preserve">. </w:t>
      </w:r>
    </w:p>
    <w:p w14:paraId="045BBE28" w14:textId="0E9C20CC" w:rsidR="001D5475" w:rsidRPr="00137E2E" w:rsidRDefault="001D5475" w:rsidP="001D5475">
      <w:pPr>
        <w:pStyle w:val="06atexteprincipal"/>
        <w:spacing w:line="240" w:lineRule="auto"/>
        <w:jc w:val="both"/>
        <w:rPr>
          <w:lang w:val="de-CH"/>
        </w:rPr>
      </w:pPr>
      <w:r w:rsidRPr="00137E2E">
        <w:rPr>
          <w:spacing w:val="2"/>
          <w:lang w:val="de-CH"/>
        </w:rPr>
        <w:t>Laut Hochrechnungen könnte der Entwurf Bevorschussungs</w:t>
      </w:r>
      <w:r w:rsidR="00216406" w:rsidRPr="00137E2E">
        <w:rPr>
          <w:spacing w:val="2"/>
          <w:lang w:val="de-CH"/>
        </w:rPr>
        <w:t>überweisungen in Höhe von 7</w:t>
      </w:r>
      <w:r w:rsidR="00CE4217" w:rsidRPr="00137E2E">
        <w:rPr>
          <w:spacing w:val="2"/>
          <w:lang w:val="de-CH"/>
        </w:rPr>
        <w:t> </w:t>
      </w:r>
      <w:r w:rsidR="00216406" w:rsidRPr="00137E2E">
        <w:rPr>
          <w:spacing w:val="2"/>
          <w:lang w:val="de-CH"/>
        </w:rPr>
        <w:t>790 </w:t>
      </w:r>
      <w:r w:rsidRPr="00137E2E">
        <w:rPr>
          <w:spacing w:val="2"/>
          <w:lang w:val="de-CH"/>
        </w:rPr>
        <w:t>000</w:t>
      </w:r>
      <w:r w:rsidR="00FD7FEE" w:rsidRPr="00137E2E">
        <w:rPr>
          <w:spacing w:val="2"/>
          <w:lang w:val="de-CH"/>
        </w:rPr>
        <w:t> Franken</w:t>
      </w:r>
      <w:r w:rsidRPr="00137E2E">
        <w:rPr>
          <w:spacing w:val="2"/>
          <w:lang w:val="de-CH"/>
        </w:rPr>
        <w:t xml:space="preserve"> zur Folge haben, was verglichen mit der derzeitigen jährl</w:t>
      </w:r>
      <w:r w:rsidR="00FD7FEE" w:rsidRPr="00137E2E">
        <w:rPr>
          <w:spacing w:val="2"/>
          <w:lang w:val="de-CH"/>
        </w:rPr>
        <w:t>ichen Ausgabe von 5 890 </w:t>
      </w:r>
      <w:r w:rsidRPr="00137E2E">
        <w:rPr>
          <w:spacing w:val="2"/>
          <w:lang w:val="de-CH"/>
        </w:rPr>
        <w:t>000</w:t>
      </w:r>
      <w:r w:rsidR="00FD7FEE" w:rsidRPr="00137E2E">
        <w:rPr>
          <w:spacing w:val="2"/>
          <w:lang w:val="de-CH"/>
        </w:rPr>
        <w:t> Franken</w:t>
      </w:r>
      <w:r w:rsidR="00216406" w:rsidRPr="00137E2E">
        <w:rPr>
          <w:spacing w:val="2"/>
          <w:lang w:val="de-CH"/>
        </w:rPr>
        <w:t xml:space="preserve"> (Position </w:t>
      </w:r>
      <w:r w:rsidRPr="00137E2E">
        <w:rPr>
          <w:spacing w:val="2"/>
          <w:lang w:val="de-CH"/>
        </w:rPr>
        <w:t>3637.201 der Rechnung</w:t>
      </w:r>
      <w:r w:rsidR="00FD7FEE" w:rsidRPr="00137E2E">
        <w:rPr>
          <w:spacing w:val="2"/>
          <w:lang w:val="de-CH"/>
        </w:rPr>
        <w:t> 20</w:t>
      </w:r>
      <w:r w:rsidRPr="00137E2E">
        <w:rPr>
          <w:spacing w:val="2"/>
          <w:lang w:val="de-CH"/>
        </w:rPr>
        <w:t>19 des Staates Freiburg)</w:t>
      </w:r>
      <w:r w:rsidR="00216406" w:rsidRPr="00137E2E">
        <w:rPr>
          <w:spacing w:val="2"/>
          <w:lang w:val="de-CH"/>
        </w:rPr>
        <w:t xml:space="preserve"> einem jährlichen Anstieg von 1 900 </w:t>
      </w:r>
      <w:r w:rsidRPr="00137E2E">
        <w:rPr>
          <w:spacing w:val="2"/>
          <w:lang w:val="de-CH"/>
        </w:rPr>
        <w:t>0</w:t>
      </w:r>
      <w:r w:rsidR="00064878" w:rsidRPr="00137E2E">
        <w:rPr>
          <w:spacing w:val="2"/>
          <w:lang w:val="de-CH"/>
        </w:rPr>
        <w:t>00</w:t>
      </w:r>
      <w:r w:rsidR="00FD7FEE" w:rsidRPr="00137E2E">
        <w:rPr>
          <w:spacing w:val="2"/>
          <w:lang w:val="de-CH"/>
        </w:rPr>
        <w:t> Franken</w:t>
      </w:r>
      <w:r w:rsidR="00064878" w:rsidRPr="00137E2E">
        <w:rPr>
          <w:spacing w:val="2"/>
          <w:lang w:val="de-CH"/>
        </w:rPr>
        <w:t xml:space="preserve"> entspricht. Hinweis:</w:t>
      </w:r>
      <w:r w:rsidRPr="00137E2E">
        <w:rPr>
          <w:spacing w:val="2"/>
          <w:lang w:val="de-CH"/>
        </w:rPr>
        <w:t xml:space="preserve"> Die Ersparnis </w:t>
      </w:r>
      <w:r w:rsidR="00FD7FEE" w:rsidRPr="00137E2E">
        <w:rPr>
          <w:spacing w:val="2"/>
          <w:lang w:val="de-CH"/>
        </w:rPr>
        <w:t>in Höhe von schätzungsweise 190 </w:t>
      </w:r>
      <w:r w:rsidRPr="00137E2E">
        <w:rPr>
          <w:spacing w:val="2"/>
          <w:lang w:val="de-CH"/>
        </w:rPr>
        <w:t>000</w:t>
      </w:r>
      <w:r w:rsidR="00FD7FEE" w:rsidRPr="00137E2E">
        <w:rPr>
          <w:spacing w:val="2"/>
          <w:lang w:val="de-CH"/>
        </w:rPr>
        <w:t> Franken</w:t>
      </w:r>
      <w:r w:rsidRPr="00137E2E">
        <w:rPr>
          <w:spacing w:val="2"/>
          <w:lang w:val="de-CH"/>
        </w:rPr>
        <w:t xml:space="preserve">/Jahr, die durch die Abschaffung der Bevorschussung zugunsten der Ehegatten und Ex-Ehegatten erzielt wird, wurde bereits von diesem Betrag abgezogen, </w:t>
      </w:r>
      <w:r w:rsidRPr="00137E2E">
        <w:rPr>
          <w:lang w:val="de-CH"/>
        </w:rPr>
        <w:t>jedoch nicht das Inkasso der</w:t>
      </w:r>
      <w:r w:rsidRPr="00137E2E">
        <w:rPr>
          <w:spacing w:val="2"/>
          <w:lang w:val="de-CH"/>
        </w:rPr>
        <w:t xml:space="preserve"> </w:t>
      </w:r>
      <w:r w:rsidRPr="00137E2E">
        <w:rPr>
          <w:lang w:val="de-CH"/>
        </w:rPr>
        <w:t>Vorschüsse bei den unterhaltspflichtigen Personen. Anhand von Schätzungen aufgrund des aktuellen Inkassos könnt</w:t>
      </w:r>
      <w:r w:rsidR="00FD7FEE" w:rsidRPr="00137E2E">
        <w:rPr>
          <w:lang w:val="de-CH"/>
        </w:rPr>
        <w:t xml:space="preserve">en </w:t>
      </w:r>
      <w:r w:rsidRPr="00137E2E">
        <w:rPr>
          <w:lang w:val="de-CH"/>
        </w:rPr>
        <w:t>4</w:t>
      </w:r>
      <w:r w:rsidR="00FD7FEE" w:rsidRPr="00137E2E">
        <w:rPr>
          <w:lang w:val="de-CH"/>
        </w:rPr>
        <w:t>00 </w:t>
      </w:r>
      <w:r w:rsidRPr="00137E2E">
        <w:rPr>
          <w:lang w:val="de-CH"/>
        </w:rPr>
        <w:t>000</w:t>
      </w:r>
      <w:r w:rsidR="00FD7FEE" w:rsidRPr="00137E2E">
        <w:rPr>
          <w:lang w:val="de-CH"/>
        </w:rPr>
        <w:t> Franken</w:t>
      </w:r>
      <w:r w:rsidRPr="00137E2E">
        <w:rPr>
          <w:lang w:val="de-CH"/>
        </w:rPr>
        <w:t xml:space="preserve"> eingetrieben werden. </w:t>
      </w:r>
    </w:p>
    <w:p w14:paraId="4E9AAB7E" w14:textId="2088D0D7" w:rsidR="001D5475" w:rsidRPr="00137E2E" w:rsidRDefault="001D5475" w:rsidP="001D5475">
      <w:pPr>
        <w:pStyle w:val="06atexteprincipal"/>
        <w:spacing w:line="240" w:lineRule="auto"/>
        <w:jc w:val="both"/>
        <w:rPr>
          <w:lang w:val="de-CH"/>
        </w:rPr>
      </w:pPr>
      <w:r w:rsidRPr="00137E2E">
        <w:rPr>
          <w:lang w:val="de-CH"/>
        </w:rPr>
        <w:t>Es</w:t>
      </w:r>
      <w:r w:rsidR="00216406" w:rsidRPr="00137E2E">
        <w:rPr>
          <w:lang w:val="de-CH"/>
        </w:rPr>
        <w:t xml:space="preserve"> bliebe somit ein Anstieg von 1 500 </w:t>
      </w:r>
      <w:r w:rsidRPr="00137E2E">
        <w:rPr>
          <w:lang w:val="de-CH"/>
        </w:rPr>
        <w:t>000</w:t>
      </w:r>
      <w:r w:rsidR="00FD7FEE" w:rsidRPr="00137E2E">
        <w:rPr>
          <w:lang w:val="de-CH"/>
        </w:rPr>
        <w:t> Franken</w:t>
      </w:r>
      <w:r w:rsidRPr="00137E2E">
        <w:rPr>
          <w:lang w:val="de-CH"/>
        </w:rPr>
        <w:t xml:space="preserve"> zulasten von Kanton und Gemeinden, der jeweils zur Hälfte unter diesen aufgeteilt werden würde. Folglich betrüge der Anstieg sowohl zulasten des Kantons als auch</w:t>
      </w:r>
      <w:r w:rsidR="00216406" w:rsidRPr="00137E2E">
        <w:rPr>
          <w:lang w:val="de-CH"/>
        </w:rPr>
        <w:t xml:space="preserve"> der Gemeinden 750 </w:t>
      </w:r>
      <w:r w:rsidRPr="00137E2E">
        <w:rPr>
          <w:lang w:val="de-CH"/>
        </w:rPr>
        <w:t>000</w:t>
      </w:r>
      <w:r w:rsidR="00FD7FEE" w:rsidRPr="00137E2E">
        <w:rPr>
          <w:lang w:val="de-CH"/>
        </w:rPr>
        <w:t> Franken</w:t>
      </w:r>
      <w:r w:rsidRPr="00137E2E">
        <w:rPr>
          <w:lang w:val="de-CH"/>
        </w:rPr>
        <w:t>, das sind 47</w:t>
      </w:r>
      <w:r w:rsidR="00FD7FEE" w:rsidRPr="00137E2E">
        <w:rPr>
          <w:lang w:val="de-CH"/>
        </w:rPr>
        <w:t> %</w:t>
      </w:r>
      <w:r w:rsidRPr="00137E2E">
        <w:rPr>
          <w:lang w:val="de-CH"/>
        </w:rPr>
        <w:t xml:space="preserve"> mehr im Vergleich zur Rechnung</w:t>
      </w:r>
      <w:r w:rsidR="00FD7FEE" w:rsidRPr="00137E2E">
        <w:rPr>
          <w:lang w:val="de-CH"/>
        </w:rPr>
        <w:t> 20</w:t>
      </w:r>
      <w:r w:rsidRPr="00137E2E">
        <w:rPr>
          <w:lang w:val="de-CH"/>
        </w:rPr>
        <w:t>19.</w:t>
      </w:r>
      <w:r w:rsidRPr="00137E2E">
        <w:rPr>
          <w:rStyle w:val="Appelnotedebasdep"/>
          <w:lang w:val="de-CH"/>
        </w:rPr>
        <w:footnoteReference w:id="28"/>
      </w:r>
      <w:r w:rsidRPr="00137E2E">
        <w:rPr>
          <w:lang w:val="de-CH"/>
        </w:rPr>
        <w:t xml:space="preserve"> </w:t>
      </w:r>
      <w:r w:rsidR="007846EF">
        <w:rPr>
          <w:lang w:val="de-CH"/>
        </w:rPr>
        <w:t>Dabei jedoch nicht berücksichtigt ist der Betrag, der bei der Sozialhilfe gespart werden kann. Gewisse Personen, die Vorschüsse für Unterhaltsbeiträge erhalten, beziehen ebenfalls Sozialhilfe. Durch die Erhöhung der Vorschüsse werden sie auf weniger Sozialhilfe angewiesen sein (</w:t>
      </w:r>
      <w:hyperlink r:id="rId8" w:tooltip="Prinzip" w:history="1">
        <w:r w:rsidR="007846EF" w:rsidRPr="007B41EB">
          <w:rPr>
            <w:lang w:val="de-CH"/>
          </w:rPr>
          <w:t>Prinzip</w:t>
        </w:r>
      </w:hyperlink>
      <w:r w:rsidR="007846EF">
        <w:rPr>
          <w:lang w:val="de-CH"/>
        </w:rPr>
        <w:t xml:space="preserve"> </w:t>
      </w:r>
      <w:r w:rsidR="007846EF" w:rsidRPr="007B41EB">
        <w:rPr>
          <w:lang w:val="de-CH"/>
        </w:rPr>
        <w:t xml:space="preserve">der kommunizierenden Gefässe). Die diesbezüglichen Einsparungen sind </w:t>
      </w:r>
      <w:r w:rsidR="007846EF">
        <w:rPr>
          <w:lang w:val="de-CH"/>
        </w:rPr>
        <w:t>schwierig</w:t>
      </w:r>
      <w:r w:rsidR="007846EF" w:rsidRPr="007B41EB">
        <w:rPr>
          <w:lang w:val="de-CH"/>
        </w:rPr>
        <w:t xml:space="preserve"> einzuschätzen, müssten aber in</w:t>
      </w:r>
      <w:r w:rsidR="007846EF">
        <w:rPr>
          <w:lang w:val="de-CH"/>
        </w:rPr>
        <w:t>s</w:t>
      </w:r>
      <w:r w:rsidR="007846EF" w:rsidRPr="007B41EB">
        <w:rPr>
          <w:lang w:val="de-CH"/>
        </w:rPr>
        <w:t xml:space="preserve">gesamt </w:t>
      </w:r>
      <w:r w:rsidR="007846EF">
        <w:rPr>
          <w:lang w:val="de-CH"/>
        </w:rPr>
        <w:t>mehrere hundert tausend Franken betragen</w:t>
      </w:r>
      <w:r w:rsidR="007846EF" w:rsidRPr="007B41EB">
        <w:rPr>
          <w:lang w:val="de-CH"/>
        </w:rPr>
        <w:t>.</w:t>
      </w:r>
    </w:p>
    <w:p w14:paraId="1EB1EC00" w14:textId="4FD8014B" w:rsidR="001D5475" w:rsidRPr="00137E2E" w:rsidRDefault="00D53055" w:rsidP="001D5475">
      <w:pPr>
        <w:pStyle w:val="06atexteprincipal"/>
        <w:spacing w:line="240" w:lineRule="auto"/>
        <w:jc w:val="both"/>
        <w:rPr>
          <w:lang w:val="de-CH"/>
        </w:rPr>
      </w:pPr>
      <w:r>
        <w:rPr>
          <w:lang w:val="de-CH"/>
        </w:rPr>
        <w:t>Bei</w:t>
      </w:r>
      <w:r w:rsidR="00216406" w:rsidRPr="00137E2E">
        <w:rPr>
          <w:lang w:val="de-CH"/>
        </w:rPr>
        <w:t xml:space="preserve"> den Ausgaben </w:t>
      </w:r>
      <w:r>
        <w:rPr>
          <w:lang w:val="de-CH"/>
        </w:rPr>
        <w:t xml:space="preserve">würden </w:t>
      </w:r>
      <w:r w:rsidR="00216406" w:rsidRPr="00137E2E">
        <w:rPr>
          <w:lang w:val="de-CH"/>
        </w:rPr>
        <w:t>insgesamt 7 790 </w:t>
      </w:r>
      <w:r w:rsidR="001D5475" w:rsidRPr="00137E2E">
        <w:rPr>
          <w:lang w:val="de-CH"/>
        </w:rPr>
        <w:t>000</w:t>
      </w:r>
      <w:r w:rsidR="00FD7FEE" w:rsidRPr="00137E2E">
        <w:rPr>
          <w:lang w:val="de-CH"/>
        </w:rPr>
        <w:t> Franken</w:t>
      </w:r>
      <w:r w:rsidR="001D5475" w:rsidRPr="00137E2E">
        <w:rPr>
          <w:lang w:val="de-CH"/>
        </w:rPr>
        <w:t xml:space="preserve"> unter Posi</w:t>
      </w:r>
      <w:r w:rsidR="00216406" w:rsidRPr="00137E2E">
        <w:rPr>
          <w:lang w:val="de-CH"/>
        </w:rPr>
        <w:t>tion 3637.201 verbucht, wovon 3 105 </w:t>
      </w:r>
      <w:r w:rsidR="001D5475" w:rsidRPr="00137E2E">
        <w:rPr>
          <w:lang w:val="de-CH"/>
        </w:rPr>
        <w:t>000</w:t>
      </w:r>
      <w:r w:rsidR="00FD7FEE" w:rsidRPr="00137E2E">
        <w:rPr>
          <w:lang w:val="de-CH"/>
        </w:rPr>
        <w:t> Franken</w:t>
      </w:r>
      <w:r w:rsidR="00216406" w:rsidRPr="00137E2E">
        <w:rPr>
          <w:lang w:val="de-CH"/>
        </w:rPr>
        <w:t xml:space="preserve"> Einnahmen unter Position </w:t>
      </w:r>
      <w:r w:rsidR="001D5475" w:rsidRPr="00137E2E">
        <w:rPr>
          <w:lang w:val="de-CH"/>
        </w:rPr>
        <w:t>4260.201 abzuziehen sind, was schl</w:t>
      </w:r>
      <w:r w:rsidR="00216406" w:rsidRPr="00137E2E">
        <w:rPr>
          <w:lang w:val="de-CH"/>
        </w:rPr>
        <w:t>iesslich einen Betrag von 4 685 </w:t>
      </w:r>
      <w:r w:rsidR="001D5475" w:rsidRPr="00137E2E">
        <w:rPr>
          <w:lang w:val="de-CH"/>
        </w:rPr>
        <w:t>000</w:t>
      </w:r>
      <w:r w:rsidR="00FD7FEE" w:rsidRPr="00137E2E">
        <w:rPr>
          <w:lang w:val="de-CH"/>
        </w:rPr>
        <w:t> Franken</w:t>
      </w:r>
      <w:r w:rsidR="001D5475" w:rsidRPr="00137E2E">
        <w:rPr>
          <w:lang w:val="de-CH"/>
        </w:rPr>
        <w:t xml:space="preserve"> zulasten des Kantons und der Gemeinden ergibt</w:t>
      </w:r>
      <w:r w:rsidR="00216406" w:rsidRPr="00137E2E">
        <w:rPr>
          <w:lang w:val="de-CH"/>
        </w:rPr>
        <w:t>, oder anders gesagt: jeweils 2 342 </w:t>
      </w:r>
      <w:r w:rsidR="001D5475" w:rsidRPr="00137E2E">
        <w:rPr>
          <w:lang w:val="de-CH"/>
        </w:rPr>
        <w:t>500</w:t>
      </w:r>
      <w:r w:rsidR="00FD7FEE" w:rsidRPr="00137E2E">
        <w:rPr>
          <w:lang w:val="de-CH"/>
        </w:rPr>
        <w:t> Franken</w:t>
      </w:r>
      <w:r w:rsidR="007846EF">
        <w:rPr>
          <w:lang w:val="de-CH"/>
        </w:rPr>
        <w:t xml:space="preserve"> zulasten beider.</w:t>
      </w:r>
    </w:p>
    <w:p w14:paraId="40A92A80" w14:textId="77777777" w:rsidR="00C900ED" w:rsidRPr="00137E2E" w:rsidRDefault="00C900ED" w:rsidP="001D5475">
      <w:pPr>
        <w:pStyle w:val="06atexteprincipal"/>
        <w:spacing w:line="240" w:lineRule="auto"/>
        <w:jc w:val="both"/>
        <w:rPr>
          <w:lang w:val="de-CH"/>
        </w:rPr>
      </w:pPr>
    </w:p>
    <w:p w14:paraId="6732F548" w14:textId="77777777" w:rsidR="001D5475" w:rsidRPr="00137E2E" w:rsidRDefault="001D5475" w:rsidP="003237C8">
      <w:pPr>
        <w:pStyle w:val="06atexteprincipal"/>
        <w:spacing w:line="240" w:lineRule="auto"/>
        <w:jc w:val="both"/>
        <w:rPr>
          <w:i/>
          <w:spacing w:val="2"/>
          <w:lang w:val="de-CH" w:eastAsia="en-US"/>
        </w:rPr>
      </w:pPr>
      <w:r w:rsidRPr="00137E2E">
        <w:rPr>
          <w:i/>
          <w:spacing w:val="2"/>
          <w:lang w:val="de-CH"/>
        </w:rPr>
        <w:t xml:space="preserve">Personelle Auswirkungen </w:t>
      </w:r>
    </w:p>
    <w:p w14:paraId="28F8AF7D" w14:textId="77777777" w:rsidR="00B16D32" w:rsidRPr="00137E2E" w:rsidRDefault="00AD55FE" w:rsidP="003237C8">
      <w:pPr>
        <w:pStyle w:val="06atexteprincipal"/>
        <w:spacing w:line="240" w:lineRule="auto"/>
        <w:jc w:val="both"/>
        <w:rPr>
          <w:spacing w:val="2"/>
          <w:lang w:val="de-CH" w:eastAsia="en-US"/>
        </w:rPr>
      </w:pPr>
      <w:r w:rsidRPr="00137E2E">
        <w:rPr>
          <w:spacing w:val="2"/>
          <w:lang w:val="de-CH"/>
        </w:rPr>
        <w:t xml:space="preserve">Das Inkrafttreten der InkHV dürfte einen erheblichen Anstieg des Arbeitsaufwands der zuständigen Behörde nach sich ziehen, zumal Letzterer neue Aufgaben auferlegt werden: </w:t>
      </w:r>
    </w:p>
    <w:p w14:paraId="1DB918D0" w14:textId="1A04713F" w:rsidR="00DF1453" w:rsidRPr="00137E2E" w:rsidRDefault="00262233" w:rsidP="002B1FCF">
      <w:pPr>
        <w:pStyle w:val="06atexteprincipal"/>
        <w:numPr>
          <w:ilvl w:val="0"/>
          <w:numId w:val="46"/>
        </w:numPr>
        <w:spacing w:line="240" w:lineRule="auto"/>
        <w:jc w:val="both"/>
        <w:rPr>
          <w:spacing w:val="2"/>
          <w:lang w:val="de-CH" w:eastAsia="en-US"/>
        </w:rPr>
      </w:pPr>
      <w:r w:rsidRPr="00137E2E">
        <w:rPr>
          <w:spacing w:val="2"/>
          <w:lang w:val="de-CH"/>
        </w:rPr>
        <w:lastRenderedPageBreak/>
        <w:t>Neu werden persönliche Beratungsgespräche mit der unterhaltsberechtigten Person geführt werden müsse</w:t>
      </w:r>
      <w:r w:rsidR="00216406" w:rsidRPr="00137E2E">
        <w:rPr>
          <w:spacing w:val="2"/>
          <w:lang w:val="de-CH"/>
        </w:rPr>
        <w:t>n. Dies werden pro Jahr ca. 225 </w:t>
      </w:r>
      <w:r w:rsidRPr="00137E2E">
        <w:rPr>
          <w:spacing w:val="2"/>
          <w:lang w:val="de-CH"/>
        </w:rPr>
        <w:t xml:space="preserve">Gespräche sein (zwischen 2015 und 2019 wurden im Durchschnitt 221 neue Dossiers pro Jahr eröffnet), die – inkl. damit verbundene Aufgaben (darunter die Vorbereitungszeit) – schätzungsweise durchschnittlich jeweils zwei Stunden dauern werden. </w:t>
      </w:r>
    </w:p>
    <w:p w14:paraId="7304FAF8" w14:textId="77777777" w:rsidR="00C900ED" w:rsidRPr="00137E2E" w:rsidRDefault="005A3734" w:rsidP="00166E83">
      <w:pPr>
        <w:pStyle w:val="06atexteprincipal"/>
        <w:spacing w:line="240" w:lineRule="auto"/>
        <w:ind w:left="709"/>
        <w:jc w:val="both"/>
        <w:rPr>
          <w:spacing w:val="2"/>
          <w:lang w:val="de-CH"/>
        </w:rPr>
      </w:pPr>
      <w:r w:rsidRPr="00137E2E">
        <w:rPr>
          <w:spacing w:val="2"/>
          <w:lang w:val="de-CH"/>
        </w:rPr>
        <w:t>Die InkHV sieht ferner als Leistung der Fachstelle die Kontaktaufnahme mit der unterhalt</w:t>
      </w:r>
      <w:r w:rsidR="00064878" w:rsidRPr="00137E2E">
        <w:rPr>
          <w:spacing w:val="2"/>
          <w:lang w:val="de-CH"/>
        </w:rPr>
        <w:t>s</w:t>
      </w:r>
      <w:r w:rsidRPr="00137E2E">
        <w:rPr>
          <w:spacing w:val="2"/>
          <w:lang w:val="de-CH"/>
        </w:rPr>
        <w:t xml:space="preserve">pflichtigen Person vor. Dies geschieht in der Regel mit einem Brief, in dem die unterhaltspflichtige Person informiert wird, dass die Fachstelle im Zusammenhang mit einem Antrag um Inkassohilfe angerufen wurde und ab diesem Zeitpunkt alle Überweisungen auf das Konto der Fachstelle zu tätigen sind. So sieht die aktuelle Praxis des KSA aus. Die Möglichkeit des persönlichen Gesprächs mit der unterhaltspflichtigen Person ist jedoch mit </w:t>
      </w:r>
      <w:r w:rsidR="00216406" w:rsidRPr="00137E2E">
        <w:rPr>
          <w:spacing w:val="2"/>
          <w:lang w:val="de-CH"/>
        </w:rPr>
        <w:t>Artikel </w:t>
      </w:r>
      <w:r w:rsidRPr="00137E2E">
        <w:rPr>
          <w:spacing w:val="2"/>
          <w:lang w:val="de-CH"/>
        </w:rPr>
        <w:t xml:space="preserve">12 </w:t>
      </w:r>
      <w:r w:rsidR="00216406" w:rsidRPr="00137E2E">
        <w:rPr>
          <w:spacing w:val="2"/>
          <w:lang w:val="de-CH"/>
        </w:rPr>
        <w:t>Abs. </w:t>
      </w:r>
      <w:r w:rsidRPr="00137E2E">
        <w:rPr>
          <w:spacing w:val="2"/>
          <w:lang w:val="de-CH"/>
        </w:rPr>
        <w:t xml:space="preserve">3 InkHV gegeben; dieser überlässt der Fachstelle die Möglichkeit, weitere Leistungen als diejenigen in </w:t>
      </w:r>
      <w:r w:rsidR="00216406" w:rsidRPr="00137E2E">
        <w:rPr>
          <w:spacing w:val="2"/>
          <w:lang w:val="de-CH"/>
        </w:rPr>
        <w:t>Abs. </w:t>
      </w:r>
      <w:r w:rsidRPr="00137E2E">
        <w:rPr>
          <w:spacing w:val="2"/>
          <w:lang w:val="de-CH"/>
        </w:rPr>
        <w:t>1 und 2 anzubieten. Gemäss erläuterndem Bericht über die InkHV haben die befragten Fachleute unterstrichen, wie wichtig in gewissen Situationen die Möglichkeit für die unterhalt</w:t>
      </w:r>
      <w:r w:rsidR="00064878" w:rsidRPr="00137E2E">
        <w:rPr>
          <w:spacing w:val="2"/>
          <w:lang w:val="de-CH"/>
        </w:rPr>
        <w:t>s</w:t>
      </w:r>
      <w:r w:rsidRPr="00137E2E">
        <w:rPr>
          <w:spacing w:val="2"/>
          <w:lang w:val="de-CH"/>
        </w:rPr>
        <w:t>pflichtige Person ist, ihre Argumente darzulegen und zu realisieren, dass ihre Situation ebenfalls berücksichtigt wird. Dies ist insbesondere dann der Fall, wenn die unterhalt</w:t>
      </w:r>
      <w:r w:rsidR="00064878" w:rsidRPr="00137E2E">
        <w:rPr>
          <w:spacing w:val="2"/>
          <w:lang w:val="de-CH"/>
        </w:rPr>
        <w:t>s</w:t>
      </w:r>
      <w:r w:rsidRPr="00137E2E">
        <w:rPr>
          <w:spacing w:val="2"/>
          <w:lang w:val="de-CH"/>
        </w:rPr>
        <w:t xml:space="preserve">pflichtige Person ihre Unterhaltspflicht nicht böswillig vernachlässigt, sondern beispielsweise wegen Schwierigkeiten </w:t>
      </w:r>
      <w:r w:rsidR="00064878" w:rsidRPr="00137E2E">
        <w:rPr>
          <w:spacing w:val="2"/>
          <w:lang w:val="de-CH"/>
        </w:rPr>
        <w:t>in der Beziehung mit der unterh</w:t>
      </w:r>
      <w:r w:rsidRPr="00137E2E">
        <w:rPr>
          <w:spacing w:val="2"/>
          <w:lang w:val="de-CH"/>
        </w:rPr>
        <w:t xml:space="preserve">altsberechtigten Person, aufgrund von persönlichen Problemen oder in Folge einer unvorhergesehenen Verschlechterung ihrer finanziellen Lage. </w:t>
      </w:r>
    </w:p>
    <w:p w14:paraId="7CB25F28" w14:textId="211CE871" w:rsidR="0088004A" w:rsidRPr="00137E2E" w:rsidRDefault="005A3734" w:rsidP="00166E83">
      <w:pPr>
        <w:pStyle w:val="06atexteprincipal"/>
        <w:spacing w:line="240" w:lineRule="auto"/>
        <w:ind w:left="709"/>
        <w:jc w:val="both"/>
        <w:rPr>
          <w:spacing w:val="2"/>
          <w:lang w:val="de-CH" w:eastAsia="en-US"/>
        </w:rPr>
      </w:pPr>
      <w:r w:rsidRPr="00137E2E">
        <w:rPr>
          <w:spacing w:val="2"/>
          <w:lang w:val="de-CH"/>
        </w:rPr>
        <w:t>Im Laufe eines solchen persönlichen Gesprächs kann die unterhalt</w:t>
      </w:r>
      <w:r w:rsidR="00064878" w:rsidRPr="00137E2E">
        <w:rPr>
          <w:spacing w:val="2"/>
          <w:lang w:val="de-CH"/>
        </w:rPr>
        <w:t>s</w:t>
      </w:r>
      <w:r w:rsidRPr="00137E2E">
        <w:rPr>
          <w:spacing w:val="2"/>
          <w:lang w:val="de-CH"/>
        </w:rPr>
        <w:t xml:space="preserve">pflichtige Person dann über die ihr zur Verfügung stehenden Möglichkeiten informiert werden, damit sie freiwillig die regelmässige und rechtzeitige Bezahlung des im Unterhaltstitel festgelegten Unterhaltsbeitrags sicherstellen kann; eine Ratenzahlung der Rückstände kann ebenfalls in Betracht gezogen werden. Dank des persönlichen Gesprächs kann sich zwischen der unterhaltspflichtigen Person und der Fachstelle ein Vertrauensverhältnis aufbauen, das in der Folge wiederum ein besseres Inkasso erhoffen lässt. </w:t>
      </w:r>
    </w:p>
    <w:p w14:paraId="67710A33" w14:textId="4C8ED11E" w:rsidR="00B16D32" w:rsidRPr="00137E2E" w:rsidRDefault="0088004A" w:rsidP="00166E83">
      <w:pPr>
        <w:pStyle w:val="06atexteprincipal"/>
        <w:spacing w:line="240" w:lineRule="auto"/>
        <w:ind w:left="709"/>
        <w:jc w:val="both"/>
        <w:rPr>
          <w:spacing w:val="2"/>
          <w:lang w:val="de-CH" w:eastAsia="en-US"/>
        </w:rPr>
      </w:pPr>
      <w:r w:rsidRPr="00137E2E">
        <w:rPr>
          <w:spacing w:val="2"/>
          <w:lang w:val="de-CH"/>
        </w:rPr>
        <w:t>Der Entwurf sieht nicht vor, das systematische Gespräch mit der unterhaltspflichtigen Person zu institutionalisieren. Aktuell lädt das KSA die unterhaltspflichtigen Personen nur selten zu einem Gespräch vor. Künftig wird es dies immer dann tun, wenn es der Ansicht ist, dass dies der guten Dossierführung dienlich ist. Dieser zusätzliche Aufwand kann auf jährlich 150</w:t>
      </w:r>
      <w:r w:rsidR="00FD7FEE" w:rsidRPr="00137E2E">
        <w:rPr>
          <w:spacing w:val="2"/>
          <w:lang w:val="de-CH"/>
        </w:rPr>
        <w:t> Stund</w:t>
      </w:r>
      <w:r w:rsidRPr="00137E2E">
        <w:rPr>
          <w:spacing w:val="2"/>
          <w:lang w:val="de-CH"/>
        </w:rPr>
        <w:t>en geschätzt werden (zweistündi</w:t>
      </w:r>
      <w:r w:rsidR="000A39BF" w:rsidRPr="00137E2E">
        <w:rPr>
          <w:spacing w:val="2"/>
          <w:lang w:val="de-CH"/>
        </w:rPr>
        <w:t xml:space="preserve">ges persönliches Gespräch in 1/3 </w:t>
      </w:r>
      <w:r w:rsidRPr="00137E2E">
        <w:rPr>
          <w:spacing w:val="2"/>
          <w:lang w:val="de-CH"/>
        </w:rPr>
        <w:t xml:space="preserve">der neuen Dossiers). </w:t>
      </w:r>
    </w:p>
    <w:p w14:paraId="26B5CB67" w14:textId="1343E5AD" w:rsidR="00F27A6B" w:rsidRPr="00137E2E" w:rsidRDefault="00F27A6B" w:rsidP="00166E83">
      <w:pPr>
        <w:pStyle w:val="06atexteprincipal"/>
        <w:spacing w:line="240" w:lineRule="auto"/>
        <w:ind w:left="709"/>
        <w:jc w:val="both"/>
        <w:rPr>
          <w:spacing w:val="2"/>
          <w:lang w:val="de-CH" w:eastAsia="en-US"/>
        </w:rPr>
      </w:pPr>
      <w:r w:rsidRPr="00137E2E">
        <w:rPr>
          <w:spacing w:val="2"/>
          <w:lang w:val="de-CH"/>
        </w:rPr>
        <w:t>Folglich kann man die Zeit für die persönlichen Gespräche mit den unterhaltsberechtigten und den unterhaltspflichtigen Personen auf 600</w:t>
      </w:r>
      <w:r w:rsidR="00FD7FEE" w:rsidRPr="00137E2E">
        <w:rPr>
          <w:spacing w:val="2"/>
          <w:lang w:val="de-CH"/>
        </w:rPr>
        <w:t> Stund</w:t>
      </w:r>
      <w:r w:rsidRPr="00137E2E">
        <w:rPr>
          <w:spacing w:val="2"/>
          <w:lang w:val="de-CH"/>
        </w:rPr>
        <w:t xml:space="preserve">en pro Jahr veranschlagen (450+150). </w:t>
      </w:r>
    </w:p>
    <w:p w14:paraId="76A144C7" w14:textId="34DF183A" w:rsidR="00B16D32" w:rsidRPr="00137E2E" w:rsidRDefault="00262233" w:rsidP="002B1FCF">
      <w:pPr>
        <w:pStyle w:val="06atexteprincipal"/>
        <w:numPr>
          <w:ilvl w:val="0"/>
          <w:numId w:val="46"/>
        </w:numPr>
        <w:spacing w:line="240" w:lineRule="auto"/>
        <w:jc w:val="both"/>
        <w:rPr>
          <w:spacing w:val="2"/>
          <w:lang w:val="de-CH" w:eastAsia="en-US"/>
        </w:rPr>
      </w:pPr>
      <w:r w:rsidRPr="00137E2E">
        <w:rPr>
          <w:spacing w:val="2"/>
          <w:lang w:val="de-CH"/>
        </w:rPr>
        <w:t xml:space="preserve">Die zuständige Behörde wird der unterhaltsberechtigten Person sodann Inkassohilfe für die Familienzulagen leisten müssen, was hauptsächlich bedeutet, sie bei den Schritten für die Erwirkung der direkten Auszahlung dieser Leistungen zu unterstützen. </w:t>
      </w:r>
      <w:r w:rsidR="00064878" w:rsidRPr="00137E2E">
        <w:rPr>
          <w:spacing w:val="2"/>
          <w:lang w:val="de-CH"/>
        </w:rPr>
        <w:t>Die</w:t>
      </w:r>
      <w:r w:rsidRPr="00137E2E">
        <w:rPr>
          <w:spacing w:val="2"/>
          <w:lang w:val="de-CH"/>
        </w:rPr>
        <w:t xml:space="preserve"> Tragweite dieser Aufgabe ist schwer einzuschätzen. Geht man davon aus, dass die Behörde in einem Drittel der Dossiers tätig wird, für eine Dauer von insgesamt durchschnittlich zwei Stunden pro Dossier, entspricht dies 150</w:t>
      </w:r>
      <w:r w:rsidR="00FD7FEE" w:rsidRPr="00137E2E">
        <w:rPr>
          <w:spacing w:val="2"/>
          <w:lang w:val="de-CH"/>
        </w:rPr>
        <w:t> Stund</w:t>
      </w:r>
      <w:r w:rsidRPr="00137E2E">
        <w:rPr>
          <w:spacing w:val="2"/>
          <w:lang w:val="de-CH"/>
        </w:rPr>
        <w:t>en (2</w:t>
      </w:r>
      <w:r w:rsidR="000A39BF" w:rsidRPr="00137E2E">
        <w:rPr>
          <w:spacing w:val="2"/>
          <w:lang w:val="de-CH"/>
        </w:rPr>
        <w:t>25 </w:t>
      </w:r>
      <w:r w:rsidRPr="00137E2E">
        <w:rPr>
          <w:spacing w:val="2"/>
          <w:lang w:val="de-CH"/>
        </w:rPr>
        <w:t>Dossiers: 3 x 2</w:t>
      </w:r>
      <w:r w:rsidR="00FD7FEE" w:rsidRPr="00137E2E">
        <w:rPr>
          <w:spacing w:val="2"/>
          <w:lang w:val="de-CH"/>
        </w:rPr>
        <w:t> Stund</w:t>
      </w:r>
      <w:r w:rsidRPr="00137E2E">
        <w:rPr>
          <w:spacing w:val="2"/>
          <w:lang w:val="de-CH"/>
        </w:rPr>
        <w:t xml:space="preserve">en). Zumindest im ersten Jahr nach Inkrafttreten der InkHV wird der Zeitaufwand für diese Aufgabe noch grösser sein, denn die besagte </w:t>
      </w:r>
      <w:r w:rsidRPr="00137E2E">
        <w:rPr>
          <w:spacing w:val="2"/>
          <w:lang w:val="de-CH"/>
        </w:rPr>
        <w:lastRenderedPageBreak/>
        <w:t>Unterstützung muss</w:t>
      </w:r>
      <w:r w:rsidR="00FD7FEE" w:rsidRPr="00137E2E">
        <w:rPr>
          <w:spacing w:val="2"/>
          <w:lang w:val="de-CH"/>
        </w:rPr>
        <w:t xml:space="preserve"> auch für die vor dem 1. Januar </w:t>
      </w:r>
      <w:r w:rsidRPr="00137E2E">
        <w:rPr>
          <w:spacing w:val="2"/>
          <w:lang w:val="de-CH"/>
        </w:rPr>
        <w:t xml:space="preserve">2022 eröffneten Dossiers geleistet werden. </w:t>
      </w:r>
    </w:p>
    <w:p w14:paraId="23D888F8" w14:textId="7AE84B3F" w:rsidR="00B16D32" w:rsidRPr="00137E2E" w:rsidRDefault="00CB7736" w:rsidP="002B1FCF">
      <w:pPr>
        <w:pStyle w:val="06atexteprincipal"/>
        <w:numPr>
          <w:ilvl w:val="0"/>
          <w:numId w:val="46"/>
        </w:numPr>
        <w:spacing w:line="240" w:lineRule="auto"/>
        <w:jc w:val="both"/>
        <w:rPr>
          <w:spacing w:val="2"/>
          <w:lang w:val="de-CH" w:eastAsia="en-US"/>
        </w:rPr>
      </w:pPr>
      <w:r w:rsidRPr="00137E2E">
        <w:rPr>
          <w:spacing w:val="2"/>
          <w:lang w:val="de-CH"/>
        </w:rPr>
        <w:t>Bei Bedarf wird die zuständige Behörde zudem die Übersetzung der Unterlagen (Unterhaltstitel) organisieren müssen. Zahlreiche Urteile werden heute in einer Fremdsprache gefällt. Grob gesehen kann hier von einem Mehraufwand von 120</w:t>
      </w:r>
      <w:r w:rsidR="00FD7FEE" w:rsidRPr="00137E2E">
        <w:rPr>
          <w:spacing w:val="2"/>
          <w:lang w:val="de-CH"/>
        </w:rPr>
        <w:t> Stund</w:t>
      </w:r>
      <w:r w:rsidRPr="00137E2E">
        <w:rPr>
          <w:spacing w:val="2"/>
          <w:lang w:val="de-CH"/>
        </w:rPr>
        <w:t>en pro Jahr ausgegangen werden: Tätigwerden der Behörde in diesem Zusammenhang in ca. einem Viertel der Dossiers, für eine Dauer von durchschni</w:t>
      </w:r>
      <w:r w:rsidR="000A39BF" w:rsidRPr="00137E2E">
        <w:rPr>
          <w:spacing w:val="2"/>
          <w:lang w:val="de-CH"/>
        </w:rPr>
        <w:t>ttlich zwei Stunden/Dossier (60 </w:t>
      </w:r>
      <w:r w:rsidRPr="00137E2E">
        <w:rPr>
          <w:spacing w:val="2"/>
          <w:lang w:val="de-CH"/>
        </w:rPr>
        <w:t>Dossiers x 2</w:t>
      </w:r>
      <w:r w:rsidR="00FD7FEE" w:rsidRPr="00137E2E">
        <w:rPr>
          <w:spacing w:val="2"/>
          <w:lang w:val="de-CH"/>
        </w:rPr>
        <w:t> Stund</w:t>
      </w:r>
      <w:r w:rsidRPr="00137E2E">
        <w:rPr>
          <w:spacing w:val="2"/>
          <w:lang w:val="de-CH"/>
        </w:rPr>
        <w:t xml:space="preserve">en). </w:t>
      </w:r>
    </w:p>
    <w:p w14:paraId="450B638A" w14:textId="7E194EBB" w:rsidR="00262233" w:rsidRPr="00137E2E" w:rsidRDefault="004771A2" w:rsidP="00A35A25">
      <w:pPr>
        <w:pStyle w:val="06atexteprincipal"/>
        <w:numPr>
          <w:ilvl w:val="0"/>
          <w:numId w:val="46"/>
        </w:numPr>
        <w:spacing w:line="240" w:lineRule="auto"/>
        <w:jc w:val="both"/>
        <w:rPr>
          <w:spacing w:val="2"/>
          <w:lang w:val="de-CH" w:eastAsia="en-US"/>
        </w:rPr>
      </w:pPr>
      <w:r w:rsidRPr="00137E2E">
        <w:rPr>
          <w:spacing w:val="2"/>
          <w:lang w:val="de-CH"/>
        </w:rPr>
        <w:t>Schliesslich baut die InkHV noch die Mittel zur Eintreibung der Unterhaltsbeiträge aus, indem sie der zuständigen Behör</w:t>
      </w:r>
      <w:r w:rsidR="000A39BF" w:rsidRPr="00137E2E">
        <w:rPr>
          <w:spacing w:val="2"/>
          <w:lang w:val="de-CH"/>
        </w:rPr>
        <w:t>de erlaubt, das Guthaben der 2. </w:t>
      </w:r>
      <w:r w:rsidRPr="00137E2E">
        <w:rPr>
          <w:spacing w:val="2"/>
          <w:lang w:val="de-CH"/>
        </w:rPr>
        <w:t>Säule der unterhaltspflichtigen Person einfacher sicherzustellen. So kann die zuständige Behörde die unterhaltspflichtige Person der Vorsorgeeinrichtung melden, wenn sie sich mit mindestens vier monatlichen Zahlungen in Verzug befindet. Erhebt die unterhaltspflichtige Person in der Folge Ansprüche bei der Vorsorgeeinrichtung, informiert diese unverzüglich die zuständige Behörde und setzt die Entrichtung der Leistung während dreissig Tagen aus, wodurch die zuständige Behörde die Möglichkeit hat, einen Arrest auf die Leistung oder Sicherheitsleistungen zu beantragen. Diese zusätzlichen Mittel, die der zuständigen Behörde zur Verfügung stehen, werden zwingend zu einem Mehraufwand führen. Mit Einreichen eines Arrestgesuchs oder eines Begehrens auf Sicherstellung wird ein Gerichtsverfahren eröffnet, zu dem auch die folgenden Vorgänge gehören: Erstellung einer Klageschrift, allfälliger nachfolgender Schriftenwechsel und Erscheinen bei Verhandlungen vor dem erstinstanzlichen Gericht; ggf. Wiederholung dieser Vorgänge vor der Beschwerdeinstanz. Derzeit leitet das KSA durchschnittlich zwei bis drei Arrest- oder Sicherstellungsverfahren pro Jahr ein. Man kann davon ausgehen, dass diese Zahl deutlich ansteigen wird, weil die Vorsorgeeinrichtung systematisch melden w</w:t>
      </w:r>
      <w:r w:rsidR="000A39BF" w:rsidRPr="00137E2E">
        <w:rPr>
          <w:spacing w:val="2"/>
          <w:lang w:val="de-CH"/>
        </w:rPr>
        <w:t>ird, wenn die Leistungen der 2. </w:t>
      </w:r>
      <w:r w:rsidRPr="00137E2E">
        <w:rPr>
          <w:spacing w:val="2"/>
          <w:lang w:val="de-CH"/>
        </w:rPr>
        <w:t>Säule zugunsten der unterhaltspflichtigen Person fällig geworden sind. Ausgehend v</w:t>
      </w:r>
      <w:r w:rsidR="00FD7FEE" w:rsidRPr="00137E2E">
        <w:rPr>
          <w:spacing w:val="2"/>
          <w:lang w:val="de-CH"/>
        </w:rPr>
        <w:t>on jährlich durchschnittlich 20 </w:t>
      </w:r>
      <w:r w:rsidRPr="00137E2E">
        <w:rPr>
          <w:spacing w:val="2"/>
          <w:lang w:val="de-CH"/>
        </w:rPr>
        <w:t>Arrest- und Sicherstellungsverfahren für einen Arbeitsumfang von acht Stunden pro Verfahren erhält man ein Total von 160</w:t>
      </w:r>
      <w:r w:rsidR="00FD7FEE" w:rsidRPr="00137E2E">
        <w:rPr>
          <w:spacing w:val="2"/>
          <w:lang w:val="de-CH"/>
        </w:rPr>
        <w:t> Stund</w:t>
      </w:r>
      <w:r w:rsidRPr="00137E2E">
        <w:rPr>
          <w:spacing w:val="2"/>
          <w:lang w:val="de-CH"/>
        </w:rPr>
        <w:t xml:space="preserve">en pro Jahr. </w:t>
      </w:r>
    </w:p>
    <w:p w14:paraId="60F68FFB" w14:textId="6CFEE88D" w:rsidR="00D67D37" w:rsidRPr="00137E2E" w:rsidRDefault="00C900ED" w:rsidP="00166E83">
      <w:pPr>
        <w:pStyle w:val="06atexteprincipal"/>
        <w:spacing w:line="240" w:lineRule="auto"/>
        <w:jc w:val="both"/>
        <w:rPr>
          <w:spacing w:val="2"/>
          <w:lang w:val="de-CH" w:eastAsia="en-US"/>
        </w:rPr>
      </w:pPr>
      <w:r w:rsidRPr="00137E2E">
        <w:rPr>
          <w:spacing w:val="2"/>
          <w:lang w:val="de-CH"/>
        </w:rPr>
        <w:t>Die zuvor aufgeführten Aufgaben </w:t>
      </w:r>
      <w:r w:rsidR="00D67D37" w:rsidRPr="00137E2E">
        <w:rPr>
          <w:spacing w:val="2"/>
          <w:lang w:val="de-CH"/>
        </w:rPr>
        <w:t>1 bis 3, die hauptsächlich in die Zuständigkeit der Verwaltungssachbearbeiter/innen fallen, ergeben einen Arbeitsaufwand von 870</w:t>
      </w:r>
      <w:r w:rsidR="00FD7FEE" w:rsidRPr="00137E2E">
        <w:rPr>
          <w:spacing w:val="2"/>
          <w:lang w:val="de-CH"/>
        </w:rPr>
        <w:t> Stund</w:t>
      </w:r>
      <w:r w:rsidR="000A39BF" w:rsidRPr="00137E2E">
        <w:rPr>
          <w:spacing w:val="2"/>
          <w:lang w:val="de-CH"/>
        </w:rPr>
        <w:t>en (600+150+120), Aufgabe </w:t>
      </w:r>
      <w:r w:rsidR="00D67D37" w:rsidRPr="00137E2E">
        <w:rPr>
          <w:spacing w:val="2"/>
          <w:lang w:val="de-CH"/>
        </w:rPr>
        <w:t>4, die dem juristischen Sektor zufällt, 160</w:t>
      </w:r>
      <w:r w:rsidR="00FD7FEE" w:rsidRPr="00137E2E">
        <w:rPr>
          <w:spacing w:val="2"/>
          <w:lang w:val="de-CH"/>
        </w:rPr>
        <w:t> Stund</w:t>
      </w:r>
      <w:r w:rsidR="00D67D37" w:rsidRPr="00137E2E">
        <w:rPr>
          <w:spacing w:val="2"/>
          <w:lang w:val="de-CH"/>
        </w:rPr>
        <w:t xml:space="preserve">en. Der juristische Sektor wird zudem die Verwaltungssachbearbeiter/innen bei der Bewältigung ihrer neuen Inkasso-Aufgaben stärker unterstützen müssen. </w:t>
      </w:r>
    </w:p>
    <w:p w14:paraId="6DFE6AC5" w14:textId="5343336D" w:rsidR="000B0107" w:rsidRPr="00137E2E" w:rsidRDefault="000B0107" w:rsidP="003237C8">
      <w:pPr>
        <w:pStyle w:val="06atexteprincipal"/>
        <w:spacing w:line="240" w:lineRule="auto"/>
        <w:jc w:val="both"/>
        <w:rPr>
          <w:spacing w:val="2"/>
          <w:lang w:val="de-CH" w:eastAsia="en-US"/>
        </w:rPr>
      </w:pPr>
      <w:r w:rsidRPr="00137E2E">
        <w:rPr>
          <w:spacing w:val="2"/>
          <w:lang w:val="de-CH"/>
        </w:rPr>
        <w:t>Des Weiteren ist darauf hinzuweisen, dass die Dossiers des Sektors Unterhaltsbeiträge des KSA in den letzten fünf Jahren generell umfangreicher und in ihrer Bearbeitung komplizierter geworden sind, was insbesondere darauf zurückzuführen ist, dass das KSA als Partei an allen Verfahren zur Änderung des Unterhalts beteiligt ist, in Übereinstimmung mit der Rechtsprechung des Bundesgerichts.</w:t>
      </w:r>
      <w:r w:rsidRPr="00137E2E">
        <w:rPr>
          <w:rStyle w:val="Appelnotedebasdep"/>
          <w:spacing w:val="2"/>
          <w:lang w:val="de-CH"/>
        </w:rPr>
        <w:footnoteReference w:id="29"/>
      </w:r>
      <w:r w:rsidRPr="00137E2E">
        <w:rPr>
          <w:spacing w:val="2"/>
          <w:lang w:val="de-CH"/>
        </w:rPr>
        <w:t xml:space="preserve"> Zwar ist das KSA meistens davon entbunden, vor Gericht zu erscheinen, jedoch ist es an allen Schriftenwechseln beteiligt. Das sind rund 100 Verfahren pro Jahr. Dieser Zusatzaufwand wird hauptsächlich von den Juristinnen und Juristen bewerkstelligt, nebenbei auch von den Verwaltungssachbearbeitenden. </w:t>
      </w:r>
    </w:p>
    <w:p w14:paraId="5452F88F" w14:textId="723E3FB8" w:rsidR="007E7F6D" w:rsidRPr="00137E2E" w:rsidRDefault="007E7F6D" w:rsidP="00A35A25">
      <w:pPr>
        <w:pStyle w:val="06atexteprincipal"/>
        <w:spacing w:line="240" w:lineRule="auto"/>
        <w:jc w:val="both"/>
        <w:rPr>
          <w:spacing w:val="2"/>
          <w:lang w:val="de-CH" w:eastAsia="en-US"/>
        </w:rPr>
      </w:pPr>
      <w:r w:rsidRPr="00137E2E">
        <w:rPr>
          <w:spacing w:val="2"/>
          <w:lang w:val="de-CH"/>
        </w:rPr>
        <w:t>Das KSA bearbeitet</w:t>
      </w:r>
      <w:r w:rsidR="000A39BF" w:rsidRPr="00137E2E">
        <w:rPr>
          <w:spacing w:val="2"/>
          <w:lang w:val="de-CH"/>
        </w:rPr>
        <w:t xml:space="preserve"> jährlich durchschnittlich 1725 </w:t>
      </w:r>
      <w:r w:rsidRPr="00137E2E">
        <w:rPr>
          <w:spacing w:val="2"/>
          <w:lang w:val="de-CH"/>
        </w:rPr>
        <w:t>Dossiers (=Durchschnitt der letzten fünf Jahre). Dazu verfügt es über</w:t>
      </w:r>
      <w:r w:rsidR="000A39BF" w:rsidRPr="00137E2E">
        <w:rPr>
          <w:spacing w:val="2"/>
          <w:lang w:val="de-CH"/>
        </w:rPr>
        <w:t xml:space="preserve"> einen Personalbestand von 4,55 </w:t>
      </w:r>
      <w:r w:rsidRPr="00137E2E">
        <w:rPr>
          <w:spacing w:val="2"/>
          <w:lang w:val="de-CH"/>
        </w:rPr>
        <w:t>Vollzeitäquivale</w:t>
      </w:r>
      <w:r w:rsidR="000A39BF" w:rsidRPr="00137E2E">
        <w:rPr>
          <w:spacing w:val="2"/>
          <w:lang w:val="de-CH"/>
        </w:rPr>
        <w:t xml:space="preserve">nten (VZÄ), </w:t>
      </w:r>
      <w:r w:rsidR="000A39BF" w:rsidRPr="00137E2E">
        <w:rPr>
          <w:spacing w:val="2"/>
          <w:lang w:val="de-CH"/>
        </w:rPr>
        <w:lastRenderedPageBreak/>
        <w:t>genauer gesagt: 0,7 Juristinnen/Juristen und 3,85 </w:t>
      </w:r>
      <w:r w:rsidRPr="00137E2E">
        <w:rPr>
          <w:spacing w:val="2"/>
          <w:lang w:val="de-CH"/>
        </w:rPr>
        <w:t xml:space="preserve">Verwaltungssachbearbeiter/innen. Der Anstieg der Arbeitslast, der sowohl durch die InkHV als auch durch eine grössere Komplexität der Dossierbearbeitung generiert wird, erfordert, dass dem Amt 1 zusätzliches </w:t>
      </w:r>
      <w:r w:rsidR="000A39BF" w:rsidRPr="00137E2E">
        <w:rPr>
          <w:spacing w:val="2"/>
          <w:lang w:val="de-CH"/>
        </w:rPr>
        <w:t>VZÄ zugesprochen wird, also ½ </w:t>
      </w:r>
      <w:r w:rsidRPr="00137E2E">
        <w:rPr>
          <w:spacing w:val="2"/>
          <w:lang w:val="de-CH"/>
        </w:rPr>
        <w:t xml:space="preserve">Stelle für eine </w:t>
      </w:r>
      <w:r w:rsidR="000A39BF" w:rsidRPr="00137E2E">
        <w:rPr>
          <w:spacing w:val="2"/>
          <w:lang w:val="de-CH"/>
        </w:rPr>
        <w:t>Juristin/einen Juristen und ½ </w:t>
      </w:r>
      <w:r w:rsidRPr="00137E2E">
        <w:rPr>
          <w:spacing w:val="2"/>
          <w:lang w:val="de-CH"/>
        </w:rPr>
        <w:t xml:space="preserve">Stelle für einen/eine Verwaltungssachbearbeiter/in. </w:t>
      </w:r>
    </w:p>
    <w:p w14:paraId="0E165C7F" w14:textId="77777777" w:rsidR="005374CF" w:rsidRPr="00137E2E" w:rsidRDefault="00CD751B" w:rsidP="005374CF">
      <w:pPr>
        <w:pStyle w:val="Titre1"/>
        <w:jc w:val="both"/>
        <w:rPr>
          <w:lang w:val="de-CH"/>
        </w:rPr>
      </w:pPr>
      <w:bookmarkStart w:id="21" w:name="_Toc49330782"/>
      <w:r w:rsidRPr="00137E2E">
        <w:rPr>
          <w:lang w:val="de-CH"/>
        </w:rPr>
        <w:t>8. Auswirkungen auf die nachhaltige Entwicklung</w:t>
      </w:r>
      <w:bookmarkEnd w:id="21"/>
      <w:r w:rsidRPr="00137E2E">
        <w:rPr>
          <w:lang w:val="de-CH"/>
        </w:rPr>
        <w:t xml:space="preserve"> </w:t>
      </w:r>
    </w:p>
    <w:p w14:paraId="0AE71FC0" w14:textId="6B827C11" w:rsidR="00A53D3E" w:rsidRPr="00137E2E" w:rsidRDefault="00A53D3E" w:rsidP="00216A27">
      <w:pPr>
        <w:pStyle w:val="06atexteprincipal"/>
        <w:spacing w:line="240" w:lineRule="auto"/>
        <w:jc w:val="both"/>
        <w:rPr>
          <w:spacing w:val="2"/>
          <w:sz w:val="22"/>
          <w:szCs w:val="22"/>
          <w:lang w:val="de-CH" w:eastAsia="en-US"/>
        </w:rPr>
      </w:pPr>
      <w:r w:rsidRPr="00137E2E">
        <w:rPr>
          <w:lang w:val="de-CH"/>
        </w:rPr>
        <w:t xml:space="preserve">Der Entwurf wurde mit dem Instrument </w:t>
      </w:r>
      <w:r w:rsidR="000A39BF" w:rsidRPr="00137E2E">
        <w:rPr>
          <w:lang w:val="de-CH"/>
        </w:rPr>
        <w:t>«</w:t>
      </w:r>
      <w:r w:rsidRPr="00137E2E">
        <w:rPr>
          <w:lang w:val="de-CH"/>
        </w:rPr>
        <w:t>Kompass21</w:t>
      </w:r>
      <w:r w:rsidR="000A39BF" w:rsidRPr="00137E2E">
        <w:rPr>
          <w:lang w:val="de-CH"/>
        </w:rPr>
        <w:t>»</w:t>
      </w:r>
      <w:r w:rsidRPr="00137E2E">
        <w:rPr>
          <w:lang w:val="de-CH"/>
        </w:rPr>
        <w:t xml:space="preserve"> beurteilt (</w:t>
      </w:r>
      <w:hyperlink r:id="rId9" w:history="1">
        <w:r w:rsidRPr="00137E2E">
          <w:rPr>
            <w:rStyle w:val="Lienhypertexte"/>
            <w:lang w:val="de-CH"/>
          </w:rPr>
          <w:t>www.kompass21.ch</w:t>
        </w:r>
      </w:hyperlink>
      <w:r w:rsidRPr="00137E2E">
        <w:rPr>
          <w:lang w:val="de-CH"/>
        </w:rPr>
        <w:t xml:space="preserve">). Aus dieser Beurteilung geht hervor, dass die Stärken des Gesetzesentwurfs in der sozialen Dimension liegen, namentlich punkto Verbesserung der Chancengleichheit, Stärkung des sozialen Zusammenhalts und Armutsbekämpfung. </w:t>
      </w:r>
    </w:p>
    <w:p w14:paraId="5FB9B149" w14:textId="77777777" w:rsidR="0037436B" w:rsidRPr="00137E2E" w:rsidRDefault="00CD751B" w:rsidP="003237C8">
      <w:pPr>
        <w:pStyle w:val="Titre1"/>
        <w:jc w:val="both"/>
        <w:rPr>
          <w:lang w:val="de-CH"/>
        </w:rPr>
      </w:pPr>
      <w:bookmarkStart w:id="22" w:name="_Toc49330783"/>
      <w:r w:rsidRPr="00137E2E">
        <w:rPr>
          <w:lang w:val="de-CH"/>
        </w:rPr>
        <w:t>9. Verfassungsmässigkeit, Vereinbarkeit mit dem Bundesrecht und dem Europarecht</w:t>
      </w:r>
      <w:bookmarkEnd w:id="22"/>
      <w:r w:rsidRPr="00137E2E">
        <w:rPr>
          <w:lang w:val="de-CH"/>
        </w:rPr>
        <w:t xml:space="preserve"> </w:t>
      </w:r>
    </w:p>
    <w:p w14:paraId="71D3219F" w14:textId="77777777" w:rsidR="00E64520" w:rsidRPr="00137E2E" w:rsidRDefault="00E64520" w:rsidP="00C840A9">
      <w:pPr>
        <w:spacing w:after="120" w:line="240" w:lineRule="auto"/>
        <w:jc w:val="both"/>
        <w:rPr>
          <w:rFonts w:ascii="Times New Roman" w:hAnsi="Times New Roman" w:cs="Times New Roman"/>
          <w:sz w:val="24"/>
          <w:szCs w:val="24"/>
          <w:lang w:val="de-CH"/>
        </w:rPr>
      </w:pPr>
      <w:r w:rsidRPr="00137E2E">
        <w:rPr>
          <w:rFonts w:ascii="Times New Roman" w:hAnsi="Times New Roman" w:cs="Times New Roman"/>
          <w:sz w:val="24"/>
          <w:lang w:val="de-CH"/>
        </w:rPr>
        <w:t xml:space="preserve">Der Gesetzesentwurf ist bundesrechtskonform und mit dem Europarecht vereinbar. </w:t>
      </w:r>
    </w:p>
    <w:p w14:paraId="4BBDC460" w14:textId="77777777" w:rsidR="0037436B" w:rsidRPr="00137E2E" w:rsidRDefault="00CD751B" w:rsidP="003237C8">
      <w:pPr>
        <w:pStyle w:val="Titre1"/>
        <w:jc w:val="both"/>
        <w:rPr>
          <w:lang w:val="de-CH"/>
        </w:rPr>
      </w:pPr>
      <w:bookmarkStart w:id="23" w:name="_Toc49330784"/>
      <w:r w:rsidRPr="00137E2E">
        <w:rPr>
          <w:lang w:val="de-CH"/>
        </w:rPr>
        <w:t>10. Gesetzes- und Finanzreferendum</w:t>
      </w:r>
      <w:bookmarkEnd w:id="23"/>
      <w:r w:rsidRPr="00137E2E">
        <w:rPr>
          <w:lang w:val="de-CH"/>
        </w:rPr>
        <w:t xml:space="preserve"> </w:t>
      </w:r>
    </w:p>
    <w:p w14:paraId="4A237B34" w14:textId="3B4645DD" w:rsidR="007B0DA3" w:rsidRPr="007B41EB" w:rsidRDefault="009E5B62" w:rsidP="00C840A9">
      <w:pPr>
        <w:spacing w:after="120" w:line="240" w:lineRule="auto"/>
        <w:jc w:val="both"/>
        <w:rPr>
          <w:rFonts w:ascii="Times New Roman" w:hAnsi="Times New Roman" w:cs="Times New Roman"/>
          <w:sz w:val="24"/>
          <w:szCs w:val="24"/>
          <w:lang w:val="de-CH"/>
        </w:rPr>
      </w:pPr>
      <w:r w:rsidRPr="007B41EB">
        <w:rPr>
          <w:rFonts w:ascii="Times New Roman" w:hAnsi="Times New Roman" w:cs="Times New Roman"/>
          <w:sz w:val="24"/>
          <w:szCs w:val="24"/>
          <w:lang w:val="de-CH"/>
        </w:rPr>
        <w:t xml:space="preserve">Der Gesetzesentwurf unterliegt dem Gesetzesreferendum. </w:t>
      </w:r>
    </w:p>
    <w:p w14:paraId="24AB0C81" w14:textId="430E1DC4" w:rsidR="003043DD" w:rsidRPr="007B41EB" w:rsidRDefault="003043DD" w:rsidP="007B41EB">
      <w:pPr>
        <w:pStyle w:val="Titre1"/>
        <w:jc w:val="both"/>
        <w:rPr>
          <w:lang w:val="de-CH"/>
        </w:rPr>
      </w:pPr>
      <w:bookmarkStart w:id="24" w:name="_Toc49330785"/>
      <w:r>
        <w:rPr>
          <w:lang w:val="de-CH"/>
        </w:rPr>
        <w:t xml:space="preserve">11. </w:t>
      </w:r>
      <w:r w:rsidRPr="007B41EB">
        <w:rPr>
          <w:lang w:val="de-CH"/>
        </w:rPr>
        <w:t>Inkrafttreten</w:t>
      </w:r>
      <w:bookmarkEnd w:id="24"/>
    </w:p>
    <w:p w14:paraId="2F81EB7B" w14:textId="32E7FE8E" w:rsidR="003043DD" w:rsidRPr="007B41EB" w:rsidRDefault="00D26FE8" w:rsidP="00C840A9">
      <w:pPr>
        <w:spacing w:after="120" w:line="240" w:lineRule="auto"/>
        <w:jc w:val="both"/>
        <w:rPr>
          <w:rFonts w:ascii="Times New Roman" w:hAnsi="Times New Roman" w:cs="Times New Roman"/>
          <w:sz w:val="24"/>
          <w:lang w:val="de-CH"/>
        </w:rPr>
      </w:pPr>
      <w:r w:rsidRPr="00137E2E">
        <w:rPr>
          <w:rFonts w:ascii="Times New Roman" w:hAnsi="Times New Roman" w:cs="Times New Roman"/>
          <w:sz w:val="24"/>
          <w:lang w:val="de-CH"/>
        </w:rPr>
        <w:t xml:space="preserve">Das neue kantonale Gesetz </w:t>
      </w:r>
      <w:r>
        <w:rPr>
          <w:rFonts w:ascii="Times New Roman" w:hAnsi="Times New Roman" w:cs="Times New Roman"/>
          <w:sz w:val="24"/>
          <w:lang w:val="de-CH"/>
        </w:rPr>
        <w:t>umfasst</w:t>
      </w:r>
      <w:r w:rsidRPr="00137E2E">
        <w:rPr>
          <w:rFonts w:ascii="Times New Roman" w:hAnsi="Times New Roman" w:cs="Times New Roman"/>
          <w:sz w:val="24"/>
          <w:lang w:val="de-CH"/>
        </w:rPr>
        <w:t xml:space="preserve"> hauptsächlich Regeln über die Bevorschussung der Unterhaltsbeiträge sowie ein paar Bestimmungen über die Eintreibung</w:t>
      </w:r>
      <w:r>
        <w:rPr>
          <w:rFonts w:ascii="Times New Roman" w:hAnsi="Times New Roman" w:cs="Times New Roman"/>
          <w:sz w:val="24"/>
          <w:lang w:val="de-CH"/>
        </w:rPr>
        <w:t xml:space="preserve">, </w:t>
      </w:r>
      <w:r w:rsidR="003043DD" w:rsidRPr="007B41EB">
        <w:rPr>
          <w:rFonts w:ascii="Times New Roman" w:hAnsi="Times New Roman" w:cs="Times New Roman"/>
          <w:sz w:val="24"/>
          <w:lang w:val="de-CH"/>
        </w:rPr>
        <w:t>die für die Umsetzung der InkHV notwendig sind. Aus diese</w:t>
      </w:r>
      <w:r w:rsidR="003043DD">
        <w:rPr>
          <w:rFonts w:ascii="Times New Roman" w:hAnsi="Times New Roman" w:cs="Times New Roman"/>
          <w:sz w:val="24"/>
          <w:lang w:val="de-CH"/>
        </w:rPr>
        <w:t>m</w:t>
      </w:r>
      <w:r w:rsidR="003043DD" w:rsidRPr="007B41EB">
        <w:rPr>
          <w:rFonts w:ascii="Times New Roman" w:hAnsi="Times New Roman" w:cs="Times New Roman"/>
          <w:sz w:val="24"/>
          <w:lang w:val="de-CH"/>
        </w:rPr>
        <w:t xml:space="preserve"> </w:t>
      </w:r>
      <w:r w:rsidR="003043DD">
        <w:rPr>
          <w:rFonts w:ascii="Times New Roman" w:hAnsi="Times New Roman" w:cs="Times New Roman"/>
          <w:sz w:val="24"/>
          <w:lang w:val="de-CH"/>
        </w:rPr>
        <w:t>Grund</w:t>
      </w:r>
      <w:r w:rsidR="003043DD" w:rsidRPr="007B41EB">
        <w:rPr>
          <w:rFonts w:ascii="Times New Roman" w:hAnsi="Times New Roman" w:cs="Times New Roman"/>
          <w:sz w:val="24"/>
          <w:lang w:val="de-CH"/>
        </w:rPr>
        <w:t xml:space="preserve"> </w:t>
      </w:r>
      <w:r>
        <w:rPr>
          <w:rFonts w:ascii="Times New Roman" w:hAnsi="Times New Roman" w:cs="Times New Roman"/>
          <w:sz w:val="24"/>
          <w:lang w:val="de-CH"/>
        </w:rPr>
        <w:t>muss</w:t>
      </w:r>
      <w:r w:rsidR="003043DD" w:rsidRPr="007B41EB">
        <w:rPr>
          <w:rFonts w:ascii="Times New Roman" w:hAnsi="Times New Roman" w:cs="Times New Roman"/>
          <w:sz w:val="24"/>
          <w:lang w:val="de-CH"/>
        </w:rPr>
        <w:t xml:space="preserve"> das kantonale Gesetz gleichzeitig wie die InkHV am 1.</w:t>
      </w:r>
      <w:r w:rsidR="003043DD">
        <w:rPr>
          <w:rFonts w:ascii="Times New Roman" w:hAnsi="Times New Roman" w:cs="Times New Roman"/>
          <w:sz w:val="24"/>
          <w:lang w:val="de-CH"/>
        </w:rPr>
        <w:t> </w:t>
      </w:r>
      <w:r w:rsidR="003043DD" w:rsidRPr="007B41EB">
        <w:rPr>
          <w:rFonts w:ascii="Times New Roman" w:hAnsi="Times New Roman" w:cs="Times New Roman"/>
          <w:sz w:val="24"/>
          <w:lang w:val="de-CH"/>
        </w:rPr>
        <w:t xml:space="preserve">Januar 2022 in Kraft </w:t>
      </w:r>
      <w:r>
        <w:rPr>
          <w:rFonts w:ascii="Times New Roman" w:hAnsi="Times New Roman" w:cs="Times New Roman"/>
          <w:sz w:val="24"/>
          <w:lang w:val="de-CH"/>
        </w:rPr>
        <w:t>treten</w:t>
      </w:r>
      <w:r w:rsidR="003043DD" w:rsidRPr="007B41EB">
        <w:rPr>
          <w:rFonts w:ascii="Times New Roman" w:hAnsi="Times New Roman" w:cs="Times New Roman"/>
          <w:sz w:val="24"/>
          <w:lang w:val="de-CH"/>
        </w:rPr>
        <w:t xml:space="preserve">. </w:t>
      </w:r>
    </w:p>
    <w:p w14:paraId="4E3A5C0C" w14:textId="475D5A9F" w:rsidR="004373EA" w:rsidRPr="00137E2E" w:rsidRDefault="005374CF" w:rsidP="003237C8">
      <w:pPr>
        <w:pStyle w:val="Titre1"/>
        <w:jc w:val="both"/>
        <w:rPr>
          <w:lang w:val="de-CH"/>
        </w:rPr>
      </w:pPr>
      <w:bookmarkStart w:id="25" w:name="_Toc49330786"/>
      <w:r w:rsidRPr="00137E2E">
        <w:rPr>
          <w:lang w:val="de-CH"/>
        </w:rPr>
        <w:t>1</w:t>
      </w:r>
      <w:r w:rsidR="003043DD">
        <w:rPr>
          <w:lang w:val="de-CH"/>
        </w:rPr>
        <w:t>2</w:t>
      </w:r>
      <w:r w:rsidRPr="00137E2E">
        <w:rPr>
          <w:lang w:val="de-CH"/>
        </w:rPr>
        <w:t>. Schluss</w:t>
      </w:r>
      <w:bookmarkEnd w:id="25"/>
    </w:p>
    <w:p w14:paraId="2FEA1040" w14:textId="77777777" w:rsidR="007B0DA3" w:rsidRPr="007B41EB" w:rsidRDefault="007B0DA3" w:rsidP="007B41EB">
      <w:pPr>
        <w:spacing w:after="120" w:line="240" w:lineRule="auto"/>
        <w:jc w:val="both"/>
        <w:rPr>
          <w:rFonts w:ascii="Times New Roman" w:hAnsi="Times New Roman" w:cs="Times New Roman"/>
          <w:sz w:val="24"/>
          <w:szCs w:val="24"/>
          <w:lang w:val="de-CH"/>
        </w:rPr>
      </w:pPr>
      <w:r w:rsidRPr="007B41EB">
        <w:rPr>
          <w:rFonts w:ascii="Times New Roman" w:hAnsi="Times New Roman" w:cs="Times New Roman"/>
          <w:sz w:val="24"/>
          <w:szCs w:val="24"/>
          <w:lang w:val="de-CH"/>
        </w:rPr>
        <w:t xml:space="preserve">Aufgrund dieser Darlegungen lädt der Staatsrat Sie ein, den vorliegenden Gesetzesentwurf anzunehmen. </w:t>
      </w:r>
    </w:p>
    <w:sectPr w:rsidR="007B0DA3" w:rsidRPr="007B41E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80C45" w14:textId="77777777" w:rsidR="00BE1726" w:rsidRDefault="00BE1726" w:rsidP="0055105B">
      <w:pPr>
        <w:spacing w:after="0" w:line="240" w:lineRule="auto"/>
      </w:pPr>
      <w:r>
        <w:separator/>
      </w:r>
    </w:p>
  </w:endnote>
  <w:endnote w:type="continuationSeparator" w:id="0">
    <w:p w14:paraId="4D4FC907" w14:textId="77777777" w:rsidR="00BE1726" w:rsidRDefault="00BE1726" w:rsidP="00551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2159822"/>
      <w:docPartObj>
        <w:docPartGallery w:val="Page Numbers (Bottom of Page)"/>
        <w:docPartUnique/>
      </w:docPartObj>
    </w:sdtPr>
    <w:sdtEndPr>
      <w:rPr>
        <w:rFonts w:ascii="Times New Roman" w:hAnsi="Times New Roman" w:cs="Times New Roman"/>
      </w:rPr>
    </w:sdtEndPr>
    <w:sdtContent>
      <w:p w14:paraId="483836A0" w14:textId="07A15487" w:rsidR="006E629F" w:rsidRPr="00070D8E" w:rsidRDefault="006E629F">
        <w:pPr>
          <w:pStyle w:val="Pieddepage"/>
          <w:jc w:val="right"/>
          <w:rPr>
            <w:rFonts w:ascii="Times New Roman" w:hAnsi="Times New Roman" w:cs="Times New Roman"/>
          </w:rPr>
        </w:pPr>
        <w:r w:rsidRPr="00070D8E">
          <w:rPr>
            <w:rFonts w:ascii="Times New Roman" w:hAnsi="Times New Roman" w:cs="Times New Roman"/>
          </w:rPr>
          <w:fldChar w:fldCharType="begin"/>
        </w:r>
        <w:r w:rsidRPr="00070D8E">
          <w:rPr>
            <w:rFonts w:ascii="Times New Roman" w:hAnsi="Times New Roman" w:cs="Times New Roman"/>
          </w:rPr>
          <w:instrText>PAGE   \* MERGEFORMAT</w:instrText>
        </w:r>
        <w:r w:rsidRPr="00070D8E">
          <w:rPr>
            <w:rFonts w:ascii="Times New Roman" w:hAnsi="Times New Roman" w:cs="Times New Roman"/>
          </w:rPr>
          <w:fldChar w:fldCharType="separate"/>
        </w:r>
        <w:r w:rsidR="00034CF4" w:rsidRPr="00034CF4">
          <w:rPr>
            <w:rFonts w:ascii="Times New Roman" w:hAnsi="Times New Roman" w:cs="Times New Roman"/>
            <w:noProof/>
            <w:lang w:val="fr-FR"/>
          </w:rPr>
          <w:t>15</w:t>
        </w:r>
        <w:r w:rsidRPr="00070D8E">
          <w:rPr>
            <w:rFonts w:ascii="Times New Roman" w:hAnsi="Times New Roman" w:cs="Times New Roman"/>
          </w:rPr>
          <w:fldChar w:fldCharType="end"/>
        </w:r>
      </w:p>
    </w:sdtContent>
  </w:sdt>
  <w:p w14:paraId="2F946DFF" w14:textId="77777777" w:rsidR="006E629F" w:rsidRDefault="006E62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92039" w14:textId="77777777" w:rsidR="00BE1726" w:rsidRDefault="00BE1726" w:rsidP="0055105B">
      <w:pPr>
        <w:spacing w:after="0" w:line="240" w:lineRule="auto"/>
      </w:pPr>
      <w:r>
        <w:separator/>
      </w:r>
    </w:p>
  </w:footnote>
  <w:footnote w:type="continuationSeparator" w:id="0">
    <w:p w14:paraId="61C61A31" w14:textId="77777777" w:rsidR="00BE1726" w:rsidRDefault="00BE1726" w:rsidP="0055105B">
      <w:pPr>
        <w:spacing w:after="0" w:line="240" w:lineRule="auto"/>
      </w:pPr>
      <w:r>
        <w:continuationSeparator/>
      </w:r>
    </w:p>
  </w:footnote>
  <w:footnote w:id="1">
    <w:p w14:paraId="1732458F" w14:textId="74C25EEC" w:rsidR="006E629F" w:rsidRPr="00064878" w:rsidRDefault="006E629F" w:rsidP="00D26BC1">
      <w:pPr>
        <w:pStyle w:val="Notedebasdepage"/>
        <w:tabs>
          <w:tab w:val="left" w:pos="284"/>
        </w:tabs>
        <w:ind w:left="284" w:hanging="284"/>
        <w:jc w:val="both"/>
        <w:rPr>
          <w:lang w:val="de-CH"/>
        </w:rPr>
      </w:pPr>
      <w:r w:rsidRPr="00064878">
        <w:rPr>
          <w:rStyle w:val="Appelnotedebasdep"/>
          <w:lang w:val="de-CH"/>
        </w:rPr>
        <w:footnoteRef/>
      </w:r>
      <w:r w:rsidRPr="00064878">
        <w:rPr>
          <w:lang w:val="de-CH"/>
        </w:rPr>
        <w:t xml:space="preserve"> </w:t>
      </w:r>
      <w:r w:rsidRPr="00064878">
        <w:rPr>
          <w:lang w:val="de-CH"/>
        </w:rPr>
        <w:tab/>
        <w:t>Erläu</w:t>
      </w:r>
      <w:r>
        <w:rPr>
          <w:lang w:val="de-CH"/>
        </w:rPr>
        <w:t>ternder Bericht vom 6. Dezember </w:t>
      </w:r>
      <w:r w:rsidRPr="00064878">
        <w:rPr>
          <w:lang w:val="de-CH"/>
        </w:rPr>
        <w:t>2019 des Bundesamtes für Justiz über die Verordnung über die Inkassohilfe bei familienrechtlichen Unterhaltsansprüchen</w:t>
      </w:r>
      <w:r>
        <w:rPr>
          <w:lang w:val="de-CH"/>
        </w:rPr>
        <w:t>, S. </w:t>
      </w:r>
      <w:r w:rsidRPr="00064878">
        <w:rPr>
          <w:lang w:val="de-CH"/>
        </w:rPr>
        <w:t xml:space="preserve">4. </w:t>
      </w:r>
    </w:p>
  </w:footnote>
  <w:footnote w:id="2">
    <w:p w14:paraId="7EA32CF4" w14:textId="0AAFE66F" w:rsidR="006E629F" w:rsidRPr="00064878" w:rsidRDefault="006E629F" w:rsidP="00597D98">
      <w:pPr>
        <w:pStyle w:val="Notedebasdepage"/>
        <w:tabs>
          <w:tab w:val="left" w:pos="284"/>
        </w:tabs>
        <w:ind w:left="284" w:hanging="284"/>
        <w:jc w:val="both"/>
        <w:rPr>
          <w:lang w:val="de-CH"/>
        </w:rPr>
      </w:pPr>
      <w:r w:rsidRPr="00064878">
        <w:rPr>
          <w:rStyle w:val="Appelnotedebasdep"/>
          <w:lang w:val="de-CH"/>
        </w:rPr>
        <w:footnoteRef/>
      </w:r>
      <w:r w:rsidRPr="00064878">
        <w:rPr>
          <w:lang w:val="de-CH"/>
        </w:rPr>
        <w:t xml:space="preserve"> </w:t>
      </w:r>
      <w:r w:rsidRPr="00064878">
        <w:rPr>
          <w:lang w:val="de-CH"/>
        </w:rPr>
        <w:tab/>
        <w:t>Botschaft des Bundesrates zu einer Änderung des Schweizerischen Zivilgesetzbuches (Kindesunterhalt) vom 29.</w:t>
      </w:r>
      <w:r>
        <w:rPr>
          <w:lang w:val="de-CH"/>
        </w:rPr>
        <w:t> November </w:t>
      </w:r>
      <w:r w:rsidRPr="00064878">
        <w:rPr>
          <w:lang w:val="de-CH"/>
        </w:rPr>
        <w:t xml:space="preserve">2013, BBl 2014 529. </w:t>
      </w:r>
    </w:p>
  </w:footnote>
  <w:footnote w:id="3">
    <w:p w14:paraId="55007AB6" w14:textId="0D5231E0" w:rsidR="006E629F" w:rsidRPr="00064878" w:rsidRDefault="006E629F" w:rsidP="00597D98">
      <w:pPr>
        <w:pStyle w:val="Notedebasdepage"/>
        <w:tabs>
          <w:tab w:val="left" w:pos="284"/>
        </w:tabs>
        <w:ind w:left="284" w:hanging="284"/>
        <w:jc w:val="both"/>
        <w:rPr>
          <w:lang w:val="de-CH"/>
        </w:rPr>
      </w:pPr>
      <w:r w:rsidRPr="00064878">
        <w:rPr>
          <w:rStyle w:val="Appelnotedebasdep"/>
          <w:lang w:val="de-CH"/>
        </w:rPr>
        <w:footnoteRef/>
      </w:r>
      <w:r w:rsidRPr="00064878">
        <w:rPr>
          <w:lang w:val="de-CH"/>
        </w:rPr>
        <w:t xml:space="preserve"> </w:t>
      </w:r>
      <w:r>
        <w:rPr>
          <w:lang w:val="de-CH"/>
        </w:rPr>
        <w:tab/>
        <w:t>Erläuternder Bericht InkHV, S. </w:t>
      </w:r>
      <w:r w:rsidRPr="00064878">
        <w:rPr>
          <w:lang w:val="de-CH"/>
        </w:rPr>
        <w:t xml:space="preserve">9. </w:t>
      </w:r>
    </w:p>
  </w:footnote>
  <w:footnote w:id="4">
    <w:p w14:paraId="0E706B84" w14:textId="082397FC" w:rsidR="006E629F" w:rsidRPr="00064878" w:rsidRDefault="006E629F" w:rsidP="00D26BC1">
      <w:pPr>
        <w:pStyle w:val="Notedebasdepage"/>
        <w:tabs>
          <w:tab w:val="left" w:pos="284"/>
        </w:tabs>
        <w:jc w:val="both"/>
        <w:rPr>
          <w:lang w:val="de-CH"/>
        </w:rPr>
      </w:pPr>
      <w:r w:rsidRPr="00064878">
        <w:rPr>
          <w:rStyle w:val="Appelnotedebasdep"/>
          <w:lang w:val="de-CH"/>
        </w:rPr>
        <w:footnoteRef/>
      </w:r>
      <w:r>
        <w:rPr>
          <w:lang w:val="de-CH"/>
        </w:rPr>
        <w:t xml:space="preserve"> </w:t>
      </w:r>
      <w:r>
        <w:rPr>
          <w:lang w:val="de-CH"/>
        </w:rPr>
        <w:tab/>
        <w:t>AS 2020 </w:t>
      </w:r>
      <w:r w:rsidRPr="00064878">
        <w:rPr>
          <w:lang w:val="de-CH"/>
        </w:rPr>
        <w:t xml:space="preserve">7. </w:t>
      </w:r>
    </w:p>
  </w:footnote>
  <w:footnote w:id="5">
    <w:p w14:paraId="09D960CD" w14:textId="39EF2302" w:rsidR="006E629F" w:rsidRPr="00064878" w:rsidRDefault="006E629F" w:rsidP="002174BD">
      <w:pPr>
        <w:pStyle w:val="Notedebasdepage"/>
        <w:tabs>
          <w:tab w:val="left" w:pos="284"/>
        </w:tabs>
        <w:jc w:val="both"/>
        <w:rPr>
          <w:lang w:val="de-CH"/>
        </w:rPr>
      </w:pPr>
      <w:r w:rsidRPr="00064878">
        <w:rPr>
          <w:rStyle w:val="Appelnotedebasdep"/>
          <w:lang w:val="de-CH"/>
        </w:rPr>
        <w:footnoteRef/>
      </w:r>
      <w:r>
        <w:rPr>
          <w:lang w:val="de-CH"/>
        </w:rPr>
        <w:t xml:space="preserve"> </w:t>
      </w:r>
      <w:r>
        <w:rPr>
          <w:lang w:val="de-CH"/>
        </w:rPr>
        <w:tab/>
        <w:t>BGE 137 III 193 Erw. 3.4 S. </w:t>
      </w:r>
      <w:r w:rsidRPr="00064878">
        <w:rPr>
          <w:lang w:val="de-CH"/>
        </w:rPr>
        <w:t xml:space="preserve">200. </w:t>
      </w:r>
    </w:p>
  </w:footnote>
  <w:footnote w:id="6">
    <w:p w14:paraId="736354A3" w14:textId="217E80B4" w:rsidR="006E629F" w:rsidRPr="00064878" w:rsidRDefault="006E629F" w:rsidP="002174BD">
      <w:pPr>
        <w:pStyle w:val="Notedebasdepage"/>
        <w:tabs>
          <w:tab w:val="left" w:pos="284"/>
        </w:tabs>
        <w:ind w:left="284" w:hanging="284"/>
        <w:jc w:val="both"/>
        <w:rPr>
          <w:lang w:val="de-CH"/>
        </w:rPr>
      </w:pPr>
      <w:r w:rsidRPr="00064878">
        <w:rPr>
          <w:rStyle w:val="Appelnotedebasdep"/>
          <w:lang w:val="de-CH"/>
        </w:rPr>
        <w:footnoteRef/>
      </w:r>
      <w:r w:rsidRPr="00064878">
        <w:rPr>
          <w:lang w:val="de-CH"/>
        </w:rPr>
        <w:t xml:space="preserve"> </w:t>
      </w:r>
      <w:r w:rsidRPr="00064878">
        <w:rPr>
          <w:lang w:val="de-CH"/>
        </w:rPr>
        <w:tab/>
        <w:t>Unterstützung ausländischer Personen aus Drittstaaten, Merkblatt der Schweizerischen Konferenz für Sozialhilfe (SKOS) vom 20.</w:t>
      </w:r>
      <w:r>
        <w:rPr>
          <w:lang w:val="de-CH"/>
        </w:rPr>
        <w:t> Juni </w:t>
      </w:r>
      <w:r w:rsidRPr="00064878">
        <w:rPr>
          <w:lang w:val="de-CH"/>
        </w:rPr>
        <w:t>2</w:t>
      </w:r>
      <w:r>
        <w:rPr>
          <w:lang w:val="de-CH"/>
        </w:rPr>
        <w:t>019, Kap. </w:t>
      </w:r>
      <w:r w:rsidRPr="00064878">
        <w:rPr>
          <w:lang w:val="de-CH"/>
        </w:rPr>
        <w:t xml:space="preserve">2.1. </w:t>
      </w:r>
    </w:p>
  </w:footnote>
  <w:footnote w:id="7">
    <w:p w14:paraId="44B2EBF3" w14:textId="58199B80" w:rsidR="006E629F" w:rsidRPr="00064878" w:rsidRDefault="006E629F" w:rsidP="00D26BC1">
      <w:pPr>
        <w:pStyle w:val="Notedebasdepage"/>
        <w:tabs>
          <w:tab w:val="left" w:pos="284"/>
        </w:tabs>
        <w:rPr>
          <w:lang w:val="de-CH"/>
        </w:rPr>
      </w:pPr>
      <w:r w:rsidRPr="00064878">
        <w:rPr>
          <w:rStyle w:val="Appelnotedebasdep"/>
          <w:lang w:val="de-CH"/>
        </w:rPr>
        <w:footnoteRef/>
      </w:r>
      <w:r w:rsidRPr="00064878">
        <w:rPr>
          <w:lang w:val="de-CH"/>
        </w:rPr>
        <w:t xml:space="preserve"> </w:t>
      </w:r>
      <w:r w:rsidRPr="00064878">
        <w:rPr>
          <w:lang w:val="de-CH"/>
        </w:rPr>
        <w:tab/>
      </w:r>
      <w:r w:rsidRPr="00064878">
        <w:rPr>
          <w:i/>
          <w:lang w:val="de-CH"/>
        </w:rPr>
        <w:t xml:space="preserve">Commentaire Romand Code civil </w:t>
      </w:r>
      <w:r w:rsidRPr="00064878">
        <w:rPr>
          <w:lang w:val="de-CH"/>
        </w:rPr>
        <w:t xml:space="preserve">(CR CC), J.-F. </w:t>
      </w:r>
      <w:r w:rsidRPr="00064878">
        <w:rPr>
          <w:smallCaps/>
          <w:lang w:val="de-CH"/>
        </w:rPr>
        <w:t>Perrin</w:t>
      </w:r>
      <w:r w:rsidRPr="00064878">
        <w:rPr>
          <w:lang w:val="de-CH"/>
        </w:rPr>
        <w:t>, N</w:t>
      </w:r>
      <w:r>
        <w:rPr>
          <w:lang w:val="de-CH"/>
        </w:rPr>
        <w:t>. 9</w:t>
      </w:r>
      <w:r w:rsidRPr="00064878">
        <w:rPr>
          <w:lang w:val="de-CH"/>
        </w:rPr>
        <w:t xml:space="preserve"> zu </w:t>
      </w:r>
      <w:r>
        <w:rPr>
          <w:lang w:val="de-CH"/>
        </w:rPr>
        <w:t>Art. </w:t>
      </w:r>
      <w:r w:rsidRPr="00064878">
        <w:rPr>
          <w:lang w:val="de-CH"/>
        </w:rPr>
        <w:t xml:space="preserve">287. </w:t>
      </w:r>
    </w:p>
  </w:footnote>
  <w:footnote w:id="8">
    <w:p w14:paraId="1F129123" w14:textId="77777777" w:rsidR="006E629F" w:rsidRPr="00064878" w:rsidRDefault="006E629F" w:rsidP="00D26BC1">
      <w:pPr>
        <w:pStyle w:val="Notedebasdepage"/>
        <w:tabs>
          <w:tab w:val="left" w:pos="284"/>
        </w:tabs>
        <w:ind w:left="284" w:hanging="284"/>
        <w:jc w:val="both"/>
        <w:rPr>
          <w:lang w:val="de-CH"/>
        </w:rPr>
      </w:pPr>
      <w:r w:rsidRPr="00064878">
        <w:rPr>
          <w:rStyle w:val="Appelnotedebasdep"/>
          <w:lang w:val="de-CH"/>
        </w:rPr>
        <w:footnoteRef/>
      </w:r>
      <w:r w:rsidRPr="00064878">
        <w:rPr>
          <w:lang w:val="de-CH"/>
        </w:rPr>
        <w:t xml:space="preserve"> </w:t>
      </w:r>
      <w:r w:rsidRPr="00064878">
        <w:rPr>
          <w:lang w:val="de-CH"/>
        </w:rPr>
        <w:tab/>
        <w:t xml:space="preserve">Die Kantone Bern, Luzern und Zürich sehen einen solchen Unterhaltstitel für die Gewährung der Bevorschussung von Unterhaltsbeiträgen vor. </w:t>
      </w:r>
    </w:p>
  </w:footnote>
  <w:footnote w:id="9">
    <w:p w14:paraId="2656A69C" w14:textId="119F97CC" w:rsidR="006E629F" w:rsidRPr="00064878" w:rsidRDefault="006E629F" w:rsidP="00D26BC1">
      <w:pPr>
        <w:pStyle w:val="Notedebasdepage"/>
        <w:tabs>
          <w:tab w:val="left" w:pos="284"/>
        </w:tabs>
        <w:rPr>
          <w:lang w:val="de-CH"/>
        </w:rPr>
      </w:pPr>
      <w:r w:rsidRPr="00064878">
        <w:rPr>
          <w:rStyle w:val="Appelnotedebasdep"/>
          <w:lang w:val="de-CH"/>
        </w:rPr>
        <w:footnoteRef/>
      </w:r>
      <w:r w:rsidRPr="00064878">
        <w:rPr>
          <w:lang w:val="de-CH"/>
        </w:rPr>
        <w:t xml:space="preserve"> </w:t>
      </w:r>
      <w:r w:rsidRPr="00064878">
        <w:rPr>
          <w:lang w:val="de-CH"/>
        </w:rPr>
        <w:tab/>
        <w:t xml:space="preserve">Basler Kommentar ZGB, BSK ZGB I, P. </w:t>
      </w:r>
      <w:r w:rsidRPr="00064878">
        <w:rPr>
          <w:smallCaps/>
          <w:lang w:val="de-CH"/>
        </w:rPr>
        <w:t>Breitschmid</w:t>
      </w:r>
      <w:r w:rsidRPr="00064878">
        <w:rPr>
          <w:lang w:val="de-CH"/>
        </w:rPr>
        <w:t xml:space="preserve">, N. 12 zu </w:t>
      </w:r>
      <w:r>
        <w:rPr>
          <w:lang w:val="de-CH"/>
        </w:rPr>
        <w:t>Art. </w:t>
      </w:r>
      <w:r w:rsidRPr="00064878">
        <w:rPr>
          <w:lang w:val="de-CH"/>
        </w:rPr>
        <w:t xml:space="preserve">287. </w:t>
      </w:r>
    </w:p>
  </w:footnote>
  <w:footnote w:id="10">
    <w:p w14:paraId="65427FAB" w14:textId="3B128EC9" w:rsidR="006E629F" w:rsidRPr="00064878" w:rsidRDefault="006E629F" w:rsidP="00D26BC1">
      <w:pPr>
        <w:pStyle w:val="Notedebasdepage"/>
        <w:tabs>
          <w:tab w:val="left" w:pos="284"/>
        </w:tabs>
        <w:rPr>
          <w:lang w:val="de-CH"/>
        </w:rPr>
      </w:pPr>
      <w:r w:rsidRPr="00064878">
        <w:rPr>
          <w:rStyle w:val="Appelnotedebasdep"/>
          <w:lang w:val="de-CH"/>
        </w:rPr>
        <w:footnoteRef/>
      </w:r>
      <w:r w:rsidRPr="00064878">
        <w:rPr>
          <w:lang w:val="de-CH"/>
        </w:rPr>
        <w:t xml:space="preserve"> </w:t>
      </w:r>
      <w:r w:rsidRPr="00064878">
        <w:rPr>
          <w:lang w:val="de-CH"/>
        </w:rPr>
        <w:tab/>
        <w:t xml:space="preserve">CR CC, F. </w:t>
      </w:r>
      <w:r w:rsidRPr="00064878">
        <w:rPr>
          <w:smallCaps/>
          <w:lang w:val="de-CH"/>
        </w:rPr>
        <w:t>Bastons Bulletti</w:t>
      </w:r>
      <w:r>
        <w:rPr>
          <w:lang w:val="de-CH"/>
        </w:rPr>
        <w:t>, N.</w:t>
      </w:r>
      <w:r w:rsidRPr="00064878">
        <w:rPr>
          <w:lang w:val="de-CH"/>
        </w:rPr>
        <w:t xml:space="preserve"> 10 und 12 zu </w:t>
      </w:r>
      <w:r>
        <w:rPr>
          <w:lang w:val="de-CH"/>
        </w:rPr>
        <w:t>Art. </w:t>
      </w:r>
      <w:r w:rsidRPr="00064878">
        <w:rPr>
          <w:lang w:val="de-CH"/>
        </w:rPr>
        <w:t xml:space="preserve">131/132. </w:t>
      </w:r>
    </w:p>
  </w:footnote>
  <w:footnote w:id="11">
    <w:p w14:paraId="0A22A3A2" w14:textId="2BBA3488" w:rsidR="006E629F" w:rsidRPr="00064878" w:rsidRDefault="006E629F" w:rsidP="00E63BEE">
      <w:pPr>
        <w:pStyle w:val="Notedebasdepage"/>
        <w:tabs>
          <w:tab w:val="left" w:pos="284"/>
        </w:tabs>
        <w:ind w:left="284" w:hanging="284"/>
        <w:jc w:val="both"/>
        <w:rPr>
          <w:lang w:val="de-CH"/>
        </w:rPr>
      </w:pPr>
      <w:r w:rsidRPr="00064878">
        <w:rPr>
          <w:rStyle w:val="Appelnotedebasdep"/>
          <w:lang w:val="de-CH"/>
        </w:rPr>
        <w:footnoteRef/>
      </w:r>
      <w:r w:rsidRPr="00064878">
        <w:rPr>
          <w:lang w:val="de-CH"/>
        </w:rPr>
        <w:t xml:space="preserve"> </w:t>
      </w:r>
      <w:r w:rsidRPr="00064878">
        <w:rPr>
          <w:lang w:val="de-CH"/>
        </w:rPr>
        <w:tab/>
        <w:t xml:space="preserve">Laut </w:t>
      </w:r>
      <w:r>
        <w:rPr>
          <w:lang w:val="de-CH"/>
        </w:rPr>
        <w:t>Artikel </w:t>
      </w:r>
      <w:r w:rsidRPr="00064878">
        <w:rPr>
          <w:lang w:val="de-CH"/>
        </w:rPr>
        <w:t xml:space="preserve">289 </w:t>
      </w:r>
      <w:r>
        <w:rPr>
          <w:lang w:val="de-CH"/>
        </w:rPr>
        <w:t>Abs. </w:t>
      </w:r>
      <w:r w:rsidRPr="00064878">
        <w:rPr>
          <w:lang w:val="de-CH"/>
        </w:rPr>
        <w:t xml:space="preserve">1 ZGB wird der dem Kind zustehende Anspruch auf Unterhaltsbeiträge, solange es minderjährig ist, durch Leistung an dessen gesetzlichen Vertreter oder den Inhaber der Obhut erfüllt, soweit das Gericht es nicht anders bestimmt. Mit der Einführung anderer Formen der Obhut (geteilte oder alternierende Obhut anstelle der alleinigen Obhut) muss das Gericht bestimmen können, an welchen Elternteil in solchen Fällen die Unterhaltsbeiträge ausbezahlt werden müssen (Botschaft des Bundesrates zu einer Änderung des Schweizerischen Zivilgesetzbuches [Kindesunterhalt] vom 29. November 2013, Kap. 2.3, BBl 2014 529, S. 582). </w:t>
      </w:r>
    </w:p>
  </w:footnote>
  <w:footnote w:id="12">
    <w:p w14:paraId="6DEC463B" w14:textId="7B682940" w:rsidR="006E629F" w:rsidRPr="00064878" w:rsidRDefault="006E629F" w:rsidP="00E63BEE">
      <w:pPr>
        <w:pStyle w:val="Notedebasdepage"/>
        <w:tabs>
          <w:tab w:val="left" w:pos="284"/>
        </w:tabs>
        <w:ind w:left="284" w:hanging="284"/>
        <w:jc w:val="both"/>
        <w:rPr>
          <w:lang w:val="de-CH"/>
        </w:rPr>
      </w:pPr>
      <w:r w:rsidRPr="00064878">
        <w:rPr>
          <w:rStyle w:val="Appelnotedebasdep"/>
          <w:lang w:val="de-CH"/>
        </w:rPr>
        <w:footnoteRef/>
      </w:r>
      <w:r w:rsidRPr="00064878">
        <w:rPr>
          <w:lang w:val="de-CH"/>
        </w:rPr>
        <w:t xml:space="preserve"> </w:t>
      </w:r>
      <w:r w:rsidRPr="00064878">
        <w:rPr>
          <w:lang w:val="de-CH"/>
        </w:rPr>
        <w:tab/>
      </w:r>
      <w:r>
        <w:rPr>
          <w:lang w:val="de-CH"/>
        </w:rPr>
        <w:t>Art. </w:t>
      </w:r>
      <w:r w:rsidRPr="00064878">
        <w:rPr>
          <w:lang w:val="de-CH"/>
        </w:rPr>
        <w:t xml:space="preserve">4 </w:t>
      </w:r>
      <w:r>
        <w:rPr>
          <w:lang w:val="de-CH"/>
        </w:rPr>
        <w:t>Abs. </w:t>
      </w:r>
      <w:r w:rsidRPr="00064878">
        <w:rPr>
          <w:lang w:val="de-CH"/>
        </w:rPr>
        <w:t xml:space="preserve">3 EUB und Weisungen zur Anwendung des Beschlusses vom 14. Dezember 1993 über die Eintreibung von Unterhaltsforderungen und die Ausrichtung von Vorschüssen für den Unterhalt der Kinder, Ehegatten und Ex-Ehegatten (Anwendungsweisungen) der Direktion für Gesundheit und Soziales vom 25. April 1997. </w:t>
      </w:r>
    </w:p>
  </w:footnote>
  <w:footnote w:id="13">
    <w:p w14:paraId="1C4F311C" w14:textId="77777777" w:rsidR="006E629F" w:rsidRPr="00064878" w:rsidRDefault="006E629F" w:rsidP="003237C8">
      <w:pPr>
        <w:pStyle w:val="Notedebasdepage"/>
        <w:tabs>
          <w:tab w:val="left" w:pos="284"/>
        </w:tabs>
        <w:jc w:val="both"/>
        <w:rPr>
          <w:lang w:val="de-CH"/>
        </w:rPr>
      </w:pPr>
      <w:r w:rsidRPr="00064878">
        <w:rPr>
          <w:rStyle w:val="Appelnotedebasdep"/>
          <w:lang w:val="de-CH"/>
        </w:rPr>
        <w:footnoteRef/>
      </w:r>
      <w:r w:rsidRPr="00064878">
        <w:rPr>
          <w:lang w:val="de-CH"/>
        </w:rPr>
        <w:t xml:space="preserve"> </w:t>
      </w:r>
      <w:r w:rsidRPr="00064878">
        <w:rPr>
          <w:lang w:val="de-CH"/>
        </w:rPr>
        <w:tab/>
        <w:t xml:space="preserve">ATF 134 I 313 Erw. 5.5 und Referenzen. </w:t>
      </w:r>
    </w:p>
  </w:footnote>
  <w:footnote w:id="14">
    <w:p w14:paraId="251BB366" w14:textId="19BF4A19" w:rsidR="006E629F" w:rsidRPr="00064878" w:rsidRDefault="006E629F" w:rsidP="003237C8">
      <w:pPr>
        <w:pStyle w:val="Notedebasdepage"/>
        <w:tabs>
          <w:tab w:val="left" w:pos="284"/>
        </w:tabs>
        <w:jc w:val="both"/>
        <w:rPr>
          <w:lang w:val="de-CH"/>
        </w:rPr>
      </w:pPr>
      <w:r w:rsidRPr="00064878">
        <w:rPr>
          <w:rStyle w:val="Appelnotedebasdep"/>
          <w:lang w:val="de-CH"/>
        </w:rPr>
        <w:footnoteRef/>
      </w:r>
      <w:r w:rsidRPr="00064878">
        <w:rPr>
          <w:lang w:val="de-CH"/>
        </w:rPr>
        <w:t xml:space="preserve"> </w:t>
      </w:r>
      <w:r w:rsidRPr="00064878">
        <w:rPr>
          <w:lang w:val="de-CH"/>
        </w:rPr>
        <w:tab/>
        <w:t xml:space="preserve">Vgl. </w:t>
      </w:r>
      <w:r>
        <w:rPr>
          <w:lang w:val="de-CH"/>
        </w:rPr>
        <w:t>Artikel </w:t>
      </w:r>
      <w:r w:rsidRPr="00064878">
        <w:rPr>
          <w:lang w:val="de-CH"/>
        </w:rPr>
        <w:t xml:space="preserve">2 der Anwendungsweisungen. </w:t>
      </w:r>
    </w:p>
  </w:footnote>
  <w:footnote w:id="15">
    <w:p w14:paraId="32BE1AAF" w14:textId="2CB397F2" w:rsidR="006E629F" w:rsidRPr="00064878" w:rsidRDefault="006E629F" w:rsidP="00D26694">
      <w:pPr>
        <w:pStyle w:val="Notedebasdepage"/>
        <w:tabs>
          <w:tab w:val="left" w:pos="284"/>
        </w:tabs>
        <w:ind w:left="284" w:hanging="284"/>
        <w:jc w:val="both"/>
        <w:rPr>
          <w:lang w:val="de-CH"/>
        </w:rPr>
      </w:pPr>
      <w:r w:rsidRPr="00064878">
        <w:rPr>
          <w:rStyle w:val="Appelnotedebasdep"/>
          <w:lang w:val="de-CH"/>
        </w:rPr>
        <w:footnoteRef/>
      </w:r>
      <w:r w:rsidRPr="00064878">
        <w:rPr>
          <w:lang w:val="de-CH"/>
        </w:rPr>
        <w:t xml:space="preserve"> </w:t>
      </w:r>
      <w:r w:rsidRPr="00064878">
        <w:rPr>
          <w:lang w:val="de-CH"/>
        </w:rPr>
        <w:tab/>
        <w:t>Der Kanton Waadt setzt die Grenze bei 940</w:t>
      </w:r>
      <w:r>
        <w:rPr>
          <w:lang w:val="de-CH"/>
        </w:rPr>
        <w:t> Franken</w:t>
      </w:r>
      <w:r w:rsidRPr="00064878">
        <w:rPr>
          <w:lang w:val="de-CH"/>
        </w:rPr>
        <w:t xml:space="preserve"> für das erste Kind fest, danach wird sie jeweils um einen Viertel pro Kind gesenkt (</w:t>
      </w:r>
      <w:r>
        <w:rPr>
          <w:lang w:val="de-CH"/>
        </w:rPr>
        <w:t>Art. </w:t>
      </w:r>
      <w:r w:rsidRPr="00064878">
        <w:rPr>
          <w:lang w:val="de-CH"/>
        </w:rPr>
        <w:t xml:space="preserve">7 </w:t>
      </w:r>
      <w:r>
        <w:rPr>
          <w:lang w:val="de-CH"/>
        </w:rPr>
        <w:t>Abs. </w:t>
      </w:r>
      <w:r w:rsidRPr="00064878">
        <w:rPr>
          <w:lang w:val="de-CH"/>
        </w:rPr>
        <w:t xml:space="preserve">1 </w:t>
      </w:r>
      <w:r w:rsidRPr="00064878">
        <w:rPr>
          <w:i/>
          <w:lang w:val="de-CH"/>
        </w:rPr>
        <w:t>Règlement d'application de la loi du 10 février 2004 sur le recouvrement et les avances sur pensions alimentaires du 30 novembre 2005</w:t>
      </w:r>
      <w:r w:rsidRPr="00064878">
        <w:rPr>
          <w:lang w:val="de-CH"/>
        </w:rPr>
        <w:t xml:space="preserve">, RLRAPA, RSVD 850 36.1). </w:t>
      </w:r>
    </w:p>
  </w:footnote>
  <w:footnote w:id="16">
    <w:p w14:paraId="4212821E" w14:textId="4C38ECB0" w:rsidR="006E629F" w:rsidRPr="00064878" w:rsidRDefault="006E629F" w:rsidP="00D26694">
      <w:pPr>
        <w:pStyle w:val="Notedebasdepage"/>
        <w:tabs>
          <w:tab w:val="left" w:pos="284"/>
        </w:tabs>
        <w:ind w:left="284" w:hanging="284"/>
        <w:jc w:val="both"/>
        <w:rPr>
          <w:lang w:val="de-CH"/>
        </w:rPr>
      </w:pPr>
      <w:r w:rsidRPr="00064878">
        <w:rPr>
          <w:rStyle w:val="Appelnotedebasdep"/>
          <w:lang w:val="de-CH"/>
        </w:rPr>
        <w:footnoteRef/>
      </w:r>
      <w:r w:rsidRPr="00064878">
        <w:rPr>
          <w:lang w:val="de-CH"/>
        </w:rPr>
        <w:t xml:space="preserve"> </w:t>
      </w:r>
      <w:r w:rsidRPr="00064878">
        <w:rPr>
          <w:lang w:val="de-CH"/>
        </w:rPr>
        <w:tab/>
        <w:t>FR: 400</w:t>
      </w:r>
      <w:r>
        <w:rPr>
          <w:lang w:val="de-CH"/>
        </w:rPr>
        <w:t> Franken</w:t>
      </w:r>
      <w:r w:rsidRPr="00064878">
        <w:rPr>
          <w:lang w:val="de-CH"/>
        </w:rPr>
        <w:t>; VS: 550</w:t>
      </w:r>
      <w:r>
        <w:rPr>
          <w:lang w:val="de-CH"/>
        </w:rPr>
        <w:t> Franken</w:t>
      </w:r>
      <w:r w:rsidRPr="00064878">
        <w:rPr>
          <w:lang w:val="de-CH"/>
        </w:rPr>
        <w:t> (in der laufenden Gesetzesrevision ist eine Anhebung der Obergrenze vorgesehen); GE: 673</w:t>
      </w:r>
      <w:r>
        <w:rPr>
          <w:lang w:val="de-CH"/>
        </w:rPr>
        <w:t> Franken</w:t>
      </w:r>
      <w:r w:rsidRPr="00064878">
        <w:rPr>
          <w:lang w:val="de-CH"/>
        </w:rPr>
        <w:t>; TI: 700</w:t>
      </w:r>
      <w:r>
        <w:rPr>
          <w:lang w:val="de-CH"/>
        </w:rPr>
        <w:t> Franken</w:t>
      </w:r>
      <w:r w:rsidRPr="00064878">
        <w:rPr>
          <w:lang w:val="de-CH"/>
        </w:rPr>
        <w:t>; GR: 736</w:t>
      </w:r>
      <w:r>
        <w:rPr>
          <w:lang w:val="de-CH"/>
        </w:rPr>
        <w:t> Franken</w:t>
      </w:r>
      <w:r w:rsidRPr="00064878">
        <w:rPr>
          <w:lang w:val="de-CH"/>
        </w:rPr>
        <w:t>; JU: 738</w:t>
      </w:r>
      <w:r>
        <w:rPr>
          <w:lang w:val="de-CH"/>
        </w:rPr>
        <w:t> Franken</w:t>
      </w:r>
      <w:r w:rsidRPr="00064878">
        <w:rPr>
          <w:lang w:val="de-CH"/>
        </w:rPr>
        <w:t xml:space="preserve"> (für die beiden ersten Kinder, dann degressiv); ZG: 1070</w:t>
      </w:r>
      <w:r>
        <w:rPr>
          <w:lang w:val="de-CH"/>
        </w:rPr>
        <w:t> Franken</w:t>
      </w:r>
      <w:r w:rsidRPr="00064878">
        <w:rPr>
          <w:lang w:val="de-CH"/>
        </w:rPr>
        <w:t xml:space="preserve"> (für die beiden ersten Kinder, dann degressiv); NE: 2000</w:t>
      </w:r>
      <w:r>
        <w:rPr>
          <w:lang w:val="de-CH"/>
        </w:rPr>
        <w:t> Franken</w:t>
      </w:r>
      <w:r w:rsidRPr="00064878">
        <w:rPr>
          <w:lang w:val="de-CH"/>
        </w:rPr>
        <w:t xml:space="preserve">. </w:t>
      </w:r>
    </w:p>
  </w:footnote>
  <w:footnote w:id="17">
    <w:p w14:paraId="5B168ADE" w14:textId="77B5D889" w:rsidR="006E629F" w:rsidRPr="00064878" w:rsidRDefault="006E629F" w:rsidP="007D3DC0">
      <w:pPr>
        <w:pStyle w:val="Notedebasdepage"/>
        <w:tabs>
          <w:tab w:val="left" w:pos="284"/>
        </w:tabs>
        <w:jc w:val="both"/>
        <w:rPr>
          <w:lang w:val="de-CH"/>
        </w:rPr>
      </w:pPr>
      <w:r w:rsidRPr="00064878">
        <w:rPr>
          <w:rStyle w:val="Appelnotedebasdep"/>
          <w:lang w:val="de-CH"/>
        </w:rPr>
        <w:footnoteRef/>
      </w:r>
      <w:r w:rsidRPr="00064878">
        <w:rPr>
          <w:lang w:val="de-CH"/>
        </w:rPr>
        <w:t xml:space="preserve"> </w:t>
      </w:r>
      <w:r w:rsidRPr="00064878">
        <w:rPr>
          <w:lang w:val="de-CH"/>
        </w:rPr>
        <w:tab/>
        <w:t>Harmonisie</w:t>
      </w:r>
      <w:r>
        <w:rPr>
          <w:lang w:val="de-CH"/>
        </w:rPr>
        <w:t>rungs-Bericht, S. </w:t>
      </w:r>
      <w:r w:rsidRPr="00064878">
        <w:rPr>
          <w:lang w:val="de-CH"/>
        </w:rPr>
        <w:t xml:space="preserve">40. </w:t>
      </w:r>
    </w:p>
  </w:footnote>
  <w:footnote w:id="18">
    <w:p w14:paraId="0ADA5BEA" w14:textId="51B3AD16" w:rsidR="006E629F" w:rsidRPr="00064878" w:rsidRDefault="006E629F" w:rsidP="007D3DC0">
      <w:pPr>
        <w:pStyle w:val="Notedebasdepage"/>
        <w:tabs>
          <w:tab w:val="left" w:pos="284"/>
        </w:tabs>
        <w:jc w:val="both"/>
        <w:rPr>
          <w:lang w:val="de-CH"/>
        </w:rPr>
      </w:pPr>
      <w:r w:rsidRPr="00064878">
        <w:rPr>
          <w:rStyle w:val="Appelnotedebasdep"/>
          <w:lang w:val="de-CH"/>
        </w:rPr>
        <w:footnoteRef/>
      </w:r>
      <w:r w:rsidRPr="00064878">
        <w:rPr>
          <w:lang w:val="de-CH"/>
        </w:rPr>
        <w:t xml:space="preserve"> </w:t>
      </w:r>
      <w:r w:rsidRPr="00064878">
        <w:rPr>
          <w:lang w:val="de-CH"/>
        </w:rPr>
        <w:tab/>
      </w:r>
      <w:r>
        <w:rPr>
          <w:lang w:val="de-CH"/>
        </w:rPr>
        <w:t>SODK-Empfehlungen, Kap. 2.3, S. </w:t>
      </w:r>
      <w:r w:rsidRPr="00064878">
        <w:rPr>
          <w:lang w:val="de-CH"/>
        </w:rPr>
        <w:t xml:space="preserve">21. </w:t>
      </w:r>
    </w:p>
  </w:footnote>
  <w:footnote w:id="19">
    <w:p w14:paraId="7604DDBF" w14:textId="256C1CCD" w:rsidR="006E629F" w:rsidRPr="00064878" w:rsidRDefault="006E629F" w:rsidP="00C01E8C">
      <w:pPr>
        <w:pStyle w:val="Notedebasdepage"/>
        <w:tabs>
          <w:tab w:val="left" w:pos="284"/>
        </w:tabs>
        <w:jc w:val="both"/>
        <w:rPr>
          <w:lang w:val="de-CH"/>
        </w:rPr>
      </w:pPr>
      <w:r w:rsidRPr="00064878">
        <w:rPr>
          <w:rStyle w:val="Appelnotedebasdep"/>
          <w:lang w:val="de-CH"/>
        </w:rPr>
        <w:footnoteRef/>
      </w:r>
      <w:r>
        <w:rPr>
          <w:lang w:val="de-CH"/>
        </w:rPr>
        <w:t xml:space="preserve"> </w:t>
      </w:r>
      <w:r>
        <w:rPr>
          <w:lang w:val="de-CH"/>
        </w:rPr>
        <w:tab/>
        <w:t>SODK-Empfehlungen, S. 11, Kap. </w:t>
      </w:r>
      <w:r w:rsidRPr="00064878">
        <w:rPr>
          <w:lang w:val="de-CH"/>
        </w:rPr>
        <w:t xml:space="preserve">2.1.1. </w:t>
      </w:r>
    </w:p>
  </w:footnote>
  <w:footnote w:id="20">
    <w:p w14:paraId="33BBDC01" w14:textId="499F2A36" w:rsidR="006E629F" w:rsidRPr="00064878" w:rsidRDefault="006E629F" w:rsidP="00C01E8C">
      <w:pPr>
        <w:pStyle w:val="Notedebasdepage"/>
        <w:tabs>
          <w:tab w:val="left" w:pos="284"/>
        </w:tabs>
        <w:jc w:val="both"/>
        <w:rPr>
          <w:lang w:val="de-CH"/>
        </w:rPr>
      </w:pPr>
      <w:r w:rsidRPr="00064878">
        <w:rPr>
          <w:rStyle w:val="Appelnotedebasdep"/>
          <w:lang w:val="de-CH"/>
        </w:rPr>
        <w:footnoteRef/>
      </w:r>
      <w:r>
        <w:rPr>
          <w:lang w:val="de-CH"/>
        </w:rPr>
        <w:t xml:space="preserve"> </w:t>
      </w:r>
      <w:r>
        <w:rPr>
          <w:lang w:val="de-CH"/>
        </w:rPr>
        <w:tab/>
        <w:t>Harmonisierungs-Bericht, S. </w:t>
      </w:r>
      <w:r w:rsidRPr="00064878">
        <w:rPr>
          <w:lang w:val="de-CH"/>
        </w:rPr>
        <w:t xml:space="preserve">41. </w:t>
      </w:r>
    </w:p>
  </w:footnote>
  <w:footnote w:id="21">
    <w:p w14:paraId="48F3D054" w14:textId="35A1A322" w:rsidR="006E629F" w:rsidRPr="00064878" w:rsidRDefault="006E629F" w:rsidP="00C01E8C">
      <w:pPr>
        <w:pStyle w:val="Notedebasdepage"/>
        <w:tabs>
          <w:tab w:val="left" w:pos="284"/>
        </w:tabs>
        <w:jc w:val="both"/>
        <w:rPr>
          <w:lang w:val="de-CH"/>
        </w:rPr>
      </w:pPr>
      <w:r w:rsidRPr="00064878">
        <w:rPr>
          <w:rStyle w:val="Appelnotedebasdep"/>
          <w:lang w:val="de-CH"/>
        </w:rPr>
        <w:footnoteRef/>
      </w:r>
      <w:r>
        <w:rPr>
          <w:lang w:val="de-CH"/>
        </w:rPr>
        <w:t xml:space="preserve"> </w:t>
      </w:r>
      <w:r>
        <w:rPr>
          <w:lang w:val="de-CH"/>
        </w:rPr>
        <w:tab/>
        <w:t>SODK-Empfehlungen, S. </w:t>
      </w:r>
      <w:r w:rsidRPr="00064878">
        <w:rPr>
          <w:lang w:val="de-CH"/>
        </w:rPr>
        <w:t>20, Kap.</w:t>
      </w:r>
      <w:r>
        <w:rPr>
          <w:lang w:val="de-CH"/>
        </w:rPr>
        <w:t> </w:t>
      </w:r>
      <w:r w:rsidRPr="00064878">
        <w:rPr>
          <w:lang w:val="de-CH"/>
        </w:rPr>
        <w:t xml:space="preserve">2.4.2. </w:t>
      </w:r>
    </w:p>
  </w:footnote>
  <w:footnote w:id="22">
    <w:p w14:paraId="4C8C08AC" w14:textId="19E96E0B" w:rsidR="006E629F" w:rsidRPr="00064878" w:rsidRDefault="006E629F" w:rsidP="003237C8">
      <w:pPr>
        <w:pStyle w:val="Notedebasdepage"/>
        <w:tabs>
          <w:tab w:val="left" w:pos="284"/>
        </w:tabs>
        <w:ind w:left="284" w:hanging="284"/>
        <w:jc w:val="both"/>
        <w:rPr>
          <w:lang w:val="de-CH"/>
        </w:rPr>
      </w:pPr>
      <w:r w:rsidRPr="00064878">
        <w:rPr>
          <w:rStyle w:val="Appelnotedebasdep"/>
          <w:lang w:val="de-CH"/>
        </w:rPr>
        <w:footnoteRef/>
      </w:r>
      <w:r w:rsidRPr="00064878">
        <w:rPr>
          <w:lang w:val="de-CH"/>
        </w:rPr>
        <w:t xml:space="preserve"> </w:t>
      </w:r>
      <w:r w:rsidRPr="00064878">
        <w:rPr>
          <w:lang w:val="de-CH"/>
        </w:rPr>
        <w:tab/>
        <w:t xml:space="preserve">Die Bestimmung übernimmt die Begriffe aus </w:t>
      </w:r>
      <w:r>
        <w:rPr>
          <w:lang w:val="de-CH"/>
        </w:rPr>
        <w:t>Artikel </w:t>
      </w:r>
      <w:r w:rsidRPr="00064878">
        <w:rPr>
          <w:lang w:val="de-CH"/>
        </w:rPr>
        <w:t xml:space="preserve">25 </w:t>
      </w:r>
      <w:r>
        <w:rPr>
          <w:lang w:val="de-CH"/>
        </w:rPr>
        <w:t>Abs. </w:t>
      </w:r>
      <w:r w:rsidRPr="00064878">
        <w:rPr>
          <w:lang w:val="de-CH"/>
        </w:rPr>
        <w:t xml:space="preserve">1 des Bundesgesetzes über den Allgemeinen Teil des Sozialversicherungsrechts (ATSG). </w:t>
      </w:r>
    </w:p>
  </w:footnote>
  <w:footnote w:id="23">
    <w:p w14:paraId="33358660" w14:textId="511DBE6B" w:rsidR="006E629F" w:rsidRPr="00064878" w:rsidRDefault="006E629F" w:rsidP="003237C8">
      <w:pPr>
        <w:pStyle w:val="Notedebasdepage"/>
        <w:tabs>
          <w:tab w:val="left" w:pos="284"/>
        </w:tabs>
        <w:jc w:val="both"/>
        <w:rPr>
          <w:lang w:val="de-CH"/>
        </w:rPr>
      </w:pPr>
      <w:r w:rsidRPr="00064878">
        <w:rPr>
          <w:rStyle w:val="Appelnotedebasdep"/>
          <w:lang w:val="de-CH"/>
        </w:rPr>
        <w:footnoteRef/>
      </w:r>
      <w:r w:rsidRPr="00064878">
        <w:rPr>
          <w:lang w:val="de-CH"/>
        </w:rPr>
        <w:t xml:space="preserve"> </w:t>
      </w:r>
      <w:r w:rsidRPr="00064878">
        <w:rPr>
          <w:lang w:val="de-CH"/>
        </w:rPr>
        <w:tab/>
        <w:t>Urteile des Kantonsg</w:t>
      </w:r>
      <w:r>
        <w:rPr>
          <w:lang w:val="de-CH"/>
        </w:rPr>
        <w:t>erichts 603 2013 308-317 vom 4. April 2016 und 3A 04 155 vom 16. November </w:t>
      </w:r>
      <w:r w:rsidRPr="00064878">
        <w:rPr>
          <w:lang w:val="de-CH"/>
        </w:rPr>
        <w:t xml:space="preserve">2004. </w:t>
      </w:r>
    </w:p>
  </w:footnote>
  <w:footnote w:id="24">
    <w:p w14:paraId="2770ED30" w14:textId="232F2E4F" w:rsidR="006E629F" w:rsidRPr="00064878" w:rsidRDefault="006E629F" w:rsidP="008C2CD9">
      <w:pPr>
        <w:pStyle w:val="Notedebasdepage"/>
        <w:tabs>
          <w:tab w:val="left" w:pos="284"/>
        </w:tabs>
        <w:ind w:left="284" w:hanging="284"/>
        <w:jc w:val="both"/>
        <w:rPr>
          <w:lang w:val="de-CH"/>
        </w:rPr>
      </w:pPr>
      <w:r w:rsidRPr="00064878">
        <w:rPr>
          <w:rStyle w:val="Appelnotedebasdep"/>
          <w:lang w:val="de-CH"/>
        </w:rPr>
        <w:footnoteRef/>
      </w:r>
      <w:r w:rsidRPr="00064878">
        <w:rPr>
          <w:lang w:val="de-CH"/>
        </w:rPr>
        <w:tab/>
        <w:t>Urteil des Europäischen Gericht</w:t>
      </w:r>
      <w:r>
        <w:rPr>
          <w:lang w:val="de-CH"/>
        </w:rPr>
        <w:t>shof für Menschenrechte vom 18. </w:t>
      </w:r>
      <w:r w:rsidRPr="00064878">
        <w:rPr>
          <w:lang w:val="de-CH"/>
        </w:rPr>
        <w:t>O</w:t>
      </w:r>
      <w:r>
        <w:rPr>
          <w:lang w:val="de-CH"/>
        </w:rPr>
        <w:t>ktober </w:t>
      </w:r>
      <w:r w:rsidRPr="00064878">
        <w:rPr>
          <w:lang w:val="de-CH"/>
        </w:rPr>
        <w:t xml:space="preserve">2016 i.S. Vukota-Boijc gegen die Schweiz (61838 / 10). </w:t>
      </w:r>
    </w:p>
  </w:footnote>
  <w:footnote w:id="25">
    <w:p w14:paraId="32481BE3" w14:textId="3C97A033" w:rsidR="006E629F" w:rsidRPr="00064878" w:rsidRDefault="006E629F" w:rsidP="009E33E3">
      <w:pPr>
        <w:pStyle w:val="Notedebasdepage"/>
        <w:tabs>
          <w:tab w:val="left" w:pos="284"/>
        </w:tabs>
        <w:ind w:left="284" w:hanging="284"/>
        <w:jc w:val="both"/>
        <w:rPr>
          <w:lang w:val="de-CH"/>
        </w:rPr>
      </w:pPr>
      <w:r w:rsidRPr="00064878">
        <w:rPr>
          <w:rStyle w:val="Appelnotedebasdep"/>
          <w:lang w:val="de-CH"/>
        </w:rPr>
        <w:footnoteRef/>
      </w:r>
      <w:r w:rsidRPr="00064878">
        <w:rPr>
          <w:lang w:val="de-CH"/>
        </w:rPr>
        <w:tab/>
        <w:t xml:space="preserve">Die Erläuterung zu </w:t>
      </w:r>
      <w:r>
        <w:rPr>
          <w:lang w:val="de-CH"/>
        </w:rPr>
        <w:t>Artikel </w:t>
      </w:r>
      <w:r w:rsidRPr="00064878">
        <w:rPr>
          <w:lang w:val="de-CH"/>
        </w:rPr>
        <w:t>15 wurde weitgehend aus dem Bericht der Kommission für soziale Sicherheit und Ge</w:t>
      </w:r>
      <w:r>
        <w:rPr>
          <w:lang w:val="de-CH"/>
        </w:rPr>
        <w:t>sundheit des Ständerates vom 7. September 2017 zur Änderung des ATSG, BBl 2017 </w:t>
      </w:r>
      <w:r w:rsidRPr="00064878">
        <w:rPr>
          <w:lang w:val="de-CH"/>
        </w:rPr>
        <w:t>7403, und der Stellungnahme des Bundesrates vom 1.</w:t>
      </w:r>
      <w:r>
        <w:rPr>
          <w:lang w:val="de-CH"/>
        </w:rPr>
        <w:t> November </w:t>
      </w:r>
      <w:r w:rsidRPr="00064878">
        <w:rPr>
          <w:lang w:val="de-CH"/>
        </w:rPr>
        <w:t xml:space="preserve">2017, BBl 2017 7421, übernommen. </w:t>
      </w:r>
    </w:p>
  </w:footnote>
  <w:footnote w:id="26">
    <w:p w14:paraId="136297F4" w14:textId="2A8AC98F" w:rsidR="006E629F" w:rsidRPr="00064878" w:rsidRDefault="006E629F" w:rsidP="00C01E8C">
      <w:pPr>
        <w:pStyle w:val="Notedebasdepage"/>
        <w:tabs>
          <w:tab w:val="left" w:pos="284"/>
        </w:tabs>
        <w:ind w:left="284" w:hanging="284"/>
        <w:jc w:val="both"/>
        <w:rPr>
          <w:lang w:val="de-CH"/>
        </w:rPr>
      </w:pPr>
      <w:r w:rsidRPr="00064878">
        <w:rPr>
          <w:rStyle w:val="Appelnotedebasdep"/>
          <w:lang w:val="de-CH"/>
        </w:rPr>
        <w:footnoteRef/>
      </w:r>
      <w:r w:rsidRPr="00064878">
        <w:rPr>
          <w:lang w:val="de-CH"/>
        </w:rPr>
        <w:t xml:space="preserve"> </w:t>
      </w:r>
      <w:r w:rsidRPr="00064878">
        <w:rPr>
          <w:lang w:val="de-CH"/>
        </w:rPr>
        <w:tab/>
      </w:r>
      <w:r>
        <w:rPr>
          <w:lang w:val="de-CH"/>
        </w:rPr>
        <w:t>Art. </w:t>
      </w:r>
      <w:r w:rsidRPr="00064878">
        <w:rPr>
          <w:lang w:val="de-CH"/>
        </w:rPr>
        <w:t xml:space="preserve">81 </w:t>
      </w:r>
      <w:r>
        <w:rPr>
          <w:lang w:val="de-CH"/>
        </w:rPr>
        <w:t>Abs. </w:t>
      </w:r>
      <w:r w:rsidRPr="00064878">
        <w:rPr>
          <w:lang w:val="de-CH"/>
        </w:rPr>
        <w:t xml:space="preserve">2 EGZGB, durch Verweis von </w:t>
      </w:r>
      <w:r>
        <w:rPr>
          <w:lang w:val="de-CH"/>
        </w:rPr>
        <w:t>Art. </w:t>
      </w:r>
      <w:r w:rsidRPr="00064878">
        <w:rPr>
          <w:lang w:val="de-CH"/>
        </w:rPr>
        <w:t xml:space="preserve">89 </w:t>
      </w:r>
      <w:r>
        <w:rPr>
          <w:lang w:val="de-CH"/>
        </w:rPr>
        <w:t>Abs. </w:t>
      </w:r>
      <w:r w:rsidRPr="00064878">
        <w:rPr>
          <w:lang w:val="de-CH"/>
        </w:rPr>
        <w:t xml:space="preserve">2 Bst. a EGZGB. </w:t>
      </w:r>
    </w:p>
  </w:footnote>
  <w:footnote w:id="27">
    <w:p w14:paraId="486C1FDE" w14:textId="77777777" w:rsidR="006E629F" w:rsidRPr="00064878" w:rsidRDefault="006E629F" w:rsidP="00E67F70">
      <w:pPr>
        <w:pStyle w:val="Notedebasdepage"/>
        <w:tabs>
          <w:tab w:val="left" w:pos="284"/>
        </w:tabs>
        <w:ind w:left="284" w:hanging="284"/>
        <w:jc w:val="both"/>
        <w:rPr>
          <w:lang w:val="de-CH"/>
        </w:rPr>
      </w:pPr>
      <w:r w:rsidRPr="00064878">
        <w:rPr>
          <w:rStyle w:val="Appelnotedebasdep"/>
          <w:lang w:val="de-CH"/>
        </w:rPr>
        <w:footnoteRef/>
      </w:r>
      <w:r w:rsidRPr="00064878">
        <w:rPr>
          <w:lang w:val="de-CH"/>
        </w:rPr>
        <w:tab/>
        <w:t xml:space="preserve">Zur Frage der erworbenen Rechte, vgl. </w:t>
      </w:r>
      <w:r w:rsidRPr="00064878">
        <w:rPr>
          <w:smallCaps/>
          <w:lang w:val="de-CH"/>
        </w:rPr>
        <w:t xml:space="preserve">Dubey/Zufferey, </w:t>
      </w:r>
      <w:r w:rsidRPr="00064878">
        <w:rPr>
          <w:i/>
          <w:lang w:val="de-CH"/>
        </w:rPr>
        <w:t>Droit administratif général</w:t>
      </w:r>
      <w:r w:rsidRPr="00064878">
        <w:rPr>
          <w:lang w:val="de-CH"/>
        </w:rPr>
        <w:t xml:space="preserve">, Basel 2014, § 24. </w:t>
      </w:r>
    </w:p>
  </w:footnote>
  <w:footnote w:id="28">
    <w:p w14:paraId="770F5246" w14:textId="19C1B4E1" w:rsidR="006E629F" w:rsidRPr="00064878" w:rsidRDefault="006E629F" w:rsidP="001D5475">
      <w:pPr>
        <w:pStyle w:val="Notedebasdepage"/>
        <w:tabs>
          <w:tab w:val="left" w:pos="284"/>
        </w:tabs>
        <w:ind w:left="284" w:hanging="284"/>
        <w:jc w:val="both"/>
        <w:rPr>
          <w:lang w:val="de-CH"/>
        </w:rPr>
      </w:pPr>
      <w:r w:rsidRPr="00064878">
        <w:rPr>
          <w:rStyle w:val="Appelnotedebasdep"/>
          <w:lang w:val="de-CH"/>
        </w:rPr>
        <w:footnoteRef/>
      </w:r>
      <w:r>
        <w:rPr>
          <w:lang w:val="de-CH"/>
        </w:rPr>
        <w:tab/>
        <w:t>Der Rechnung </w:t>
      </w:r>
      <w:r w:rsidRPr="00064878">
        <w:rPr>
          <w:lang w:val="de-CH"/>
        </w:rPr>
        <w:t>2019 ist zulasten der Gemeinden wie auch des Kantons ein Betrag von 1</w:t>
      </w:r>
      <w:r>
        <w:rPr>
          <w:lang w:val="de-CH"/>
        </w:rPr>
        <w:t> 599 </w:t>
      </w:r>
      <w:r w:rsidRPr="00064878">
        <w:rPr>
          <w:lang w:val="de-CH"/>
        </w:rPr>
        <w:t>161</w:t>
      </w:r>
      <w:r>
        <w:rPr>
          <w:lang w:val="de-CH"/>
        </w:rPr>
        <w:t> Franken</w:t>
      </w:r>
      <w:r w:rsidRPr="00064878">
        <w:rPr>
          <w:lang w:val="de-CH"/>
        </w:rPr>
        <w:t xml:space="preserve"> zu entnehmen. </w:t>
      </w:r>
    </w:p>
  </w:footnote>
  <w:footnote w:id="29">
    <w:p w14:paraId="674E6949" w14:textId="77777777" w:rsidR="006E629F" w:rsidRPr="00064878" w:rsidRDefault="006E629F" w:rsidP="00166E83">
      <w:pPr>
        <w:pStyle w:val="Notedebasdepage"/>
        <w:tabs>
          <w:tab w:val="left" w:pos="284"/>
        </w:tabs>
        <w:ind w:left="284" w:hanging="284"/>
        <w:jc w:val="both"/>
        <w:rPr>
          <w:lang w:val="de-CH"/>
        </w:rPr>
      </w:pPr>
      <w:r w:rsidRPr="00064878">
        <w:rPr>
          <w:rStyle w:val="Appelnotedebasdep"/>
          <w:lang w:val="de-CH"/>
        </w:rPr>
        <w:footnoteRef/>
      </w:r>
      <w:r w:rsidRPr="00064878">
        <w:rPr>
          <w:lang w:val="de-CH"/>
        </w:rPr>
        <w:t xml:space="preserve"> </w:t>
      </w:r>
      <w:r w:rsidRPr="00064878">
        <w:rPr>
          <w:lang w:val="de-CH"/>
        </w:rPr>
        <w:tab/>
        <w:t xml:space="preserve">Namentlich BGE 143 III 177, BGer, Urteil 5A_634/20213 vom 12.3.2014 Erw. 4.1.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298DC" w14:textId="7F14D126" w:rsidR="006E629F" w:rsidRDefault="006E629F" w:rsidP="006E40A2">
    <w:pPr>
      <w:pStyle w:val="En-tte"/>
      <w:tabs>
        <w:tab w:val="clear" w:pos="4536"/>
        <w:tab w:val="clear" w:pos="9072"/>
        <w:tab w:val="left" w:pos="227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B0732"/>
    <w:multiLevelType w:val="hybridMultilevel"/>
    <w:tmpl w:val="97668A0E"/>
    <w:lvl w:ilvl="0" w:tplc="77A80E0E">
      <w:start w:val="1"/>
      <w:numFmt w:val="lowerLetter"/>
      <w:lvlText w:val="%1)"/>
      <w:lvlJc w:val="left"/>
      <w:pPr>
        <w:ind w:left="1069" w:hanging="360"/>
      </w:pPr>
    </w:lvl>
    <w:lvl w:ilvl="1" w:tplc="100C0019">
      <w:start w:val="1"/>
      <w:numFmt w:val="lowerLetter"/>
      <w:lvlText w:val="%2."/>
      <w:lvlJc w:val="left"/>
      <w:pPr>
        <w:ind w:left="1789" w:hanging="360"/>
      </w:pPr>
    </w:lvl>
    <w:lvl w:ilvl="2" w:tplc="100C001B">
      <w:start w:val="1"/>
      <w:numFmt w:val="lowerRoman"/>
      <w:lvlText w:val="%3."/>
      <w:lvlJc w:val="right"/>
      <w:pPr>
        <w:ind w:left="2509" w:hanging="180"/>
      </w:pPr>
    </w:lvl>
    <w:lvl w:ilvl="3" w:tplc="100C000F">
      <w:start w:val="1"/>
      <w:numFmt w:val="decimal"/>
      <w:lvlText w:val="%4."/>
      <w:lvlJc w:val="left"/>
      <w:pPr>
        <w:ind w:left="3229" w:hanging="360"/>
      </w:pPr>
    </w:lvl>
    <w:lvl w:ilvl="4" w:tplc="100C0019">
      <w:start w:val="1"/>
      <w:numFmt w:val="lowerLetter"/>
      <w:lvlText w:val="%5."/>
      <w:lvlJc w:val="left"/>
      <w:pPr>
        <w:ind w:left="3949" w:hanging="360"/>
      </w:pPr>
    </w:lvl>
    <w:lvl w:ilvl="5" w:tplc="100C001B">
      <w:start w:val="1"/>
      <w:numFmt w:val="lowerRoman"/>
      <w:lvlText w:val="%6."/>
      <w:lvlJc w:val="right"/>
      <w:pPr>
        <w:ind w:left="4669" w:hanging="180"/>
      </w:pPr>
    </w:lvl>
    <w:lvl w:ilvl="6" w:tplc="100C000F">
      <w:start w:val="1"/>
      <w:numFmt w:val="decimal"/>
      <w:lvlText w:val="%7."/>
      <w:lvlJc w:val="left"/>
      <w:pPr>
        <w:ind w:left="5389" w:hanging="360"/>
      </w:pPr>
    </w:lvl>
    <w:lvl w:ilvl="7" w:tplc="100C0019">
      <w:start w:val="1"/>
      <w:numFmt w:val="lowerLetter"/>
      <w:lvlText w:val="%8."/>
      <w:lvlJc w:val="left"/>
      <w:pPr>
        <w:ind w:left="6109" w:hanging="360"/>
      </w:pPr>
    </w:lvl>
    <w:lvl w:ilvl="8" w:tplc="100C001B">
      <w:start w:val="1"/>
      <w:numFmt w:val="lowerRoman"/>
      <w:lvlText w:val="%9."/>
      <w:lvlJc w:val="right"/>
      <w:pPr>
        <w:ind w:left="6829" w:hanging="180"/>
      </w:pPr>
    </w:lvl>
  </w:abstractNum>
  <w:abstractNum w:abstractNumId="1" w15:restartNumberingAfterBreak="0">
    <w:nsid w:val="0C293AD1"/>
    <w:multiLevelType w:val="hybridMultilevel"/>
    <w:tmpl w:val="426C91B4"/>
    <w:lvl w:ilvl="0" w:tplc="36863DD6">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123B27E5"/>
    <w:multiLevelType w:val="hybridMultilevel"/>
    <w:tmpl w:val="67ACCE68"/>
    <w:lvl w:ilvl="0" w:tplc="C2C0ECB6">
      <w:numFmt w:val="bullet"/>
      <w:lvlText w:val="-"/>
      <w:lvlJc w:val="left"/>
      <w:pPr>
        <w:ind w:left="720" w:hanging="360"/>
      </w:pPr>
      <w:rPr>
        <w:rFonts w:ascii="Times New Roman" w:eastAsiaTheme="minorHAnsi" w:hAnsi="Times New Roman" w:cs="Times New Roman" w:hint="default"/>
      </w:rPr>
    </w:lvl>
    <w:lvl w:ilvl="1" w:tplc="100C000B">
      <w:start w:val="1"/>
      <w:numFmt w:val="bullet"/>
      <w:lvlText w:val=""/>
      <w:lvlJc w:val="left"/>
      <w:pPr>
        <w:ind w:left="1440" w:hanging="360"/>
      </w:pPr>
      <w:rPr>
        <w:rFonts w:ascii="Wingdings" w:hAnsi="Wingdings"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3" w15:restartNumberingAfterBreak="0">
    <w:nsid w:val="12BC7B93"/>
    <w:multiLevelType w:val="hybridMultilevel"/>
    <w:tmpl w:val="A496B6A4"/>
    <w:lvl w:ilvl="0" w:tplc="B1A0E9B6">
      <w:start w:val="1"/>
      <w:numFmt w:val="lowerLetter"/>
      <w:lvlText w:val="%1)"/>
      <w:lvlJc w:val="left"/>
      <w:pPr>
        <w:ind w:left="3905" w:hanging="360"/>
      </w:pPr>
    </w:lvl>
    <w:lvl w:ilvl="1" w:tplc="100C0019">
      <w:start w:val="1"/>
      <w:numFmt w:val="lowerLetter"/>
      <w:lvlText w:val="%2."/>
      <w:lvlJc w:val="left"/>
      <w:pPr>
        <w:ind w:left="4625" w:hanging="360"/>
      </w:pPr>
    </w:lvl>
    <w:lvl w:ilvl="2" w:tplc="100C001B">
      <w:start w:val="1"/>
      <w:numFmt w:val="lowerRoman"/>
      <w:lvlText w:val="%3."/>
      <w:lvlJc w:val="right"/>
      <w:pPr>
        <w:ind w:left="5345" w:hanging="180"/>
      </w:pPr>
    </w:lvl>
    <w:lvl w:ilvl="3" w:tplc="100C000F">
      <w:start w:val="1"/>
      <w:numFmt w:val="decimal"/>
      <w:lvlText w:val="%4."/>
      <w:lvlJc w:val="left"/>
      <w:pPr>
        <w:ind w:left="6065" w:hanging="360"/>
      </w:pPr>
    </w:lvl>
    <w:lvl w:ilvl="4" w:tplc="100C0019">
      <w:start w:val="1"/>
      <w:numFmt w:val="lowerLetter"/>
      <w:lvlText w:val="%5."/>
      <w:lvlJc w:val="left"/>
      <w:pPr>
        <w:ind w:left="6785" w:hanging="360"/>
      </w:pPr>
    </w:lvl>
    <w:lvl w:ilvl="5" w:tplc="100C001B">
      <w:start w:val="1"/>
      <w:numFmt w:val="lowerRoman"/>
      <w:lvlText w:val="%6."/>
      <w:lvlJc w:val="right"/>
      <w:pPr>
        <w:ind w:left="7505" w:hanging="180"/>
      </w:pPr>
    </w:lvl>
    <w:lvl w:ilvl="6" w:tplc="100C000F">
      <w:start w:val="1"/>
      <w:numFmt w:val="decimal"/>
      <w:lvlText w:val="%7."/>
      <w:lvlJc w:val="left"/>
      <w:pPr>
        <w:ind w:left="8225" w:hanging="360"/>
      </w:pPr>
    </w:lvl>
    <w:lvl w:ilvl="7" w:tplc="100C0019">
      <w:start w:val="1"/>
      <w:numFmt w:val="lowerLetter"/>
      <w:lvlText w:val="%8."/>
      <w:lvlJc w:val="left"/>
      <w:pPr>
        <w:ind w:left="8945" w:hanging="360"/>
      </w:pPr>
    </w:lvl>
    <w:lvl w:ilvl="8" w:tplc="100C001B">
      <w:start w:val="1"/>
      <w:numFmt w:val="lowerRoman"/>
      <w:lvlText w:val="%9."/>
      <w:lvlJc w:val="right"/>
      <w:pPr>
        <w:ind w:left="9665" w:hanging="180"/>
      </w:pPr>
    </w:lvl>
  </w:abstractNum>
  <w:abstractNum w:abstractNumId="4" w15:restartNumberingAfterBreak="0">
    <w:nsid w:val="16BE2475"/>
    <w:multiLevelType w:val="hybridMultilevel"/>
    <w:tmpl w:val="610EB74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B3C78B8"/>
    <w:multiLevelType w:val="hybridMultilevel"/>
    <w:tmpl w:val="DA14E62A"/>
    <w:lvl w:ilvl="0" w:tplc="36863DD6">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 w15:restartNumberingAfterBreak="0">
    <w:nsid w:val="1D050FD8"/>
    <w:multiLevelType w:val="hybridMultilevel"/>
    <w:tmpl w:val="D3B42E40"/>
    <w:lvl w:ilvl="0" w:tplc="100C0017">
      <w:start w:val="1"/>
      <w:numFmt w:val="lowerLetter"/>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7" w15:restartNumberingAfterBreak="0">
    <w:nsid w:val="1E276C0B"/>
    <w:multiLevelType w:val="hybridMultilevel"/>
    <w:tmpl w:val="D30E3592"/>
    <w:lvl w:ilvl="0" w:tplc="FD624030">
      <w:start w:val="1"/>
      <w:numFmt w:val="lowerLetter"/>
      <w:lvlText w:val="%1)"/>
      <w:lvlJc w:val="left"/>
      <w:pPr>
        <w:ind w:left="720" w:hanging="360"/>
      </w:pPr>
      <w:rPr>
        <w:b/>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8" w15:restartNumberingAfterBreak="0">
    <w:nsid w:val="1F3D2B81"/>
    <w:multiLevelType w:val="hybridMultilevel"/>
    <w:tmpl w:val="56789D1E"/>
    <w:lvl w:ilvl="0" w:tplc="8FFAFC84">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9" w15:restartNumberingAfterBreak="0">
    <w:nsid w:val="21295381"/>
    <w:multiLevelType w:val="hybridMultilevel"/>
    <w:tmpl w:val="D05CDF90"/>
    <w:lvl w:ilvl="0" w:tplc="1222E9A4">
      <w:start w:val="1"/>
      <w:numFmt w:val="decimal"/>
      <w:lvlText w:val="Art.  %1"/>
      <w:lvlJc w:val="left"/>
      <w:pPr>
        <w:ind w:left="360" w:hanging="360"/>
      </w:pPr>
      <w:rPr>
        <w:rFonts w:hint="default"/>
        <w:b/>
      </w:rPr>
    </w:lvl>
    <w:lvl w:ilvl="1" w:tplc="100C0019">
      <w:start w:val="1"/>
      <w:numFmt w:val="lowerLetter"/>
      <w:lvlText w:val="%2."/>
      <w:lvlJc w:val="left"/>
      <w:pPr>
        <w:ind w:left="1353"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222A6F50"/>
    <w:multiLevelType w:val="multilevel"/>
    <w:tmpl w:val="3D2E754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C3905"/>
    <w:multiLevelType w:val="hybridMultilevel"/>
    <w:tmpl w:val="EA3A4F2E"/>
    <w:lvl w:ilvl="0" w:tplc="6FA21E9E">
      <w:start w:val="1"/>
      <w:numFmt w:val="lowerLetter"/>
      <w:lvlText w:val="%1)"/>
      <w:lvlJc w:val="left"/>
      <w:pPr>
        <w:ind w:left="3905" w:hanging="360"/>
      </w:pPr>
    </w:lvl>
    <w:lvl w:ilvl="1" w:tplc="100C0019">
      <w:start w:val="1"/>
      <w:numFmt w:val="lowerLetter"/>
      <w:lvlText w:val="%2."/>
      <w:lvlJc w:val="left"/>
      <w:pPr>
        <w:ind w:left="4625" w:hanging="360"/>
      </w:pPr>
    </w:lvl>
    <w:lvl w:ilvl="2" w:tplc="100C001B">
      <w:start w:val="1"/>
      <w:numFmt w:val="lowerRoman"/>
      <w:lvlText w:val="%3."/>
      <w:lvlJc w:val="right"/>
      <w:pPr>
        <w:ind w:left="5345" w:hanging="180"/>
      </w:pPr>
    </w:lvl>
    <w:lvl w:ilvl="3" w:tplc="100C000F">
      <w:start w:val="1"/>
      <w:numFmt w:val="decimal"/>
      <w:lvlText w:val="%4."/>
      <w:lvlJc w:val="left"/>
      <w:pPr>
        <w:ind w:left="6065" w:hanging="360"/>
      </w:pPr>
    </w:lvl>
    <w:lvl w:ilvl="4" w:tplc="100C0019">
      <w:start w:val="1"/>
      <w:numFmt w:val="lowerLetter"/>
      <w:lvlText w:val="%5."/>
      <w:lvlJc w:val="left"/>
      <w:pPr>
        <w:ind w:left="6785" w:hanging="360"/>
      </w:pPr>
    </w:lvl>
    <w:lvl w:ilvl="5" w:tplc="100C001B">
      <w:start w:val="1"/>
      <w:numFmt w:val="lowerRoman"/>
      <w:lvlText w:val="%6."/>
      <w:lvlJc w:val="right"/>
      <w:pPr>
        <w:ind w:left="7505" w:hanging="180"/>
      </w:pPr>
    </w:lvl>
    <w:lvl w:ilvl="6" w:tplc="100C000F">
      <w:start w:val="1"/>
      <w:numFmt w:val="decimal"/>
      <w:lvlText w:val="%7."/>
      <w:lvlJc w:val="left"/>
      <w:pPr>
        <w:ind w:left="8225" w:hanging="360"/>
      </w:pPr>
    </w:lvl>
    <w:lvl w:ilvl="7" w:tplc="100C0019">
      <w:start w:val="1"/>
      <w:numFmt w:val="lowerLetter"/>
      <w:lvlText w:val="%8."/>
      <w:lvlJc w:val="left"/>
      <w:pPr>
        <w:ind w:left="8945" w:hanging="360"/>
      </w:pPr>
    </w:lvl>
    <w:lvl w:ilvl="8" w:tplc="100C001B">
      <w:start w:val="1"/>
      <w:numFmt w:val="lowerRoman"/>
      <w:lvlText w:val="%9."/>
      <w:lvlJc w:val="right"/>
      <w:pPr>
        <w:ind w:left="9665" w:hanging="180"/>
      </w:pPr>
    </w:lvl>
  </w:abstractNum>
  <w:abstractNum w:abstractNumId="12" w15:restartNumberingAfterBreak="0">
    <w:nsid w:val="24895BCF"/>
    <w:multiLevelType w:val="hybridMultilevel"/>
    <w:tmpl w:val="8B7214DA"/>
    <w:lvl w:ilvl="0" w:tplc="100C0017">
      <w:start w:val="1"/>
      <w:numFmt w:val="lowerLetter"/>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3" w15:restartNumberingAfterBreak="0">
    <w:nsid w:val="24EA5437"/>
    <w:multiLevelType w:val="hybridMultilevel"/>
    <w:tmpl w:val="FE24334E"/>
    <w:lvl w:ilvl="0" w:tplc="C2C0ECB6">
      <w:numFmt w:val="bullet"/>
      <w:lvlText w:val="-"/>
      <w:lvlJc w:val="left"/>
      <w:pPr>
        <w:ind w:left="720" w:hanging="360"/>
      </w:pPr>
      <w:rPr>
        <w:rFonts w:ascii="Times New Roman" w:eastAsiaTheme="minorHAnsi"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6B10D85"/>
    <w:multiLevelType w:val="hybridMultilevel"/>
    <w:tmpl w:val="FE94FBC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3314535E"/>
    <w:multiLevelType w:val="hybridMultilevel"/>
    <w:tmpl w:val="D30E3592"/>
    <w:lvl w:ilvl="0" w:tplc="FD624030">
      <w:start w:val="1"/>
      <w:numFmt w:val="lowerLetter"/>
      <w:lvlText w:val="%1)"/>
      <w:lvlJc w:val="left"/>
      <w:pPr>
        <w:ind w:left="720" w:hanging="360"/>
      </w:pPr>
      <w:rPr>
        <w:b/>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6" w15:restartNumberingAfterBreak="0">
    <w:nsid w:val="36D95C62"/>
    <w:multiLevelType w:val="hybridMultilevel"/>
    <w:tmpl w:val="8F400F68"/>
    <w:lvl w:ilvl="0" w:tplc="85A4449C">
      <w:start w:val="1"/>
      <w:numFmt w:val="bullet"/>
      <w:lvlText w:val=""/>
      <w:lvlJc w:val="left"/>
      <w:pPr>
        <w:ind w:left="720" w:hanging="360"/>
      </w:pPr>
      <w:rPr>
        <w:rFonts w:ascii="Wingdings" w:eastAsia="Times New Roman" w:hAnsi="Wingdings"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7" w15:restartNumberingAfterBreak="0">
    <w:nsid w:val="37E92640"/>
    <w:multiLevelType w:val="hybridMultilevel"/>
    <w:tmpl w:val="3ABCB48A"/>
    <w:lvl w:ilvl="0" w:tplc="36863DD6">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64641B9"/>
    <w:multiLevelType w:val="hybridMultilevel"/>
    <w:tmpl w:val="55E22FEC"/>
    <w:lvl w:ilvl="0" w:tplc="E890A0C6">
      <w:numFmt w:val="bullet"/>
      <w:lvlText w:val=""/>
      <w:lvlJc w:val="left"/>
      <w:pPr>
        <w:ind w:left="720" w:hanging="360"/>
      </w:pPr>
      <w:rPr>
        <w:rFonts w:ascii="Wingdings" w:eastAsiaTheme="minorHAnsi" w:hAnsi="Wingdings"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9" w15:restartNumberingAfterBreak="0">
    <w:nsid w:val="46D92CE2"/>
    <w:multiLevelType w:val="hybridMultilevel"/>
    <w:tmpl w:val="7C986A94"/>
    <w:lvl w:ilvl="0" w:tplc="72F6AB4E">
      <w:start w:val="1"/>
      <w:numFmt w:val="bullet"/>
      <w:lvlText w:val="-"/>
      <w:lvlJc w:val="left"/>
      <w:pPr>
        <w:ind w:left="360" w:hanging="360"/>
      </w:pPr>
      <w:rPr>
        <w:rFonts w:ascii="Times" w:eastAsiaTheme="minorHAnsi" w:hAnsi="Times" w:cs="Times" w:hint="default"/>
      </w:rPr>
    </w:lvl>
    <w:lvl w:ilvl="1" w:tplc="100C0003">
      <w:start w:val="1"/>
      <w:numFmt w:val="bullet"/>
      <w:lvlText w:val="o"/>
      <w:lvlJc w:val="left"/>
      <w:pPr>
        <w:ind w:left="1080" w:hanging="360"/>
      </w:pPr>
      <w:rPr>
        <w:rFonts w:ascii="Courier New" w:hAnsi="Courier New" w:cs="Courier New" w:hint="default"/>
      </w:rPr>
    </w:lvl>
    <w:lvl w:ilvl="2" w:tplc="100C0005">
      <w:start w:val="1"/>
      <w:numFmt w:val="bullet"/>
      <w:lvlText w:val=""/>
      <w:lvlJc w:val="left"/>
      <w:pPr>
        <w:ind w:left="1800" w:hanging="360"/>
      </w:pPr>
      <w:rPr>
        <w:rFonts w:ascii="Wingdings" w:hAnsi="Wingdings" w:hint="default"/>
      </w:rPr>
    </w:lvl>
    <w:lvl w:ilvl="3" w:tplc="100C0001">
      <w:start w:val="1"/>
      <w:numFmt w:val="bullet"/>
      <w:lvlText w:val=""/>
      <w:lvlJc w:val="left"/>
      <w:pPr>
        <w:ind w:left="2520" w:hanging="360"/>
      </w:pPr>
      <w:rPr>
        <w:rFonts w:ascii="Symbol" w:hAnsi="Symbol" w:hint="default"/>
      </w:rPr>
    </w:lvl>
    <w:lvl w:ilvl="4" w:tplc="100C0003">
      <w:start w:val="1"/>
      <w:numFmt w:val="bullet"/>
      <w:lvlText w:val="o"/>
      <w:lvlJc w:val="left"/>
      <w:pPr>
        <w:ind w:left="3240" w:hanging="360"/>
      </w:pPr>
      <w:rPr>
        <w:rFonts w:ascii="Courier New" w:hAnsi="Courier New" w:cs="Courier New" w:hint="default"/>
      </w:rPr>
    </w:lvl>
    <w:lvl w:ilvl="5" w:tplc="100C0005">
      <w:start w:val="1"/>
      <w:numFmt w:val="bullet"/>
      <w:lvlText w:val=""/>
      <w:lvlJc w:val="left"/>
      <w:pPr>
        <w:ind w:left="3960" w:hanging="360"/>
      </w:pPr>
      <w:rPr>
        <w:rFonts w:ascii="Wingdings" w:hAnsi="Wingdings" w:hint="default"/>
      </w:rPr>
    </w:lvl>
    <w:lvl w:ilvl="6" w:tplc="100C0001">
      <w:start w:val="1"/>
      <w:numFmt w:val="bullet"/>
      <w:lvlText w:val=""/>
      <w:lvlJc w:val="left"/>
      <w:pPr>
        <w:ind w:left="4680" w:hanging="360"/>
      </w:pPr>
      <w:rPr>
        <w:rFonts w:ascii="Symbol" w:hAnsi="Symbol" w:hint="default"/>
      </w:rPr>
    </w:lvl>
    <w:lvl w:ilvl="7" w:tplc="100C0003">
      <w:start w:val="1"/>
      <w:numFmt w:val="bullet"/>
      <w:lvlText w:val="o"/>
      <w:lvlJc w:val="left"/>
      <w:pPr>
        <w:ind w:left="5400" w:hanging="360"/>
      </w:pPr>
      <w:rPr>
        <w:rFonts w:ascii="Courier New" w:hAnsi="Courier New" w:cs="Courier New" w:hint="default"/>
      </w:rPr>
    </w:lvl>
    <w:lvl w:ilvl="8" w:tplc="100C0005">
      <w:start w:val="1"/>
      <w:numFmt w:val="bullet"/>
      <w:lvlText w:val=""/>
      <w:lvlJc w:val="left"/>
      <w:pPr>
        <w:ind w:left="6120" w:hanging="360"/>
      </w:pPr>
      <w:rPr>
        <w:rFonts w:ascii="Wingdings" w:hAnsi="Wingdings" w:hint="default"/>
      </w:rPr>
    </w:lvl>
  </w:abstractNum>
  <w:abstractNum w:abstractNumId="20" w15:restartNumberingAfterBreak="0">
    <w:nsid w:val="4A3236EA"/>
    <w:multiLevelType w:val="hybridMultilevel"/>
    <w:tmpl w:val="C6DA4876"/>
    <w:lvl w:ilvl="0" w:tplc="36863DD6">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1" w15:restartNumberingAfterBreak="0">
    <w:nsid w:val="4A6A1903"/>
    <w:multiLevelType w:val="hybridMultilevel"/>
    <w:tmpl w:val="03F63CB2"/>
    <w:lvl w:ilvl="0" w:tplc="51AA3A32">
      <w:start w:val="1"/>
      <w:numFmt w:val="lowerLetter"/>
      <w:lvlText w:val="%1)"/>
      <w:lvlJc w:val="left"/>
      <w:pPr>
        <w:ind w:left="2138" w:hanging="360"/>
      </w:pPr>
      <w:rPr>
        <w:rFonts w:hint="default"/>
      </w:rPr>
    </w:lvl>
    <w:lvl w:ilvl="1" w:tplc="100C0019" w:tentative="1">
      <w:start w:val="1"/>
      <w:numFmt w:val="lowerLetter"/>
      <w:lvlText w:val="%2."/>
      <w:lvlJc w:val="left"/>
      <w:pPr>
        <w:ind w:left="2858" w:hanging="360"/>
      </w:pPr>
    </w:lvl>
    <w:lvl w:ilvl="2" w:tplc="100C001B" w:tentative="1">
      <w:start w:val="1"/>
      <w:numFmt w:val="lowerRoman"/>
      <w:lvlText w:val="%3."/>
      <w:lvlJc w:val="right"/>
      <w:pPr>
        <w:ind w:left="3578" w:hanging="180"/>
      </w:pPr>
    </w:lvl>
    <w:lvl w:ilvl="3" w:tplc="100C000F" w:tentative="1">
      <w:start w:val="1"/>
      <w:numFmt w:val="decimal"/>
      <w:lvlText w:val="%4."/>
      <w:lvlJc w:val="left"/>
      <w:pPr>
        <w:ind w:left="4298" w:hanging="360"/>
      </w:pPr>
    </w:lvl>
    <w:lvl w:ilvl="4" w:tplc="100C0019" w:tentative="1">
      <w:start w:val="1"/>
      <w:numFmt w:val="lowerLetter"/>
      <w:lvlText w:val="%5."/>
      <w:lvlJc w:val="left"/>
      <w:pPr>
        <w:ind w:left="5018" w:hanging="360"/>
      </w:pPr>
    </w:lvl>
    <w:lvl w:ilvl="5" w:tplc="100C001B" w:tentative="1">
      <w:start w:val="1"/>
      <w:numFmt w:val="lowerRoman"/>
      <w:lvlText w:val="%6."/>
      <w:lvlJc w:val="right"/>
      <w:pPr>
        <w:ind w:left="5738" w:hanging="180"/>
      </w:pPr>
    </w:lvl>
    <w:lvl w:ilvl="6" w:tplc="100C000F" w:tentative="1">
      <w:start w:val="1"/>
      <w:numFmt w:val="decimal"/>
      <w:lvlText w:val="%7."/>
      <w:lvlJc w:val="left"/>
      <w:pPr>
        <w:ind w:left="6458" w:hanging="360"/>
      </w:pPr>
    </w:lvl>
    <w:lvl w:ilvl="7" w:tplc="100C0019" w:tentative="1">
      <w:start w:val="1"/>
      <w:numFmt w:val="lowerLetter"/>
      <w:lvlText w:val="%8."/>
      <w:lvlJc w:val="left"/>
      <w:pPr>
        <w:ind w:left="7178" w:hanging="360"/>
      </w:pPr>
    </w:lvl>
    <w:lvl w:ilvl="8" w:tplc="100C001B" w:tentative="1">
      <w:start w:val="1"/>
      <w:numFmt w:val="lowerRoman"/>
      <w:lvlText w:val="%9."/>
      <w:lvlJc w:val="right"/>
      <w:pPr>
        <w:ind w:left="7898" w:hanging="180"/>
      </w:pPr>
    </w:lvl>
  </w:abstractNum>
  <w:abstractNum w:abstractNumId="22" w15:restartNumberingAfterBreak="0">
    <w:nsid w:val="4B8563A1"/>
    <w:multiLevelType w:val="hybridMultilevel"/>
    <w:tmpl w:val="061CD80C"/>
    <w:lvl w:ilvl="0" w:tplc="9D9ABCCA">
      <w:start w:val="1"/>
      <w:numFmt w:val="lowerLetter"/>
      <w:lvlText w:val="%1)"/>
      <w:lvlJc w:val="left"/>
      <w:pPr>
        <w:ind w:left="1494" w:hanging="36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23" w15:restartNumberingAfterBreak="0">
    <w:nsid w:val="4FF36F1C"/>
    <w:multiLevelType w:val="hybridMultilevel"/>
    <w:tmpl w:val="5F9EC034"/>
    <w:lvl w:ilvl="0" w:tplc="B4CC9D0C">
      <w:start w:val="1"/>
      <w:numFmt w:val="bullet"/>
      <w:lvlText w:val=""/>
      <w:lvlJc w:val="left"/>
      <w:pPr>
        <w:ind w:left="720" w:hanging="360"/>
      </w:pPr>
      <w:rPr>
        <w:rFonts w:ascii="Wingdings" w:eastAsia="Times New Roman" w:hAnsi="Wingdings" w:cs="Times New Roman" w:hint="default"/>
        <w:sz w:val="20"/>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24" w15:restartNumberingAfterBreak="0">
    <w:nsid w:val="53436BF5"/>
    <w:multiLevelType w:val="multilevel"/>
    <w:tmpl w:val="986CCD98"/>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8844DA"/>
    <w:multiLevelType w:val="hybridMultilevel"/>
    <w:tmpl w:val="36E68220"/>
    <w:lvl w:ilvl="0" w:tplc="EDFC97D8">
      <w:start w:val="1"/>
      <w:numFmt w:val="lowerLetter"/>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54C67E66"/>
    <w:multiLevelType w:val="hybridMultilevel"/>
    <w:tmpl w:val="A09CF958"/>
    <w:lvl w:ilvl="0" w:tplc="1D025238">
      <w:start w:val="78"/>
      <w:numFmt w:val="decimal"/>
      <w:lvlText w:val="Art.  %1"/>
      <w:lvlJc w:val="left"/>
      <w:pPr>
        <w:ind w:left="3905"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5B92495E"/>
    <w:multiLevelType w:val="hybridMultilevel"/>
    <w:tmpl w:val="B79088D0"/>
    <w:lvl w:ilvl="0" w:tplc="7BE6A3A0">
      <w:start w:val="88"/>
      <w:numFmt w:val="decimal"/>
      <w:lvlText w:val="Art.  %1"/>
      <w:lvlJc w:val="left"/>
      <w:pPr>
        <w:ind w:left="360" w:hanging="360"/>
      </w:pPr>
      <w:rPr>
        <w:rFonts w:ascii="Times New Roman" w:hAnsi="Times New Roman" w:cs="Times New Roman"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5C5F0426"/>
    <w:multiLevelType w:val="hybridMultilevel"/>
    <w:tmpl w:val="C1046F84"/>
    <w:lvl w:ilvl="0" w:tplc="C2C0ECB6">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614A2158"/>
    <w:multiLevelType w:val="hybridMultilevel"/>
    <w:tmpl w:val="DB90A2BA"/>
    <w:lvl w:ilvl="0" w:tplc="CF6858FA">
      <w:start w:val="1"/>
      <w:numFmt w:val="lowerLetter"/>
      <w:lvlText w:val="%1)"/>
      <w:lvlJc w:val="left"/>
      <w:pPr>
        <w:ind w:left="1920" w:hanging="360"/>
      </w:pPr>
    </w:lvl>
    <w:lvl w:ilvl="1" w:tplc="100C0019">
      <w:start w:val="1"/>
      <w:numFmt w:val="lowerLetter"/>
      <w:lvlText w:val="%2."/>
      <w:lvlJc w:val="left"/>
      <w:pPr>
        <w:ind w:left="2640" w:hanging="360"/>
      </w:pPr>
    </w:lvl>
    <w:lvl w:ilvl="2" w:tplc="100C001B">
      <w:start w:val="1"/>
      <w:numFmt w:val="lowerRoman"/>
      <w:lvlText w:val="%3."/>
      <w:lvlJc w:val="right"/>
      <w:pPr>
        <w:ind w:left="3360" w:hanging="180"/>
      </w:pPr>
    </w:lvl>
    <w:lvl w:ilvl="3" w:tplc="100C000F">
      <w:start w:val="1"/>
      <w:numFmt w:val="decimal"/>
      <w:lvlText w:val="%4."/>
      <w:lvlJc w:val="left"/>
      <w:pPr>
        <w:ind w:left="4080" w:hanging="360"/>
      </w:pPr>
    </w:lvl>
    <w:lvl w:ilvl="4" w:tplc="100C0019">
      <w:start w:val="1"/>
      <w:numFmt w:val="lowerLetter"/>
      <w:lvlText w:val="%5."/>
      <w:lvlJc w:val="left"/>
      <w:pPr>
        <w:ind w:left="4800" w:hanging="360"/>
      </w:pPr>
    </w:lvl>
    <w:lvl w:ilvl="5" w:tplc="100C001B">
      <w:start w:val="1"/>
      <w:numFmt w:val="lowerRoman"/>
      <w:lvlText w:val="%6."/>
      <w:lvlJc w:val="right"/>
      <w:pPr>
        <w:ind w:left="5520" w:hanging="180"/>
      </w:pPr>
    </w:lvl>
    <w:lvl w:ilvl="6" w:tplc="100C000F">
      <w:start w:val="1"/>
      <w:numFmt w:val="decimal"/>
      <w:lvlText w:val="%7."/>
      <w:lvlJc w:val="left"/>
      <w:pPr>
        <w:ind w:left="6240" w:hanging="360"/>
      </w:pPr>
    </w:lvl>
    <w:lvl w:ilvl="7" w:tplc="100C0019">
      <w:start w:val="1"/>
      <w:numFmt w:val="lowerLetter"/>
      <w:lvlText w:val="%8."/>
      <w:lvlJc w:val="left"/>
      <w:pPr>
        <w:ind w:left="6960" w:hanging="360"/>
      </w:pPr>
    </w:lvl>
    <w:lvl w:ilvl="8" w:tplc="100C001B">
      <w:start w:val="1"/>
      <w:numFmt w:val="lowerRoman"/>
      <w:lvlText w:val="%9."/>
      <w:lvlJc w:val="right"/>
      <w:pPr>
        <w:ind w:left="7680" w:hanging="180"/>
      </w:pPr>
    </w:lvl>
  </w:abstractNum>
  <w:abstractNum w:abstractNumId="30" w15:restartNumberingAfterBreak="0">
    <w:nsid w:val="6AF631BE"/>
    <w:multiLevelType w:val="hybridMultilevel"/>
    <w:tmpl w:val="B2C81F14"/>
    <w:lvl w:ilvl="0" w:tplc="FBC8C96C">
      <w:start w:val="1"/>
      <w:numFmt w:val="lowerLetter"/>
      <w:lvlText w:val="%1)"/>
      <w:lvlJc w:val="left"/>
      <w:pPr>
        <w:ind w:left="1778" w:hanging="360"/>
      </w:pPr>
      <w:rPr>
        <w:rFonts w:hint="default"/>
      </w:rPr>
    </w:lvl>
    <w:lvl w:ilvl="1" w:tplc="100C0019" w:tentative="1">
      <w:start w:val="1"/>
      <w:numFmt w:val="lowerLetter"/>
      <w:lvlText w:val="%2."/>
      <w:lvlJc w:val="left"/>
      <w:pPr>
        <w:ind w:left="2498" w:hanging="360"/>
      </w:pPr>
    </w:lvl>
    <w:lvl w:ilvl="2" w:tplc="100C001B" w:tentative="1">
      <w:start w:val="1"/>
      <w:numFmt w:val="lowerRoman"/>
      <w:lvlText w:val="%3."/>
      <w:lvlJc w:val="right"/>
      <w:pPr>
        <w:ind w:left="3218" w:hanging="180"/>
      </w:pPr>
    </w:lvl>
    <w:lvl w:ilvl="3" w:tplc="100C000F" w:tentative="1">
      <w:start w:val="1"/>
      <w:numFmt w:val="decimal"/>
      <w:lvlText w:val="%4."/>
      <w:lvlJc w:val="left"/>
      <w:pPr>
        <w:ind w:left="3938" w:hanging="360"/>
      </w:pPr>
    </w:lvl>
    <w:lvl w:ilvl="4" w:tplc="100C0019" w:tentative="1">
      <w:start w:val="1"/>
      <w:numFmt w:val="lowerLetter"/>
      <w:lvlText w:val="%5."/>
      <w:lvlJc w:val="left"/>
      <w:pPr>
        <w:ind w:left="4658" w:hanging="360"/>
      </w:pPr>
    </w:lvl>
    <w:lvl w:ilvl="5" w:tplc="100C001B" w:tentative="1">
      <w:start w:val="1"/>
      <w:numFmt w:val="lowerRoman"/>
      <w:lvlText w:val="%6."/>
      <w:lvlJc w:val="right"/>
      <w:pPr>
        <w:ind w:left="5378" w:hanging="180"/>
      </w:pPr>
    </w:lvl>
    <w:lvl w:ilvl="6" w:tplc="100C000F" w:tentative="1">
      <w:start w:val="1"/>
      <w:numFmt w:val="decimal"/>
      <w:lvlText w:val="%7."/>
      <w:lvlJc w:val="left"/>
      <w:pPr>
        <w:ind w:left="6098" w:hanging="360"/>
      </w:pPr>
    </w:lvl>
    <w:lvl w:ilvl="7" w:tplc="100C0019" w:tentative="1">
      <w:start w:val="1"/>
      <w:numFmt w:val="lowerLetter"/>
      <w:lvlText w:val="%8."/>
      <w:lvlJc w:val="left"/>
      <w:pPr>
        <w:ind w:left="6818" w:hanging="360"/>
      </w:pPr>
    </w:lvl>
    <w:lvl w:ilvl="8" w:tplc="100C001B" w:tentative="1">
      <w:start w:val="1"/>
      <w:numFmt w:val="lowerRoman"/>
      <w:lvlText w:val="%9."/>
      <w:lvlJc w:val="right"/>
      <w:pPr>
        <w:ind w:left="7538" w:hanging="180"/>
      </w:pPr>
    </w:lvl>
  </w:abstractNum>
  <w:abstractNum w:abstractNumId="31" w15:restartNumberingAfterBreak="0">
    <w:nsid w:val="6C775174"/>
    <w:multiLevelType w:val="hybridMultilevel"/>
    <w:tmpl w:val="5ECC4EFE"/>
    <w:lvl w:ilvl="0" w:tplc="100C0017">
      <w:start w:val="1"/>
      <w:numFmt w:val="lowerLetter"/>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32" w15:restartNumberingAfterBreak="0">
    <w:nsid w:val="715B75F4"/>
    <w:multiLevelType w:val="hybridMultilevel"/>
    <w:tmpl w:val="EA6CDB0E"/>
    <w:lvl w:ilvl="0" w:tplc="08DE8904">
      <w:start w:val="13"/>
      <w:numFmt w:val="decimal"/>
      <w:lvlText w:val="Art.  %1"/>
      <w:lvlJc w:val="left"/>
      <w:pPr>
        <w:ind w:left="360" w:hanging="360"/>
      </w:pPr>
      <w:rPr>
        <w:rFonts w:ascii="Times New Roman" w:hAnsi="Times New Roman" w:cs="Times New Roman" w:hint="default"/>
        <w:b/>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3" w15:restartNumberingAfterBreak="0">
    <w:nsid w:val="72B904C5"/>
    <w:multiLevelType w:val="hybridMultilevel"/>
    <w:tmpl w:val="309C5D8A"/>
    <w:lvl w:ilvl="0" w:tplc="36863DD6">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4" w15:restartNumberingAfterBreak="0">
    <w:nsid w:val="74A411A7"/>
    <w:multiLevelType w:val="hybridMultilevel"/>
    <w:tmpl w:val="9208E7D6"/>
    <w:lvl w:ilvl="0" w:tplc="BC80F25C">
      <w:start w:val="1"/>
      <w:numFmt w:val="decimal"/>
      <w:lvlText w:val="Art.  %1"/>
      <w:lvlJc w:val="left"/>
      <w:pPr>
        <w:ind w:left="928" w:hanging="360"/>
      </w:pPr>
      <w:rPr>
        <w:rFonts w:ascii="Times New Roman" w:hAnsi="Times New Roman" w:cs="Times New Roman" w:hint="default"/>
        <w:b/>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35" w15:restartNumberingAfterBreak="0">
    <w:nsid w:val="75B33264"/>
    <w:multiLevelType w:val="hybridMultilevel"/>
    <w:tmpl w:val="F2124984"/>
    <w:lvl w:ilvl="0" w:tplc="1160FD66">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6" w15:restartNumberingAfterBreak="0">
    <w:nsid w:val="78651E6B"/>
    <w:multiLevelType w:val="hybridMultilevel"/>
    <w:tmpl w:val="E9A2736E"/>
    <w:lvl w:ilvl="0" w:tplc="36863DD6">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7" w15:restartNumberingAfterBreak="0">
    <w:nsid w:val="79405704"/>
    <w:multiLevelType w:val="hybridMultilevel"/>
    <w:tmpl w:val="0DC0CEDC"/>
    <w:lvl w:ilvl="0" w:tplc="36863DD6">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8" w15:restartNumberingAfterBreak="0">
    <w:nsid w:val="7A9741DB"/>
    <w:multiLevelType w:val="hybridMultilevel"/>
    <w:tmpl w:val="666CAF7E"/>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9" w15:restartNumberingAfterBreak="0">
    <w:nsid w:val="7BD03658"/>
    <w:multiLevelType w:val="hybridMultilevel"/>
    <w:tmpl w:val="0E6A4F52"/>
    <w:lvl w:ilvl="0" w:tplc="A2FE9B02">
      <w:numFmt w:val="bullet"/>
      <w:lvlText w:val=""/>
      <w:lvlJc w:val="left"/>
      <w:pPr>
        <w:ind w:left="1080" w:hanging="360"/>
      </w:pPr>
      <w:rPr>
        <w:rFonts w:ascii="Wingdings" w:eastAsiaTheme="majorEastAsia" w:hAnsi="Wingdings" w:cs="Times New Roman" w:hint="default"/>
        <w:b w:val="0"/>
        <w:color w:val="auto"/>
        <w:sz w:val="24"/>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0" w15:restartNumberingAfterBreak="0">
    <w:nsid w:val="7C1F7A11"/>
    <w:multiLevelType w:val="hybridMultilevel"/>
    <w:tmpl w:val="4FBC687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8"/>
  </w:num>
  <w:num w:numId="2">
    <w:abstractNumId w:val="39"/>
  </w:num>
  <w:num w:numId="3">
    <w:abstractNumId w:val="8"/>
  </w:num>
  <w:num w:numId="4">
    <w:abstractNumId w:val="13"/>
  </w:num>
  <w:num w:numId="5">
    <w:abstractNumId w:val="10"/>
  </w:num>
  <w:num w:numId="6">
    <w:abstractNumId w:val="36"/>
  </w:num>
  <w:num w:numId="7">
    <w:abstractNumId w:val="35"/>
  </w:num>
  <w:num w:numId="8">
    <w:abstractNumId w:val="5"/>
  </w:num>
  <w:num w:numId="9">
    <w:abstractNumId w:val="1"/>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3"/>
  </w:num>
  <w:num w:numId="24">
    <w:abstractNumId w:val="2"/>
  </w:num>
  <w:num w:numId="25">
    <w:abstractNumId w:val="0"/>
  </w:num>
  <w:num w:numId="26">
    <w:abstractNumId w:val="6"/>
  </w:num>
  <w:num w:numId="27">
    <w:abstractNumId w:val="17"/>
  </w:num>
  <w:num w:numId="28">
    <w:abstractNumId w:val="37"/>
  </w:num>
  <w:num w:numId="29">
    <w:abstractNumId w:val="20"/>
  </w:num>
  <w:num w:numId="30">
    <w:abstractNumId w:val="33"/>
  </w:num>
  <w:num w:numId="31">
    <w:abstractNumId w:val="38"/>
  </w:num>
  <w:num w:numId="32">
    <w:abstractNumId w:val="25"/>
  </w:num>
  <w:num w:numId="33">
    <w:abstractNumId w:val="9"/>
  </w:num>
  <w:num w:numId="34">
    <w:abstractNumId w:val="26"/>
  </w:num>
  <w:num w:numId="35">
    <w:abstractNumId w:val="30"/>
  </w:num>
  <w:num w:numId="36">
    <w:abstractNumId w:val="21"/>
  </w:num>
  <w:num w:numId="37">
    <w:abstractNumId w:val="14"/>
  </w:num>
  <w:num w:numId="38">
    <w:abstractNumId w:val="7"/>
  </w:num>
  <w:num w:numId="39">
    <w:abstractNumId w:val="15"/>
  </w:num>
  <w:num w:numId="40">
    <w:abstractNumId w:val="34"/>
  </w:num>
  <w:num w:numId="41">
    <w:abstractNumId w:val="24"/>
  </w:num>
  <w:num w:numId="42">
    <w:abstractNumId w:val="22"/>
  </w:num>
  <w:num w:numId="43">
    <w:abstractNumId w:val="32"/>
  </w:num>
  <w:num w:numId="44">
    <w:abstractNumId w:val="27"/>
  </w:num>
  <w:num w:numId="45">
    <w:abstractNumId w:val="4"/>
  </w:num>
  <w:num w:numId="46">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bd50728f-26f6-4048-9604-1c2e694bb643"/>
  </w:docVars>
  <w:rsids>
    <w:rsidRoot w:val="00CE0266"/>
    <w:rsid w:val="00001189"/>
    <w:rsid w:val="00001F39"/>
    <w:rsid w:val="00002962"/>
    <w:rsid w:val="0000377C"/>
    <w:rsid w:val="0000402A"/>
    <w:rsid w:val="0000443B"/>
    <w:rsid w:val="00004CC8"/>
    <w:rsid w:val="0000587E"/>
    <w:rsid w:val="00005B3F"/>
    <w:rsid w:val="000075E7"/>
    <w:rsid w:val="00007B90"/>
    <w:rsid w:val="00011B9B"/>
    <w:rsid w:val="000121A7"/>
    <w:rsid w:val="00014FA6"/>
    <w:rsid w:val="000159DD"/>
    <w:rsid w:val="00016DC0"/>
    <w:rsid w:val="000177DD"/>
    <w:rsid w:val="00017DF2"/>
    <w:rsid w:val="000207B6"/>
    <w:rsid w:val="0002155C"/>
    <w:rsid w:val="00021999"/>
    <w:rsid w:val="00022A47"/>
    <w:rsid w:val="00022B80"/>
    <w:rsid w:val="00022ECA"/>
    <w:rsid w:val="00025AFB"/>
    <w:rsid w:val="00025B50"/>
    <w:rsid w:val="00027CA5"/>
    <w:rsid w:val="00030A41"/>
    <w:rsid w:val="00030B10"/>
    <w:rsid w:val="00031393"/>
    <w:rsid w:val="00031D50"/>
    <w:rsid w:val="00031FB5"/>
    <w:rsid w:val="00033256"/>
    <w:rsid w:val="00033537"/>
    <w:rsid w:val="0003367C"/>
    <w:rsid w:val="00033DCD"/>
    <w:rsid w:val="00034CF4"/>
    <w:rsid w:val="000350DD"/>
    <w:rsid w:val="00036E4C"/>
    <w:rsid w:val="000406AA"/>
    <w:rsid w:val="0004075B"/>
    <w:rsid w:val="00041AA9"/>
    <w:rsid w:val="000420C9"/>
    <w:rsid w:val="00042382"/>
    <w:rsid w:val="000438EB"/>
    <w:rsid w:val="000442F2"/>
    <w:rsid w:val="00045065"/>
    <w:rsid w:val="000454EA"/>
    <w:rsid w:val="00045C0D"/>
    <w:rsid w:val="00045E83"/>
    <w:rsid w:val="000470E2"/>
    <w:rsid w:val="00053795"/>
    <w:rsid w:val="000539E9"/>
    <w:rsid w:val="000545D5"/>
    <w:rsid w:val="00054A2F"/>
    <w:rsid w:val="00055BCD"/>
    <w:rsid w:val="000575A3"/>
    <w:rsid w:val="0006001E"/>
    <w:rsid w:val="0006026F"/>
    <w:rsid w:val="000603BC"/>
    <w:rsid w:val="000609F7"/>
    <w:rsid w:val="00063EFE"/>
    <w:rsid w:val="0006403A"/>
    <w:rsid w:val="00064878"/>
    <w:rsid w:val="00065543"/>
    <w:rsid w:val="00065BA3"/>
    <w:rsid w:val="00066109"/>
    <w:rsid w:val="00067048"/>
    <w:rsid w:val="00067CE1"/>
    <w:rsid w:val="00070A24"/>
    <w:rsid w:val="00070D8E"/>
    <w:rsid w:val="00071D89"/>
    <w:rsid w:val="00073291"/>
    <w:rsid w:val="00073922"/>
    <w:rsid w:val="00073DB7"/>
    <w:rsid w:val="00074739"/>
    <w:rsid w:val="00074CAE"/>
    <w:rsid w:val="00075CF7"/>
    <w:rsid w:val="00075EBE"/>
    <w:rsid w:val="00075EFB"/>
    <w:rsid w:val="00077331"/>
    <w:rsid w:val="00080689"/>
    <w:rsid w:val="00080AED"/>
    <w:rsid w:val="000826FD"/>
    <w:rsid w:val="00084845"/>
    <w:rsid w:val="0008570E"/>
    <w:rsid w:val="00085F37"/>
    <w:rsid w:val="00086B6E"/>
    <w:rsid w:val="000870C8"/>
    <w:rsid w:val="00087544"/>
    <w:rsid w:val="00087C1F"/>
    <w:rsid w:val="00091394"/>
    <w:rsid w:val="0009197F"/>
    <w:rsid w:val="00091A2B"/>
    <w:rsid w:val="00091A8B"/>
    <w:rsid w:val="00091E86"/>
    <w:rsid w:val="00092368"/>
    <w:rsid w:val="00092A4A"/>
    <w:rsid w:val="000932DB"/>
    <w:rsid w:val="00093982"/>
    <w:rsid w:val="00093C21"/>
    <w:rsid w:val="0009416B"/>
    <w:rsid w:val="00095ADE"/>
    <w:rsid w:val="00096E6C"/>
    <w:rsid w:val="0009734B"/>
    <w:rsid w:val="000979C2"/>
    <w:rsid w:val="000979CE"/>
    <w:rsid w:val="00097FC0"/>
    <w:rsid w:val="000A1CD7"/>
    <w:rsid w:val="000A1CE9"/>
    <w:rsid w:val="000A1DB3"/>
    <w:rsid w:val="000A320E"/>
    <w:rsid w:val="000A39BF"/>
    <w:rsid w:val="000A4CE9"/>
    <w:rsid w:val="000A5F48"/>
    <w:rsid w:val="000A6742"/>
    <w:rsid w:val="000A6A70"/>
    <w:rsid w:val="000A6F0E"/>
    <w:rsid w:val="000A7876"/>
    <w:rsid w:val="000B0107"/>
    <w:rsid w:val="000B1A1E"/>
    <w:rsid w:val="000B24EC"/>
    <w:rsid w:val="000B29E7"/>
    <w:rsid w:val="000B41B2"/>
    <w:rsid w:val="000B49E3"/>
    <w:rsid w:val="000B5162"/>
    <w:rsid w:val="000B6846"/>
    <w:rsid w:val="000B743F"/>
    <w:rsid w:val="000B7E5F"/>
    <w:rsid w:val="000C1979"/>
    <w:rsid w:val="000C1A3C"/>
    <w:rsid w:val="000C20D4"/>
    <w:rsid w:val="000C2AE2"/>
    <w:rsid w:val="000C32C8"/>
    <w:rsid w:val="000C3825"/>
    <w:rsid w:val="000C3BE9"/>
    <w:rsid w:val="000C3F2B"/>
    <w:rsid w:val="000C45A4"/>
    <w:rsid w:val="000C5E75"/>
    <w:rsid w:val="000C6914"/>
    <w:rsid w:val="000C6FF0"/>
    <w:rsid w:val="000C7243"/>
    <w:rsid w:val="000D0C8F"/>
    <w:rsid w:val="000D35F2"/>
    <w:rsid w:val="000D4AB8"/>
    <w:rsid w:val="000D53A4"/>
    <w:rsid w:val="000D5D23"/>
    <w:rsid w:val="000D69B0"/>
    <w:rsid w:val="000D6C32"/>
    <w:rsid w:val="000E05DD"/>
    <w:rsid w:val="000E1037"/>
    <w:rsid w:val="000E154D"/>
    <w:rsid w:val="000E2AB5"/>
    <w:rsid w:val="000E60F7"/>
    <w:rsid w:val="000E6D67"/>
    <w:rsid w:val="000E72A1"/>
    <w:rsid w:val="000E72F5"/>
    <w:rsid w:val="000E7D9B"/>
    <w:rsid w:val="000F026B"/>
    <w:rsid w:val="000F0B3A"/>
    <w:rsid w:val="000F0D1D"/>
    <w:rsid w:val="000F2D7D"/>
    <w:rsid w:val="000F359B"/>
    <w:rsid w:val="000F417C"/>
    <w:rsid w:val="000F4DD5"/>
    <w:rsid w:val="000F527C"/>
    <w:rsid w:val="000F6A61"/>
    <w:rsid w:val="000F7B8F"/>
    <w:rsid w:val="00100015"/>
    <w:rsid w:val="0010106E"/>
    <w:rsid w:val="00102930"/>
    <w:rsid w:val="00102D64"/>
    <w:rsid w:val="00103524"/>
    <w:rsid w:val="00103B39"/>
    <w:rsid w:val="00104909"/>
    <w:rsid w:val="001049D7"/>
    <w:rsid w:val="00105478"/>
    <w:rsid w:val="00105898"/>
    <w:rsid w:val="00106EF6"/>
    <w:rsid w:val="00110947"/>
    <w:rsid w:val="001112AA"/>
    <w:rsid w:val="00112E4A"/>
    <w:rsid w:val="0011363A"/>
    <w:rsid w:val="00113F65"/>
    <w:rsid w:val="00115DF4"/>
    <w:rsid w:val="001162AB"/>
    <w:rsid w:val="00117BF4"/>
    <w:rsid w:val="00117C37"/>
    <w:rsid w:val="001203E9"/>
    <w:rsid w:val="001212BA"/>
    <w:rsid w:val="001241F8"/>
    <w:rsid w:val="00124E27"/>
    <w:rsid w:val="00125CE6"/>
    <w:rsid w:val="00126FE1"/>
    <w:rsid w:val="001271CA"/>
    <w:rsid w:val="00127325"/>
    <w:rsid w:val="0012780A"/>
    <w:rsid w:val="00131479"/>
    <w:rsid w:val="001319A3"/>
    <w:rsid w:val="00131A9A"/>
    <w:rsid w:val="00133AA4"/>
    <w:rsid w:val="00134CAB"/>
    <w:rsid w:val="001353E3"/>
    <w:rsid w:val="0013540F"/>
    <w:rsid w:val="001359FE"/>
    <w:rsid w:val="00135F67"/>
    <w:rsid w:val="00136EFF"/>
    <w:rsid w:val="00137A6A"/>
    <w:rsid w:val="00137E2E"/>
    <w:rsid w:val="00140A58"/>
    <w:rsid w:val="001413A1"/>
    <w:rsid w:val="00141697"/>
    <w:rsid w:val="00141EB1"/>
    <w:rsid w:val="00141FB1"/>
    <w:rsid w:val="00142330"/>
    <w:rsid w:val="00142C8E"/>
    <w:rsid w:val="0014392C"/>
    <w:rsid w:val="0014573A"/>
    <w:rsid w:val="001461A8"/>
    <w:rsid w:val="001463A7"/>
    <w:rsid w:val="001467CF"/>
    <w:rsid w:val="00151003"/>
    <w:rsid w:val="00152027"/>
    <w:rsid w:val="00152278"/>
    <w:rsid w:val="0015284B"/>
    <w:rsid w:val="00153484"/>
    <w:rsid w:val="00154B6F"/>
    <w:rsid w:val="00155363"/>
    <w:rsid w:val="00155C55"/>
    <w:rsid w:val="00156278"/>
    <w:rsid w:val="00156C0B"/>
    <w:rsid w:val="00156E72"/>
    <w:rsid w:val="00157427"/>
    <w:rsid w:val="0015793A"/>
    <w:rsid w:val="00160231"/>
    <w:rsid w:val="001625F6"/>
    <w:rsid w:val="0016263C"/>
    <w:rsid w:val="00162E03"/>
    <w:rsid w:val="00163D3B"/>
    <w:rsid w:val="00165C91"/>
    <w:rsid w:val="001663A7"/>
    <w:rsid w:val="00166E83"/>
    <w:rsid w:val="001671C3"/>
    <w:rsid w:val="001674DB"/>
    <w:rsid w:val="00167928"/>
    <w:rsid w:val="0016794B"/>
    <w:rsid w:val="00167C32"/>
    <w:rsid w:val="00171FD0"/>
    <w:rsid w:val="001727BA"/>
    <w:rsid w:val="001733A8"/>
    <w:rsid w:val="00175D7A"/>
    <w:rsid w:val="00176FF1"/>
    <w:rsid w:val="001806F7"/>
    <w:rsid w:val="00180E3A"/>
    <w:rsid w:val="0018266C"/>
    <w:rsid w:val="00182D49"/>
    <w:rsid w:val="00183298"/>
    <w:rsid w:val="00183E54"/>
    <w:rsid w:val="00184620"/>
    <w:rsid w:val="0018567C"/>
    <w:rsid w:val="00185E46"/>
    <w:rsid w:val="00186456"/>
    <w:rsid w:val="00186D97"/>
    <w:rsid w:val="00190209"/>
    <w:rsid w:val="00190284"/>
    <w:rsid w:val="00193357"/>
    <w:rsid w:val="001943F3"/>
    <w:rsid w:val="001946AE"/>
    <w:rsid w:val="00195301"/>
    <w:rsid w:val="00195D85"/>
    <w:rsid w:val="00195FEB"/>
    <w:rsid w:val="0019795D"/>
    <w:rsid w:val="00197D8A"/>
    <w:rsid w:val="001A1630"/>
    <w:rsid w:val="001A28F5"/>
    <w:rsid w:val="001A2E33"/>
    <w:rsid w:val="001A31D6"/>
    <w:rsid w:val="001A356B"/>
    <w:rsid w:val="001A35F3"/>
    <w:rsid w:val="001A3F1C"/>
    <w:rsid w:val="001A43E3"/>
    <w:rsid w:val="001A4622"/>
    <w:rsid w:val="001A4DD0"/>
    <w:rsid w:val="001A5981"/>
    <w:rsid w:val="001A6081"/>
    <w:rsid w:val="001A62FE"/>
    <w:rsid w:val="001A6D57"/>
    <w:rsid w:val="001A79DB"/>
    <w:rsid w:val="001A7FF2"/>
    <w:rsid w:val="001B023A"/>
    <w:rsid w:val="001B0279"/>
    <w:rsid w:val="001B1D0F"/>
    <w:rsid w:val="001B1F9D"/>
    <w:rsid w:val="001B21B5"/>
    <w:rsid w:val="001B21C3"/>
    <w:rsid w:val="001B3F96"/>
    <w:rsid w:val="001B3FA2"/>
    <w:rsid w:val="001B4398"/>
    <w:rsid w:val="001B4A78"/>
    <w:rsid w:val="001B4D06"/>
    <w:rsid w:val="001B7523"/>
    <w:rsid w:val="001B7D79"/>
    <w:rsid w:val="001C0392"/>
    <w:rsid w:val="001C03F6"/>
    <w:rsid w:val="001C0A7C"/>
    <w:rsid w:val="001C1081"/>
    <w:rsid w:val="001C2FE3"/>
    <w:rsid w:val="001C319E"/>
    <w:rsid w:val="001C3B88"/>
    <w:rsid w:val="001C6000"/>
    <w:rsid w:val="001C6598"/>
    <w:rsid w:val="001C66D4"/>
    <w:rsid w:val="001C70FC"/>
    <w:rsid w:val="001C7429"/>
    <w:rsid w:val="001D0619"/>
    <w:rsid w:val="001D118C"/>
    <w:rsid w:val="001D143C"/>
    <w:rsid w:val="001D350F"/>
    <w:rsid w:val="001D3563"/>
    <w:rsid w:val="001D3669"/>
    <w:rsid w:val="001D4273"/>
    <w:rsid w:val="001D42F9"/>
    <w:rsid w:val="001D4DBA"/>
    <w:rsid w:val="001D4EF0"/>
    <w:rsid w:val="001D50F0"/>
    <w:rsid w:val="001D5475"/>
    <w:rsid w:val="001D70BC"/>
    <w:rsid w:val="001D7C92"/>
    <w:rsid w:val="001E01B5"/>
    <w:rsid w:val="001E19A8"/>
    <w:rsid w:val="001E20D6"/>
    <w:rsid w:val="001E28B9"/>
    <w:rsid w:val="001E2CBE"/>
    <w:rsid w:val="001E432F"/>
    <w:rsid w:val="001E4428"/>
    <w:rsid w:val="001E46B1"/>
    <w:rsid w:val="001E46FC"/>
    <w:rsid w:val="001E47ED"/>
    <w:rsid w:val="001E4A14"/>
    <w:rsid w:val="001E4FFC"/>
    <w:rsid w:val="001E58B5"/>
    <w:rsid w:val="001E5A3B"/>
    <w:rsid w:val="001E5B82"/>
    <w:rsid w:val="001E618B"/>
    <w:rsid w:val="001E659B"/>
    <w:rsid w:val="001E673B"/>
    <w:rsid w:val="001E7327"/>
    <w:rsid w:val="001F13B1"/>
    <w:rsid w:val="001F15E8"/>
    <w:rsid w:val="001F1B41"/>
    <w:rsid w:val="001F1D03"/>
    <w:rsid w:val="001F31AC"/>
    <w:rsid w:val="001F350C"/>
    <w:rsid w:val="001F412B"/>
    <w:rsid w:val="001F4A4B"/>
    <w:rsid w:val="001F611F"/>
    <w:rsid w:val="001F6566"/>
    <w:rsid w:val="001F6B6C"/>
    <w:rsid w:val="001F74FC"/>
    <w:rsid w:val="00203488"/>
    <w:rsid w:val="002034C1"/>
    <w:rsid w:val="00205001"/>
    <w:rsid w:val="00205268"/>
    <w:rsid w:val="0020551F"/>
    <w:rsid w:val="00205D11"/>
    <w:rsid w:val="00205F2E"/>
    <w:rsid w:val="00206389"/>
    <w:rsid w:val="002063C0"/>
    <w:rsid w:val="0020671B"/>
    <w:rsid w:val="002073D9"/>
    <w:rsid w:val="00207951"/>
    <w:rsid w:val="00207CA1"/>
    <w:rsid w:val="00207D78"/>
    <w:rsid w:val="0021146D"/>
    <w:rsid w:val="0021196F"/>
    <w:rsid w:val="00211B6F"/>
    <w:rsid w:val="00212659"/>
    <w:rsid w:val="0021514B"/>
    <w:rsid w:val="002151DC"/>
    <w:rsid w:val="00216406"/>
    <w:rsid w:val="00216A27"/>
    <w:rsid w:val="00217289"/>
    <w:rsid w:val="002174BD"/>
    <w:rsid w:val="002215F7"/>
    <w:rsid w:val="00222C0A"/>
    <w:rsid w:val="00222C76"/>
    <w:rsid w:val="00222E84"/>
    <w:rsid w:val="00222F7D"/>
    <w:rsid w:val="00224386"/>
    <w:rsid w:val="00226174"/>
    <w:rsid w:val="00226FE1"/>
    <w:rsid w:val="00227B17"/>
    <w:rsid w:val="00230D71"/>
    <w:rsid w:val="00230EB5"/>
    <w:rsid w:val="00230F75"/>
    <w:rsid w:val="002312B6"/>
    <w:rsid w:val="00231912"/>
    <w:rsid w:val="00232055"/>
    <w:rsid w:val="00233B50"/>
    <w:rsid w:val="00235237"/>
    <w:rsid w:val="00236421"/>
    <w:rsid w:val="002364EC"/>
    <w:rsid w:val="00236526"/>
    <w:rsid w:val="00236625"/>
    <w:rsid w:val="00236E0E"/>
    <w:rsid w:val="002404C7"/>
    <w:rsid w:val="002408E2"/>
    <w:rsid w:val="00241B5D"/>
    <w:rsid w:val="00242F96"/>
    <w:rsid w:val="002444EC"/>
    <w:rsid w:val="0024492D"/>
    <w:rsid w:val="0024553E"/>
    <w:rsid w:val="00246DE6"/>
    <w:rsid w:val="002473D9"/>
    <w:rsid w:val="002476E9"/>
    <w:rsid w:val="002500A5"/>
    <w:rsid w:val="00250961"/>
    <w:rsid w:val="00251036"/>
    <w:rsid w:val="00251096"/>
    <w:rsid w:val="002510B9"/>
    <w:rsid w:val="00251C95"/>
    <w:rsid w:val="00252B4A"/>
    <w:rsid w:val="00253234"/>
    <w:rsid w:val="00253F6C"/>
    <w:rsid w:val="00254312"/>
    <w:rsid w:val="00254DD2"/>
    <w:rsid w:val="00254E18"/>
    <w:rsid w:val="00255FB0"/>
    <w:rsid w:val="002566B2"/>
    <w:rsid w:val="0025797F"/>
    <w:rsid w:val="002606DA"/>
    <w:rsid w:val="00260C21"/>
    <w:rsid w:val="002614F2"/>
    <w:rsid w:val="00262233"/>
    <w:rsid w:val="0026229B"/>
    <w:rsid w:val="002629E7"/>
    <w:rsid w:val="0026384F"/>
    <w:rsid w:val="00263A99"/>
    <w:rsid w:val="0026459F"/>
    <w:rsid w:val="00265680"/>
    <w:rsid w:val="00265AF5"/>
    <w:rsid w:val="00266068"/>
    <w:rsid w:val="002669D0"/>
    <w:rsid w:val="00270BEC"/>
    <w:rsid w:val="00271177"/>
    <w:rsid w:val="0027167E"/>
    <w:rsid w:val="00271E7B"/>
    <w:rsid w:val="0027270A"/>
    <w:rsid w:val="00272A3F"/>
    <w:rsid w:val="00273225"/>
    <w:rsid w:val="00273B70"/>
    <w:rsid w:val="00274292"/>
    <w:rsid w:val="00275724"/>
    <w:rsid w:val="0027646E"/>
    <w:rsid w:val="00276C22"/>
    <w:rsid w:val="00277C25"/>
    <w:rsid w:val="00280115"/>
    <w:rsid w:val="002819AF"/>
    <w:rsid w:val="002819C2"/>
    <w:rsid w:val="00283DCD"/>
    <w:rsid w:val="002867CA"/>
    <w:rsid w:val="00286B00"/>
    <w:rsid w:val="00286B67"/>
    <w:rsid w:val="00286FFD"/>
    <w:rsid w:val="00287FF2"/>
    <w:rsid w:val="0029187C"/>
    <w:rsid w:val="00291EF1"/>
    <w:rsid w:val="00293523"/>
    <w:rsid w:val="00293865"/>
    <w:rsid w:val="00293FE7"/>
    <w:rsid w:val="002967C2"/>
    <w:rsid w:val="00296EFF"/>
    <w:rsid w:val="00297370"/>
    <w:rsid w:val="0029753E"/>
    <w:rsid w:val="002979BA"/>
    <w:rsid w:val="00297DDD"/>
    <w:rsid w:val="002A03C0"/>
    <w:rsid w:val="002A082B"/>
    <w:rsid w:val="002A1EAE"/>
    <w:rsid w:val="002A24AF"/>
    <w:rsid w:val="002A2A50"/>
    <w:rsid w:val="002A57D5"/>
    <w:rsid w:val="002A5810"/>
    <w:rsid w:val="002A72D1"/>
    <w:rsid w:val="002A79F9"/>
    <w:rsid w:val="002A7EA1"/>
    <w:rsid w:val="002B08AE"/>
    <w:rsid w:val="002B13BF"/>
    <w:rsid w:val="002B1C74"/>
    <w:rsid w:val="002B1FCF"/>
    <w:rsid w:val="002B2E9D"/>
    <w:rsid w:val="002B4587"/>
    <w:rsid w:val="002B48D6"/>
    <w:rsid w:val="002B5119"/>
    <w:rsid w:val="002B575E"/>
    <w:rsid w:val="002B795D"/>
    <w:rsid w:val="002C0BCC"/>
    <w:rsid w:val="002C1523"/>
    <w:rsid w:val="002C29B4"/>
    <w:rsid w:val="002C2C50"/>
    <w:rsid w:val="002C3E3E"/>
    <w:rsid w:val="002C42EC"/>
    <w:rsid w:val="002C4C22"/>
    <w:rsid w:val="002C5345"/>
    <w:rsid w:val="002C5774"/>
    <w:rsid w:val="002C594F"/>
    <w:rsid w:val="002C77E3"/>
    <w:rsid w:val="002D1273"/>
    <w:rsid w:val="002D15A2"/>
    <w:rsid w:val="002D3F42"/>
    <w:rsid w:val="002D5B6D"/>
    <w:rsid w:val="002D64D8"/>
    <w:rsid w:val="002D64E5"/>
    <w:rsid w:val="002D6CCC"/>
    <w:rsid w:val="002D7C6A"/>
    <w:rsid w:val="002E07F5"/>
    <w:rsid w:val="002E0B9F"/>
    <w:rsid w:val="002E19C5"/>
    <w:rsid w:val="002E1C02"/>
    <w:rsid w:val="002E27E1"/>
    <w:rsid w:val="002E3FD3"/>
    <w:rsid w:val="002E49C2"/>
    <w:rsid w:val="002E4C99"/>
    <w:rsid w:val="002E68CE"/>
    <w:rsid w:val="002E6D7D"/>
    <w:rsid w:val="002E73EC"/>
    <w:rsid w:val="002E7AB8"/>
    <w:rsid w:val="002F06EC"/>
    <w:rsid w:val="002F235C"/>
    <w:rsid w:val="002F2659"/>
    <w:rsid w:val="002F2A28"/>
    <w:rsid w:val="002F3734"/>
    <w:rsid w:val="002F5F79"/>
    <w:rsid w:val="002F797F"/>
    <w:rsid w:val="002F7EC4"/>
    <w:rsid w:val="00300E85"/>
    <w:rsid w:val="0030249C"/>
    <w:rsid w:val="003043DD"/>
    <w:rsid w:val="00304D70"/>
    <w:rsid w:val="0030602E"/>
    <w:rsid w:val="00307260"/>
    <w:rsid w:val="0031048D"/>
    <w:rsid w:val="003104C2"/>
    <w:rsid w:val="0031163F"/>
    <w:rsid w:val="00312496"/>
    <w:rsid w:val="00314284"/>
    <w:rsid w:val="0031556D"/>
    <w:rsid w:val="00316BE8"/>
    <w:rsid w:val="003176BA"/>
    <w:rsid w:val="00317BAD"/>
    <w:rsid w:val="00317DCE"/>
    <w:rsid w:val="0032041D"/>
    <w:rsid w:val="00320C34"/>
    <w:rsid w:val="00321B7C"/>
    <w:rsid w:val="00323747"/>
    <w:rsid w:val="003237C8"/>
    <w:rsid w:val="0032418F"/>
    <w:rsid w:val="0032594D"/>
    <w:rsid w:val="00325982"/>
    <w:rsid w:val="00327794"/>
    <w:rsid w:val="003279CA"/>
    <w:rsid w:val="0033024E"/>
    <w:rsid w:val="00330B2D"/>
    <w:rsid w:val="00330ED9"/>
    <w:rsid w:val="0033186E"/>
    <w:rsid w:val="003332BD"/>
    <w:rsid w:val="0033482C"/>
    <w:rsid w:val="0033512B"/>
    <w:rsid w:val="003358C6"/>
    <w:rsid w:val="003359E3"/>
    <w:rsid w:val="00344C0C"/>
    <w:rsid w:val="00344F20"/>
    <w:rsid w:val="0034612B"/>
    <w:rsid w:val="00347247"/>
    <w:rsid w:val="003477E1"/>
    <w:rsid w:val="00352381"/>
    <w:rsid w:val="003535CD"/>
    <w:rsid w:val="00353635"/>
    <w:rsid w:val="003540EB"/>
    <w:rsid w:val="003563FC"/>
    <w:rsid w:val="00356A7E"/>
    <w:rsid w:val="00356F68"/>
    <w:rsid w:val="00357245"/>
    <w:rsid w:val="00357639"/>
    <w:rsid w:val="00357D35"/>
    <w:rsid w:val="00361B90"/>
    <w:rsid w:val="00361E48"/>
    <w:rsid w:val="00362C63"/>
    <w:rsid w:val="00363659"/>
    <w:rsid w:val="003636AC"/>
    <w:rsid w:val="00363C25"/>
    <w:rsid w:val="00363EAE"/>
    <w:rsid w:val="003648E3"/>
    <w:rsid w:val="00364DA4"/>
    <w:rsid w:val="003654CA"/>
    <w:rsid w:val="00366775"/>
    <w:rsid w:val="00367939"/>
    <w:rsid w:val="003703C4"/>
    <w:rsid w:val="0037111B"/>
    <w:rsid w:val="00371542"/>
    <w:rsid w:val="003715E7"/>
    <w:rsid w:val="00371FF7"/>
    <w:rsid w:val="00372197"/>
    <w:rsid w:val="00373310"/>
    <w:rsid w:val="00373D34"/>
    <w:rsid w:val="0037436B"/>
    <w:rsid w:val="00374505"/>
    <w:rsid w:val="00375402"/>
    <w:rsid w:val="00376325"/>
    <w:rsid w:val="0037729D"/>
    <w:rsid w:val="00381271"/>
    <w:rsid w:val="00381768"/>
    <w:rsid w:val="00381CF9"/>
    <w:rsid w:val="00382661"/>
    <w:rsid w:val="00382DF6"/>
    <w:rsid w:val="003832B6"/>
    <w:rsid w:val="003843DC"/>
    <w:rsid w:val="00384A6B"/>
    <w:rsid w:val="00384E6F"/>
    <w:rsid w:val="003865AB"/>
    <w:rsid w:val="003867A5"/>
    <w:rsid w:val="00386C78"/>
    <w:rsid w:val="00390464"/>
    <w:rsid w:val="003924C7"/>
    <w:rsid w:val="00392A4E"/>
    <w:rsid w:val="003931DD"/>
    <w:rsid w:val="00393A92"/>
    <w:rsid w:val="00394DF4"/>
    <w:rsid w:val="00395479"/>
    <w:rsid w:val="00395CD8"/>
    <w:rsid w:val="00396893"/>
    <w:rsid w:val="003968A8"/>
    <w:rsid w:val="00397E6A"/>
    <w:rsid w:val="003A0A17"/>
    <w:rsid w:val="003A1771"/>
    <w:rsid w:val="003A3F21"/>
    <w:rsid w:val="003A6B60"/>
    <w:rsid w:val="003A6DD1"/>
    <w:rsid w:val="003B1309"/>
    <w:rsid w:val="003B19F3"/>
    <w:rsid w:val="003B5005"/>
    <w:rsid w:val="003B5B24"/>
    <w:rsid w:val="003B61C7"/>
    <w:rsid w:val="003B69A3"/>
    <w:rsid w:val="003B6BB7"/>
    <w:rsid w:val="003C0217"/>
    <w:rsid w:val="003C0738"/>
    <w:rsid w:val="003C347C"/>
    <w:rsid w:val="003C3AF9"/>
    <w:rsid w:val="003C4F17"/>
    <w:rsid w:val="003C5127"/>
    <w:rsid w:val="003C561F"/>
    <w:rsid w:val="003C5899"/>
    <w:rsid w:val="003C6C5E"/>
    <w:rsid w:val="003C721A"/>
    <w:rsid w:val="003D02A7"/>
    <w:rsid w:val="003D0D1A"/>
    <w:rsid w:val="003D0F06"/>
    <w:rsid w:val="003D2193"/>
    <w:rsid w:val="003D2843"/>
    <w:rsid w:val="003D2B8D"/>
    <w:rsid w:val="003D2C92"/>
    <w:rsid w:val="003D475C"/>
    <w:rsid w:val="003D4DC2"/>
    <w:rsid w:val="003D4E49"/>
    <w:rsid w:val="003D596D"/>
    <w:rsid w:val="003E029D"/>
    <w:rsid w:val="003E1EA0"/>
    <w:rsid w:val="003E2669"/>
    <w:rsid w:val="003E3471"/>
    <w:rsid w:val="003E4D35"/>
    <w:rsid w:val="003E547C"/>
    <w:rsid w:val="003E5E6D"/>
    <w:rsid w:val="003E63FC"/>
    <w:rsid w:val="003E71E1"/>
    <w:rsid w:val="003E7379"/>
    <w:rsid w:val="003E752E"/>
    <w:rsid w:val="003F0E4C"/>
    <w:rsid w:val="003F14BD"/>
    <w:rsid w:val="003F3436"/>
    <w:rsid w:val="003F5DBB"/>
    <w:rsid w:val="003F5EF9"/>
    <w:rsid w:val="003F6650"/>
    <w:rsid w:val="00400185"/>
    <w:rsid w:val="00402131"/>
    <w:rsid w:val="00403CFB"/>
    <w:rsid w:val="004041BE"/>
    <w:rsid w:val="00405C07"/>
    <w:rsid w:val="00406929"/>
    <w:rsid w:val="00406A03"/>
    <w:rsid w:val="00407893"/>
    <w:rsid w:val="00410326"/>
    <w:rsid w:val="0041079F"/>
    <w:rsid w:val="00410B3F"/>
    <w:rsid w:val="00410C3E"/>
    <w:rsid w:val="00411981"/>
    <w:rsid w:val="004132FC"/>
    <w:rsid w:val="00413880"/>
    <w:rsid w:val="00413D3B"/>
    <w:rsid w:val="00414CB0"/>
    <w:rsid w:val="00415BCD"/>
    <w:rsid w:val="0041607F"/>
    <w:rsid w:val="00416B7A"/>
    <w:rsid w:val="00416BA0"/>
    <w:rsid w:val="00417B89"/>
    <w:rsid w:val="004201E3"/>
    <w:rsid w:val="004210D8"/>
    <w:rsid w:val="00421919"/>
    <w:rsid w:val="004227E8"/>
    <w:rsid w:val="00422C85"/>
    <w:rsid w:val="00422EF4"/>
    <w:rsid w:val="00422F05"/>
    <w:rsid w:val="004233FA"/>
    <w:rsid w:val="00425328"/>
    <w:rsid w:val="00427390"/>
    <w:rsid w:val="00427567"/>
    <w:rsid w:val="00430776"/>
    <w:rsid w:val="00430A7D"/>
    <w:rsid w:val="00431048"/>
    <w:rsid w:val="0043116F"/>
    <w:rsid w:val="00431E37"/>
    <w:rsid w:val="00432D15"/>
    <w:rsid w:val="00433E16"/>
    <w:rsid w:val="004362FD"/>
    <w:rsid w:val="004369C1"/>
    <w:rsid w:val="00436A55"/>
    <w:rsid w:val="00436ED9"/>
    <w:rsid w:val="004373EA"/>
    <w:rsid w:val="004378A8"/>
    <w:rsid w:val="00437B22"/>
    <w:rsid w:val="00440269"/>
    <w:rsid w:val="00440700"/>
    <w:rsid w:val="00441EA8"/>
    <w:rsid w:val="0044502E"/>
    <w:rsid w:val="004454AA"/>
    <w:rsid w:val="004456F3"/>
    <w:rsid w:val="00446641"/>
    <w:rsid w:val="00446910"/>
    <w:rsid w:val="00446A2A"/>
    <w:rsid w:val="00446B40"/>
    <w:rsid w:val="00446EAC"/>
    <w:rsid w:val="004470B5"/>
    <w:rsid w:val="00447456"/>
    <w:rsid w:val="00447D62"/>
    <w:rsid w:val="00452153"/>
    <w:rsid w:val="004527E9"/>
    <w:rsid w:val="004539FB"/>
    <w:rsid w:val="00453B9D"/>
    <w:rsid w:val="00455BAD"/>
    <w:rsid w:val="004572AB"/>
    <w:rsid w:val="0045736E"/>
    <w:rsid w:val="004575E4"/>
    <w:rsid w:val="00461A96"/>
    <w:rsid w:val="00463270"/>
    <w:rsid w:val="00463643"/>
    <w:rsid w:val="00463CF4"/>
    <w:rsid w:val="004644F9"/>
    <w:rsid w:val="004645C3"/>
    <w:rsid w:val="00464B6C"/>
    <w:rsid w:val="0046565F"/>
    <w:rsid w:val="00466250"/>
    <w:rsid w:val="004671DB"/>
    <w:rsid w:val="00467D44"/>
    <w:rsid w:val="00470B56"/>
    <w:rsid w:val="00470D76"/>
    <w:rsid w:val="0047123F"/>
    <w:rsid w:val="00471336"/>
    <w:rsid w:val="00472098"/>
    <w:rsid w:val="004724ED"/>
    <w:rsid w:val="00472756"/>
    <w:rsid w:val="00476901"/>
    <w:rsid w:val="004771A2"/>
    <w:rsid w:val="00477438"/>
    <w:rsid w:val="0048067C"/>
    <w:rsid w:val="00481400"/>
    <w:rsid w:val="004825DC"/>
    <w:rsid w:val="004829D7"/>
    <w:rsid w:val="00483943"/>
    <w:rsid w:val="00483CA5"/>
    <w:rsid w:val="0048409D"/>
    <w:rsid w:val="00485FBC"/>
    <w:rsid w:val="0048686F"/>
    <w:rsid w:val="00486B71"/>
    <w:rsid w:val="0048741F"/>
    <w:rsid w:val="004874CA"/>
    <w:rsid w:val="00491666"/>
    <w:rsid w:val="00491E68"/>
    <w:rsid w:val="0049372B"/>
    <w:rsid w:val="0049383C"/>
    <w:rsid w:val="004938F3"/>
    <w:rsid w:val="00495425"/>
    <w:rsid w:val="00495D4F"/>
    <w:rsid w:val="00496167"/>
    <w:rsid w:val="00497856"/>
    <w:rsid w:val="00497E6E"/>
    <w:rsid w:val="004A131E"/>
    <w:rsid w:val="004A3A3C"/>
    <w:rsid w:val="004A3BC1"/>
    <w:rsid w:val="004A46B0"/>
    <w:rsid w:val="004A49D9"/>
    <w:rsid w:val="004A5F61"/>
    <w:rsid w:val="004A6870"/>
    <w:rsid w:val="004B1385"/>
    <w:rsid w:val="004B1A7D"/>
    <w:rsid w:val="004B204B"/>
    <w:rsid w:val="004B208B"/>
    <w:rsid w:val="004B31F6"/>
    <w:rsid w:val="004B3C1B"/>
    <w:rsid w:val="004B4C63"/>
    <w:rsid w:val="004B589C"/>
    <w:rsid w:val="004B5CF9"/>
    <w:rsid w:val="004B63E0"/>
    <w:rsid w:val="004B7357"/>
    <w:rsid w:val="004B73BF"/>
    <w:rsid w:val="004B77E4"/>
    <w:rsid w:val="004C03A2"/>
    <w:rsid w:val="004C1343"/>
    <w:rsid w:val="004C1AFD"/>
    <w:rsid w:val="004C3558"/>
    <w:rsid w:val="004C4BAC"/>
    <w:rsid w:val="004C4D41"/>
    <w:rsid w:val="004C568E"/>
    <w:rsid w:val="004C5B8C"/>
    <w:rsid w:val="004C6D90"/>
    <w:rsid w:val="004C7738"/>
    <w:rsid w:val="004D1889"/>
    <w:rsid w:val="004D2326"/>
    <w:rsid w:val="004D357C"/>
    <w:rsid w:val="004D4A3E"/>
    <w:rsid w:val="004D5925"/>
    <w:rsid w:val="004D5D75"/>
    <w:rsid w:val="004D6727"/>
    <w:rsid w:val="004D70BD"/>
    <w:rsid w:val="004E172A"/>
    <w:rsid w:val="004E1C0E"/>
    <w:rsid w:val="004E21EB"/>
    <w:rsid w:val="004E2D8E"/>
    <w:rsid w:val="004E2EBB"/>
    <w:rsid w:val="004E3D20"/>
    <w:rsid w:val="004E5378"/>
    <w:rsid w:val="004E552E"/>
    <w:rsid w:val="004E6131"/>
    <w:rsid w:val="004E7A6D"/>
    <w:rsid w:val="004E7C01"/>
    <w:rsid w:val="004F09F6"/>
    <w:rsid w:val="004F1096"/>
    <w:rsid w:val="004F1628"/>
    <w:rsid w:val="004F27D0"/>
    <w:rsid w:val="004F2C31"/>
    <w:rsid w:val="004F3248"/>
    <w:rsid w:val="004F32C9"/>
    <w:rsid w:val="004F33EF"/>
    <w:rsid w:val="004F5347"/>
    <w:rsid w:val="004F5438"/>
    <w:rsid w:val="004F559A"/>
    <w:rsid w:val="004F590B"/>
    <w:rsid w:val="004F5FDB"/>
    <w:rsid w:val="004F7589"/>
    <w:rsid w:val="00500ABF"/>
    <w:rsid w:val="00501082"/>
    <w:rsid w:val="00502279"/>
    <w:rsid w:val="0050268C"/>
    <w:rsid w:val="00502B47"/>
    <w:rsid w:val="00502C25"/>
    <w:rsid w:val="0050356B"/>
    <w:rsid w:val="00503D9A"/>
    <w:rsid w:val="005055BD"/>
    <w:rsid w:val="005057E0"/>
    <w:rsid w:val="00506ED0"/>
    <w:rsid w:val="00506F78"/>
    <w:rsid w:val="00507697"/>
    <w:rsid w:val="005077E7"/>
    <w:rsid w:val="00507880"/>
    <w:rsid w:val="0051046D"/>
    <w:rsid w:val="00510FAD"/>
    <w:rsid w:val="00511C8E"/>
    <w:rsid w:val="00512747"/>
    <w:rsid w:val="0051280C"/>
    <w:rsid w:val="0051422C"/>
    <w:rsid w:val="005146B8"/>
    <w:rsid w:val="005148A3"/>
    <w:rsid w:val="00514D02"/>
    <w:rsid w:val="00515E34"/>
    <w:rsid w:val="005169D9"/>
    <w:rsid w:val="0051798D"/>
    <w:rsid w:val="00517B27"/>
    <w:rsid w:val="005205E3"/>
    <w:rsid w:val="00520B09"/>
    <w:rsid w:val="00521568"/>
    <w:rsid w:val="00521DBF"/>
    <w:rsid w:val="00522ABF"/>
    <w:rsid w:val="00523997"/>
    <w:rsid w:val="00523EDE"/>
    <w:rsid w:val="0052528C"/>
    <w:rsid w:val="005253AE"/>
    <w:rsid w:val="00526B07"/>
    <w:rsid w:val="00530982"/>
    <w:rsid w:val="00531730"/>
    <w:rsid w:val="005332C7"/>
    <w:rsid w:val="005333D1"/>
    <w:rsid w:val="00535372"/>
    <w:rsid w:val="0053551A"/>
    <w:rsid w:val="005356AD"/>
    <w:rsid w:val="00535AA9"/>
    <w:rsid w:val="0053614D"/>
    <w:rsid w:val="005368D3"/>
    <w:rsid w:val="00536BAC"/>
    <w:rsid w:val="005374CF"/>
    <w:rsid w:val="005403ED"/>
    <w:rsid w:val="0054139A"/>
    <w:rsid w:val="0054174C"/>
    <w:rsid w:val="00541B06"/>
    <w:rsid w:val="00541E7C"/>
    <w:rsid w:val="005420B6"/>
    <w:rsid w:val="00542386"/>
    <w:rsid w:val="00542947"/>
    <w:rsid w:val="005458E0"/>
    <w:rsid w:val="0054617B"/>
    <w:rsid w:val="00547365"/>
    <w:rsid w:val="00550865"/>
    <w:rsid w:val="0055105B"/>
    <w:rsid w:val="005511A6"/>
    <w:rsid w:val="005511DD"/>
    <w:rsid w:val="00552DCA"/>
    <w:rsid w:val="0055410A"/>
    <w:rsid w:val="00554138"/>
    <w:rsid w:val="00554DB3"/>
    <w:rsid w:val="00561C15"/>
    <w:rsid w:val="00561D5B"/>
    <w:rsid w:val="00561D7D"/>
    <w:rsid w:val="00562EFA"/>
    <w:rsid w:val="005644D5"/>
    <w:rsid w:val="00566ABE"/>
    <w:rsid w:val="00566B09"/>
    <w:rsid w:val="005676BD"/>
    <w:rsid w:val="00570466"/>
    <w:rsid w:val="0057061C"/>
    <w:rsid w:val="005713CA"/>
    <w:rsid w:val="00571B04"/>
    <w:rsid w:val="00572931"/>
    <w:rsid w:val="00573F4D"/>
    <w:rsid w:val="00573FF6"/>
    <w:rsid w:val="005765E3"/>
    <w:rsid w:val="00577626"/>
    <w:rsid w:val="0058021C"/>
    <w:rsid w:val="00580A15"/>
    <w:rsid w:val="00582B1C"/>
    <w:rsid w:val="005838B4"/>
    <w:rsid w:val="00584D6B"/>
    <w:rsid w:val="00585E2E"/>
    <w:rsid w:val="00585F07"/>
    <w:rsid w:val="00587D8A"/>
    <w:rsid w:val="005924A3"/>
    <w:rsid w:val="005928E9"/>
    <w:rsid w:val="00593231"/>
    <w:rsid w:val="005932A4"/>
    <w:rsid w:val="0059352B"/>
    <w:rsid w:val="00594795"/>
    <w:rsid w:val="0059489B"/>
    <w:rsid w:val="005959F2"/>
    <w:rsid w:val="005969D1"/>
    <w:rsid w:val="00597D98"/>
    <w:rsid w:val="005A0882"/>
    <w:rsid w:val="005A0FA9"/>
    <w:rsid w:val="005A133F"/>
    <w:rsid w:val="005A1AE0"/>
    <w:rsid w:val="005A2248"/>
    <w:rsid w:val="005A3245"/>
    <w:rsid w:val="005A3534"/>
    <w:rsid w:val="005A3734"/>
    <w:rsid w:val="005A4052"/>
    <w:rsid w:val="005A429B"/>
    <w:rsid w:val="005A6676"/>
    <w:rsid w:val="005B02F8"/>
    <w:rsid w:val="005B1893"/>
    <w:rsid w:val="005B2939"/>
    <w:rsid w:val="005B2EF3"/>
    <w:rsid w:val="005B3BFF"/>
    <w:rsid w:val="005B44BD"/>
    <w:rsid w:val="005B4730"/>
    <w:rsid w:val="005B4886"/>
    <w:rsid w:val="005B4AB3"/>
    <w:rsid w:val="005B4E12"/>
    <w:rsid w:val="005B4E2C"/>
    <w:rsid w:val="005B5220"/>
    <w:rsid w:val="005B548C"/>
    <w:rsid w:val="005B6229"/>
    <w:rsid w:val="005B66BB"/>
    <w:rsid w:val="005B69ED"/>
    <w:rsid w:val="005B6CE8"/>
    <w:rsid w:val="005B7E71"/>
    <w:rsid w:val="005C0DC2"/>
    <w:rsid w:val="005C10C8"/>
    <w:rsid w:val="005C1106"/>
    <w:rsid w:val="005C1B47"/>
    <w:rsid w:val="005C1C6A"/>
    <w:rsid w:val="005C3CCB"/>
    <w:rsid w:val="005C5A9B"/>
    <w:rsid w:val="005C6904"/>
    <w:rsid w:val="005D2396"/>
    <w:rsid w:val="005D2733"/>
    <w:rsid w:val="005D2794"/>
    <w:rsid w:val="005D3404"/>
    <w:rsid w:val="005D41A2"/>
    <w:rsid w:val="005D50C3"/>
    <w:rsid w:val="005D5BA8"/>
    <w:rsid w:val="005D5CD6"/>
    <w:rsid w:val="005D6CEF"/>
    <w:rsid w:val="005E021C"/>
    <w:rsid w:val="005E0370"/>
    <w:rsid w:val="005E1275"/>
    <w:rsid w:val="005E148E"/>
    <w:rsid w:val="005E18CF"/>
    <w:rsid w:val="005E2A57"/>
    <w:rsid w:val="005E2C5C"/>
    <w:rsid w:val="005E3278"/>
    <w:rsid w:val="005E4F8E"/>
    <w:rsid w:val="005E500C"/>
    <w:rsid w:val="005E626E"/>
    <w:rsid w:val="005E6298"/>
    <w:rsid w:val="005E6868"/>
    <w:rsid w:val="005F0076"/>
    <w:rsid w:val="005F0163"/>
    <w:rsid w:val="005F0435"/>
    <w:rsid w:val="005F09F2"/>
    <w:rsid w:val="005F13BF"/>
    <w:rsid w:val="005F271D"/>
    <w:rsid w:val="005F5057"/>
    <w:rsid w:val="005F5F6E"/>
    <w:rsid w:val="005F628D"/>
    <w:rsid w:val="005F6BB4"/>
    <w:rsid w:val="005F6CA9"/>
    <w:rsid w:val="005F7630"/>
    <w:rsid w:val="006001E5"/>
    <w:rsid w:val="00600CB6"/>
    <w:rsid w:val="00600DD6"/>
    <w:rsid w:val="00601334"/>
    <w:rsid w:val="00603372"/>
    <w:rsid w:val="00605557"/>
    <w:rsid w:val="006059FA"/>
    <w:rsid w:val="006072CE"/>
    <w:rsid w:val="00611AC4"/>
    <w:rsid w:val="006134E5"/>
    <w:rsid w:val="00614084"/>
    <w:rsid w:val="00614B21"/>
    <w:rsid w:val="00615361"/>
    <w:rsid w:val="0061596D"/>
    <w:rsid w:val="00616A72"/>
    <w:rsid w:val="006209B7"/>
    <w:rsid w:val="0062121D"/>
    <w:rsid w:val="00621347"/>
    <w:rsid w:val="00621694"/>
    <w:rsid w:val="0062200C"/>
    <w:rsid w:val="006224B8"/>
    <w:rsid w:val="006227D4"/>
    <w:rsid w:val="00624AF1"/>
    <w:rsid w:val="006259B5"/>
    <w:rsid w:val="00625A2D"/>
    <w:rsid w:val="00627AC3"/>
    <w:rsid w:val="006315A9"/>
    <w:rsid w:val="0063186B"/>
    <w:rsid w:val="00632585"/>
    <w:rsid w:val="006330AA"/>
    <w:rsid w:val="006333D2"/>
    <w:rsid w:val="00633B06"/>
    <w:rsid w:val="00634C2B"/>
    <w:rsid w:val="00635C64"/>
    <w:rsid w:val="00635DA4"/>
    <w:rsid w:val="006360C8"/>
    <w:rsid w:val="006365AD"/>
    <w:rsid w:val="006409B8"/>
    <w:rsid w:val="00642A13"/>
    <w:rsid w:val="00643A26"/>
    <w:rsid w:val="00643D52"/>
    <w:rsid w:val="00643E74"/>
    <w:rsid w:val="0064411C"/>
    <w:rsid w:val="00644583"/>
    <w:rsid w:val="006449C2"/>
    <w:rsid w:val="00646036"/>
    <w:rsid w:val="00646C1F"/>
    <w:rsid w:val="006503A3"/>
    <w:rsid w:val="00650595"/>
    <w:rsid w:val="00650AB9"/>
    <w:rsid w:val="00651016"/>
    <w:rsid w:val="006515C4"/>
    <w:rsid w:val="00652144"/>
    <w:rsid w:val="00652510"/>
    <w:rsid w:val="0065409C"/>
    <w:rsid w:val="00654115"/>
    <w:rsid w:val="00654F11"/>
    <w:rsid w:val="00655DA4"/>
    <w:rsid w:val="0065624C"/>
    <w:rsid w:val="00657648"/>
    <w:rsid w:val="0065796F"/>
    <w:rsid w:val="00657BFC"/>
    <w:rsid w:val="00661A0B"/>
    <w:rsid w:val="00662CC0"/>
    <w:rsid w:val="0066340F"/>
    <w:rsid w:val="0066361C"/>
    <w:rsid w:val="00663C31"/>
    <w:rsid w:val="0066485C"/>
    <w:rsid w:val="006675D8"/>
    <w:rsid w:val="00670B74"/>
    <w:rsid w:val="00671489"/>
    <w:rsid w:val="00673011"/>
    <w:rsid w:val="00674286"/>
    <w:rsid w:val="0067476E"/>
    <w:rsid w:val="00675E2B"/>
    <w:rsid w:val="00676B97"/>
    <w:rsid w:val="00677A7B"/>
    <w:rsid w:val="00677F2C"/>
    <w:rsid w:val="006804E7"/>
    <w:rsid w:val="0068099C"/>
    <w:rsid w:val="0068129A"/>
    <w:rsid w:val="00681F21"/>
    <w:rsid w:val="00683662"/>
    <w:rsid w:val="00684EDB"/>
    <w:rsid w:val="00685C6C"/>
    <w:rsid w:val="00686AF7"/>
    <w:rsid w:val="00687AC2"/>
    <w:rsid w:val="00691DEC"/>
    <w:rsid w:val="006935FA"/>
    <w:rsid w:val="00695328"/>
    <w:rsid w:val="00695C2A"/>
    <w:rsid w:val="00695E7C"/>
    <w:rsid w:val="006A13B2"/>
    <w:rsid w:val="006A14F8"/>
    <w:rsid w:val="006A197F"/>
    <w:rsid w:val="006A2B5E"/>
    <w:rsid w:val="006A2EFD"/>
    <w:rsid w:val="006A3315"/>
    <w:rsid w:val="006A361B"/>
    <w:rsid w:val="006A3E0D"/>
    <w:rsid w:val="006A3EF7"/>
    <w:rsid w:val="006A42C9"/>
    <w:rsid w:val="006A56A1"/>
    <w:rsid w:val="006A5AC2"/>
    <w:rsid w:val="006A5AF1"/>
    <w:rsid w:val="006A66CE"/>
    <w:rsid w:val="006A681F"/>
    <w:rsid w:val="006A720D"/>
    <w:rsid w:val="006A78F3"/>
    <w:rsid w:val="006A7C87"/>
    <w:rsid w:val="006B0330"/>
    <w:rsid w:val="006B093D"/>
    <w:rsid w:val="006B0CE6"/>
    <w:rsid w:val="006B23EA"/>
    <w:rsid w:val="006B30B8"/>
    <w:rsid w:val="006B4505"/>
    <w:rsid w:val="006B4B34"/>
    <w:rsid w:val="006B53B1"/>
    <w:rsid w:val="006B56A8"/>
    <w:rsid w:val="006B5C8B"/>
    <w:rsid w:val="006B64B5"/>
    <w:rsid w:val="006B64B8"/>
    <w:rsid w:val="006B6C44"/>
    <w:rsid w:val="006C05AB"/>
    <w:rsid w:val="006C265E"/>
    <w:rsid w:val="006C2953"/>
    <w:rsid w:val="006C3B2D"/>
    <w:rsid w:val="006C6A4D"/>
    <w:rsid w:val="006C6DEC"/>
    <w:rsid w:val="006C706C"/>
    <w:rsid w:val="006C7239"/>
    <w:rsid w:val="006C77DD"/>
    <w:rsid w:val="006C79F9"/>
    <w:rsid w:val="006C7B8E"/>
    <w:rsid w:val="006D0AE6"/>
    <w:rsid w:val="006D0CF9"/>
    <w:rsid w:val="006D0DCC"/>
    <w:rsid w:val="006D1F89"/>
    <w:rsid w:val="006D2FE2"/>
    <w:rsid w:val="006D3759"/>
    <w:rsid w:val="006D3CFE"/>
    <w:rsid w:val="006D447D"/>
    <w:rsid w:val="006D6709"/>
    <w:rsid w:val="006D6ADA"/>
    <w:rsid w:val="006D6CF9"/>
    <w:rsid w:val="006D7579"/>
    <w:rsid w:val="006E1666"/>
    <w:rsid w:val="006E1C11"/>
    <w:rsid w:val="006E2500"/>
    <w:rsid w:val="006E399D"/>
    <w:rsid w:val="006E3F1C"/>
    <w:rsid w:val="006E40A2"/>
    <w:rsid w:val="006E5812"/>
    <w:rsid w:val="006E5911"/>
    <w:rsid w:val="006E629F"/>
    <w:rsid w:val="006E6AB4"/>
    <w:rsid w:val="006F005A"/>
    <w:rsid w:val="006F0689"/>
    <w:rsid w:val="006F08C4"/>
    <w:rsid w:val="006F161B"/>
    <w:rsid w:val="006F2BE0"/>
    <w:rsid w:val="006F2DA8"/>
    <w:rsid w:val="006F31B5"/>
    <w:rsid w:val="006F3328"/>
    <w:rsid w:val="006F419B"/>
    <w:rsid w:val="006F4BB9"/>
    <w:rsid w:val="006F68A3"/>
    <w:rsid w:val="00700449"/>
    <w:rsid w:val="007006AB"/>
    <w:rsid w:val="007019A3"/>
    <w:rsid w:val="00702741"/>
    <w:rsid w:val="007029CD"/>
    <w:rsid w:val="007038DC"/>
    <w:rsid w:val="00704238"/>
    <w:rsid w:val="00705001"/>
    <w:rsid w:val="007050A1"/>
    <w:rsid w:val="00705464"/>
    <w:rsid w:val="0070568C"/>
    <w:rsid w:val="00707431"/>
    <w:rsid w:val="00707533"/>
    <w:rsid w:val="00707A7A"/>
    <w:rsid w:val="00710C1A"/>
    <w:rsid w:val="00710C65"/>
    <w:rsid w:val="00713140"/>
    <w:rsid w:val="00713C0F"/>
    <w:rsid w:val="00714CCC"/>
    <w:rsid w:val="007211FA"/>
    <w:rsid w:val="007213C7"/>
    <w:rsid w:val="0072406F"/>
    <w:rsid w:val="007243D9"/>
    <w:rsid w:val="0072471F"/>
    <w:rsid w:val="00724D51"/>
    <w:rsid w:val="007259D5"/>
    <w:rsid w:val="00726A9A"/>
    <w:rsid w:val="00731814"/>
    <w:rsid w:val="00731B27"/>
    <w:rsid w:val="00733503"/>
    <w:rsid w:val="00734967"/>
    <w:rsid w:val="007357A6"/>
    <w:rsid w:val="00735EFA"/>
    <w:rsid w:val="00735FAD"/>
    <w:rsid w:val="00736769"/>
    <w:rsid w:val="0074070C"/>
    <w:rsid w:val="00741A76"/>
    <w:rsid w:val="00741E71"/>
    <w:rsid w:val="00743953"/>
    <w:rsid w:val="00744524"/>
    <w:rsid w:val="00744CB3"/>
    <w:rsid w:val="00746C53"/>
    <w:rsid w:val="00746C62"/>
    <w:rsid w:val="0075086A"/>
    <w:rsid w:val="00750F4E"/>
    <w:rsid w:val="00751DF1"/>
    <w:rsid w:val="007521A2"/>
    <w:rsid w:val="007523FA"/>
    <w:rsid w:val="00752881"/>
    <w:rsid w:val="00752BEA"/>
    <w:rsid w:val="00753759"/>
    <w:rsid w:val="007542D8"/>
    <w:rsid w:val="00754570"/>
    <w:rsid w:val="00755308"/>
    <w:rsid w:val="007556C5"/>
    <w:rsid w:val="007557B6"/>
    <w:rsid w:val="00755F82"/>
    <w:rsid w:val="00756089"/>
    <w:rsid w:val="00756904"/>
    <w:rsid w:val="007616B0"/>
    <w:rsid w:val="00761B1C"/>
    <w:rsid w:val="00762A42"/>
    <w:rsid w:val="00762E2E"/>
    <w:rsid w:val="0076301C"/>
    <w:rsid w:val="00764153"/>
    <w:rsid w:val="00764360"/>
    <w:rsid w:val="007643D2"/>
    <w:rsid w:val="007646EE"/>
    <w:rsid w:val="00765546"/>
    <w:rsid w:val="00765D09"/>
    <w:rsid w:val="00765D26"/>
    <w:rsid w:val="00766245"/>
    <w:rsid w:val="00767881"/>
    <w:rsid w:val="007700A2"/>
    <w:rsid w:val="00770410"/>
    <w:rsid w:val="00770B20"/>
    <w:rsid w:val="00771992"/>
    <w:rsid w:val="00772418"/>
    <w:rsid w:val="00772E5D"/>
    <w:rsid w:val="00773B6A"/>
    <w:rsid w:val="0077404C"/>
    <w:rsid w:val="007742AD"/>
    <w:rsid w:val="007743F8"/>
    <w:rsid w:val="00774D16"/>
    <w:rsid w:val="00775553"/>
    <w:rsid w:val="00775FAC"/>
    <w:rsid w:val="00777B92"/>
    <w:rsid w:val="007804BE"/>
    <w:rsid w:val="0078074A"/>
    <w:rsid w:val="00780899"/>
    <w:rsid w:val="007818DE"/>
    <w:rsid w:val="00781B4B"/>
    <w:rsid w:val="00782B6B"/>
    <w:rsid w:val="00783097"/>
    <w:rsid w:val="00783368"/>
    <w:rsid w:val="00783649"/>
    <w:rsid w:val="007837CE"/>
    <w:rsid w:val="007846EF"/>
    <w:rsid w:val="007848D2"/>
    <w:rsid w:val="00785175"/>
    <w:rsid w:val="00785BEE"/>
    <w:rsid w:val="00786693"/>
    <w:rsid w:val="00787470"/>
    <w:rsid w:val="0078774A"/>
    <w:rsid w:val="0079015B"/>
    <w:rsid w:val="00790F1D"/>
    <w:rsid w:val="00791B6C"/>
    <w:rsid w:val="007938D3"/>
    <w:rsid w:val="00793B35"/>
    <w:rsid w:val="007964F5"/>
    <w:rsid w:val="007966F2"/>
    <w:rsid w:val="0079739D"/>
    <w:rsid w:val="007974CE"/>
    <w:rsid w:val="007A0B39"/>
    <w:rsid w:val="007A1356"/>
    <w:rsid w:val="007A2138"/>
    <w:rsid w:val="007A3A52"/>
    <w:rsid w:val="007A477E"/>
    <w:rsid w:val="007A4D28"/>
    <w:rsid w:val="007A56A7"/>
    <w:rsid w:val="007A60D0"/>
    <w:rsid w:val="007A72A6"/>
    <w:rsid w:val="007A78B5"/>
    <w:rsid w:val="007B0DA3"/>
    <w:rsid w:val="007B0F1D"/>
    <w:rsid w:val="007B1D26"/>
    <w:rsid w:val="007B1DF6"/>
    <w:rsid w:val="007B24A9"/>
    <w:rsid w:val="007B25C1"/>
    <w:rsid w:val="007B3A67"/>
    <w:rsid w:val="007B3C8B"/>
    <w:rsid w:val="007B41EB"/>
    <w:rsid w:val="007B4A06"/>
    <w:rsid w:val="007B51EC"/>
    <w:rsid w:val="007B7AA7"/>
    <w:rsid w:val="007C00E6"/>
    <w:rsid w:val="007C0226"/>
    <w:rsid w:val="007C0274"/>
    <w:rsid w:val="007C3C29"/>
    <w:rsid w:val="007C4BB3"/>
    <w:rsid w:val="007C5E2C"/>
    <w:rsid w:val="007C74C7"/>
    <w:rsid w:val="007C782C"/>
    <w:rsid w:val="007C7BA4"/>
    <w:rsid w:val="007D083F"/>
    <w:rsid w:val="007D084F"/>
    <w:rsid w:val="007D1C0B"/>
    <w:rsid w:val="007D231B"/>
    <w:rsid w:val="007D2BE7"/>
    <w:rsid w:val="007D3CEA"/>
    <w:rsid w:val="007D3DC0"/>
    <w:rsid w:val="007D44CC"/>
    <w:rsid w:val="007D47A7"/>
    <w:rsid w:val="007D57A2"/>
    <w:rsid w:val="007D5A44"/>
    <w:rsid w:val="007D6587"/>
    <w:rsid w:val="007D79EB"/>
    <w:rsid w:val="007D7FA6"/>
    <w:rsid w:val="007E19E4"/>
    <w:rsid w:val="007E23CA"/>
    <w:rsid w:val="007E5359"/>
    <w:rsid w:val="007E5F0C"/>
    <w:rsid w:val="007E60DF"/>
    <w:rsid w:val="007E623B"/>
    <w:rsid w:val="007E7F6D"/>
    <w:rsid w:val="007F0DC6"/>
    <w:rsid w:val="007F2404"/>
    <w:rsid w:val="007F4ED1"/>
    <w:rsid w:val="007F5B60"/>
    <w:rsid w:val="007F69B8"/>
    <w:rsid w:val="00800042"/>
    <w:rsid w:val="00800950"/>
    <w:rsid w:val="00800B40"/>
    <w:rsid w:val="0080126A"/>
    <w:rsid w:val="0080266A"/>
    <w:rsid w:val="008032AD"/>
    <w:rsid w:val="008036AD"/>
    <w:rsid w:val="00804396"/>
    <w:rsid w:val="00804D94"/>
    <w:rsid w:val="00805772"/>
    <w:rsid w:val="0080588D"/>
    <w:rsid w:val="0081111A"/>
    <w:rsid w:val="00811889"/>
    <w:rsid w:val="0081410E"/>
    <w:rsid w:val="00814779"/>
    <w:rsid w:val="00815FF3"/>
    <w:rsid w:val="00816140"/>
    <w:rsid w:val="0081671A"/>
    <w:rsid w:val="00816D00"/>
    <w:rsid w:val="00817AD1"/>
    <w:rsid w:val="00820D9F"/>
    <w:rsid w:val="008211D5"/>
    <w:rsid w:val="00821B9A"/>
    <w:rsid w:val="00821CD0"/>
    <w:rsid w:val="008253FF"/>
    <w:rsid w:val="0082617D"/>
    <w:rsid w:val="00826EA5"/>
    <w:rsid w:val="00827415"/>
    <w:rsid w:val="00827B3E"/>
    <w:rsid w:val="00830070"/>
    <w:rsid w:val="00830C71"/>
    <w:rsid w:val="0083114D"/>
    <w:rsid w:val="00831987"/>
    <w:rsid w:val="008319C7"/>
    <w:rsid w:val="008320B7"/>
    <w:rsid w:val="00832756"/>
    <w:rsid w:val="00832B29"/>
    <w:rsid w:val="00833999"/>
    <w:rsid w:val="00835170"/>
    <w:rsid w:val="008351AC"/>
    <w:rsid w:val="00836ECE"/>
    <w:rsid w:val="00837254"/>
    <w:rsid w:val="00840864"/>
    <w:rsid w:val="008408D5"/>
    <w:rsid w:val="00842678"/>
    <w:rsid w:val="00842831"/>
    <w:rsid w:val="00842882"/>
    <w:rsid w:val="00843653"/>
    <w:rsid w:val="00843B9B"/>
    <w:rsid w:val="00843E92"/>
    <w:rsid w:val="00844C1E"/>
    <w:rsid w:val="00845729"/>
    <w:rsid w:val="0084580C"/>
    <w:rsid w:val="00845EDC"/>
    <w:rsid w:val="008463CC"/>
    <w:rsid w:val="00847BBA"/>
    <w:rsid w:val="008513CB"/>
    <w:rsid w:val="0085180F"/>
    <w:rsid w:val="00851DC7"/>
    <w:rsid w:val="008549D3"/>
    <w:rsid w:val="008552E7"/>
    <w:rsid w:val="00857E79"/>
    <w:rsid w:val="008604FD"/>
    <w:rsid w:val="00860DAC"/>
    <w:rsid w:val="008616D3"/>
    <w:rsid w:val="00864732"/>
    <w:rsid w:val="0086487D"/>
    <w:rsid w:val="008653E5"/>
    <w:rsid w:val="0086569B"/>
    <w:rsid w:val="00866260"/>
    <w:rsid w:val="00866BEE"/>
    <w:rsid w:val="008677DC"/>
    <w:rsid w:val="00867ECB"/>
    <w:rsid w:val="00867FE1"/>
    <w:rsid w:val="00872152"/>
    <w:rsid w:val="0087508E"/>
    <w:rsid w:val="00875109"/>
    <w:rsid w:val="00877083"/>
    <w:rsid w:val="00877660"/>
    <w:rsid w:val="00877BDB"/>
    <w:rsid w:val="0088004A"/>
    <w:rsid w:val="00880366"/>
    <w:rsid w:val="00880DBE"/>
    <w:rsid w:val="008810D5"/>
    <w:rsid w:val="00881304"/>
    <w:rsid w:val="00881379"/>
    <w:rsid w:val="0088138D"/>
    <w:rsid w:val="008818C2"/>
    <w:rsid w:val="00882D6A"/>
    <w:rsid w:val="00883179"/>
    <w:rsid w:val="00883305"/>
    <w:rsid w:val="0088356D"/>
    <w:rsid w:val="0088415A"/>
    <w:rsid w:val="0088470C"/>
    <w:rsid w:val="00884A86"/>
    <w:rsid w:val="008851F5"/>
    <w:rsid w:val="00886600"/>
    <w:rsid w:val="008868BE"/>
    <w:rsid w:val="008868C7"/>
    <w:rsid w:val="00886C18"/>
    <w:rsid w:val="00891423"/>
    <w:rsid w:val="00891832"/>
    <w:rsid w:val="00891F8D"/>
    <w:rsid w:val="00894BF6"/>
    <w:rsid w:val="00895AD6"/>
    <w:rsid w:val="0089731D"/>
    <w:rsid w:val="00897F4D"/>
    <w:rsid w:val="008A0C65"/>
    <w:rsid w:val="008A0D52"/>
    <w:rsid w:val="008A216A"/>
    <w:rsid w:val="008A252B"/>
    <w:rsid w:val="008A2D8A"/>
    <w:rsid w:val="008A44B0"/>
    <w:rsid w:val="008A4FC7"/>
    <w:rsid w:val="008A575B"/>
    <w:rsid w:val="008A5AC1"/>
    <w:rsid w:val="008A5EAD"/>
    <w:rsid w:val="008B0415"/>
    <w:rsid w:val="008B1359"/>
    <w:rsid w:val="008B15BE"/>
    <w:rsid w:val="008B1DE8"/>
    <w:rsid w:val="008B36E0"/>
    <w:rsid w:val="008B5FE5"/>
    <w:rsid w:val="008B63DD"/>
    <w:rsid w:val="008B6C37"/>
    <w:rsid w:val="008C1E4B"/>
    <w:rsid w:val="008C2074"/>
    <w:rsid w:val="008C29FB"/>
    <w:rsid w:val="008C2A8A"/>
    <w:rsid w:val="008C2CD9"/>
    <w:rsid w:val="008C3B36"/>
    <w:rsid w:val="008C597F"/>
    <w:rsid w:val="008C59CD"/>
    <w:rsid w:val="008C5AC8"/>
    <w:rsid w:val="008C5AFC"/>
    <w:rsid w:val="008C62A8"/>
    <w:rsid w:val="008C6A3E"/>
    <w:rsid w:val="008C75B0"/>
    <w:rsid w:val="008D0DFA"/>
    <w:rsid w:val="008D1039"/>
    <w:rsid w:val="008D1606"/>
    <w:rsid w:val="008D4962"/>
    <w:rsid w:val="008D4DA9"/>
    <w:rsid w:val="008D525D"/>
    <w:rsid w:val="008D54A0"/>
    <w:rsid w:val="008D6803"/>
    <w:rsid w:val="008D6E9E"/>
    <w:rsid w:val="008D7883"/>
    <w:rsid w:val="008E089B"/>
    <w:rsid w:val="008E12A8"/>
    <w:rsid w:val="008E134B"/>
    <w:rsid w:val="008E22AF"/>
    <w:rsid w:val="008E22F0"/>
    <w:rsid w:val="008E23CF"/>
    <w:rsid w:val="008E4375"/>
    <w:rsid w:val="008E4DCA"/>
    <w:rsid w:val="008E512A"/>
    <w:rsid w:val="008E5439"/>
    <w:rsid w:val="008E593C"/>
    <w:rsid w:val="008E65A4"/>
    <w:rsid w:val="008E781F"/>
    <w:rsid w:val="008E7886"/>
    <w:rsid w:val="008F0678"/>
    <w:rsid w:val="008F1E58"/>
    <w:rsid w:val="008F1FC0"/>
    <w:rsid w:val="008F2743"/>
    <w:rsid w:val="008F2E7A"/>
    <w:rsid w:val="008F34C3"/>
    <w:rsid w:val="008F3975"/>
    <w:rsid w:val="008F3B70"/>
    <w:rsid w:val="008F43FF"/>
    <w:rsid w:val="008F4451"/>
    <w:rsid w:val="008F7614"/>
    <w:rsid w:val="008F7906"/>
    <w:rsid w:val="008F7E24"/>
    <w:rsid w:val="0090144E"/>
    <w:rsid w:val="0090210C"/>
    <w:rsid w:val="00903D4A"/>
    <w:rsid w:val="009049F3"/>
    <w:rsid w:val="00904BC8"/>
    <w:rsid w:val="00905C15"/>
    <w:rsid w:val="00906033"/>
    <w:rsid w:val="009066B5"/>
    <w:rsid w:val="00906CA6"/>
    <w:rsid w:val="0090729C"/>
    <w:rsid w:val="0091013B"/>
    <w:rsid w:val="0091111C"/>
    <w:rsid w:val="00912CE5"/>
    <w:rsid w:val="00913449"/>
    <w:rsid w:val="0091367F"/>
    <w:rsid w:val="00913DE2"/>
    <w:rsid w:val="00913E8C"/>
    <w:rsid w:val="0091539B"/>
    <w:rsid w:val="009153ED"/>
    <w:rsid w:val="0091558C"/>
    <w:rsid w:val="0091566D"/>
    <w:rsid w:val="00915FCC"/>
    <w:rsid w:val="00916930"/>
    <w:rsid w:val="009174E0"/>
    <w:rsid w:val="009178C0"/>
    <w:rsid w:val="00917EB0"/>
    <w:rsid w:val="00920380"/>
    <w:rsid w:val="00920584"/>
    <w:rsid w:val="00920FCC"/>
    <w:rsid w:val="00921756"/>
    <w:rsid w:val="009232AF"/>
    <w:rsid w:val="00923709"/>
    <w:rsid w:val="00924E74"/>
    <w:rsid w:val="009261A0"/>
    <w:rsid w:val="00926348"/>
    <w:rsid w:val="00927706"/>
    <w:rsid w:val="00930424"/>
    <w:rsid w:val="00930521"/>
    <w:rsid w:val="00931600"/>
    <w:rsid w:val="00931B6D"/>
    <w:rsid w:val="00931E91"/>
    <w:rsid w:val="0093257D"/>
    <w:rsid w:val="00934501"/>
    <w:rsid w:val="009358A1"/>
    <w:rsid w:val="0093666C"/>
    <w:rsid w:val="00941A3A"/>
    <w:rsid w:val="00942B51"/>
    <w:rsid w:val="00943A38"/>
    <w:rsid w:val="00945700"/>
    <w:rsid w:val="00947058"/>
    <w:rsid w:val="00947418"/>
    <w:rsid w:val="00951DE9"/>
    <w:rsid w:val="00951E1A"/>
    <w:rsid w:val="00953966"/>
    <w:rsid w:val="0095458D"/>
    <w:rsid w:val="009571C9"/>
    <w:rsid w:val="009579A5"/>
    <w:rsid w:val="00960B49"/>
    <w:rsid w:val="009613D8"/>
    <w:rsid w:val="00961D26"/>
    <w:rsid w:val="00962747"/>
    <w:rsid w:val="00962EE8"/>
    <w:rsid w:val="00963DC4"/>
    <w:rsid w:val="00963FBA"/>
    <w:rsid w:val="009644FB"/>
    <w:rsid w:val="00964FB6"/>
    <w:rsid w:val="0097027D"/>
    <w:rsid w:val="0097266F"/>
    <w:rsid w:val="0097272C"/>
    <w:rsid w:val="009727E9"/>
    <w:rsid w:val="00973753"/>
    <w:rsid w:val="00974C95"/>
    <w:rsid w:val="00974CDA"/>
    <w:rsid w:val="00974F72"/>
    <w:rsid w:val="00975016"/>
    <w:rsid w:val="00976783"/>
    <w:rsid w:val="009769A2"/>
    <w:rsid w:val="00976B3F"/>
    <w:rsid w:val="00976CA2"/>
    <w:rsid w:val="00980605"/>
    <w:rsid w:val="00980FB1"/>
    <w:rsid w:val="00981DD9"/>
    <w:rsid w:val="00981F74"/>
    <w:rsid w:val="00983D91"/>
    <w:rsid w:val="00984338"/>
    <w:rsid w:val="009848B2"/>
    <w:rsid w:val="00984F3B"/>
    <w:rsid w:val="00987734"/>
    <w:rsid w:val="00987C81"/>
    <w:rsid w:val="00987D7C"/>
    <w:rsid w:val="00990EC4"/>
    <w:rsid w:val="009914BC"/>
    <w:rsid w:val="0099159D"/>
    <w:rsid w:val="00991BD5"/>
    <w:rsid w:val="00991CA4"/>
    <w:rsid w:val="00994656"/>
    <w:rsid w:val="00996328"/>
    <w:rsid w:val="009968B8"/>
    <w:rsid w:val="00996AF4"/>
    <w:rsid w:val="009A0DD0"/>
    <w:rsid w:val="009A1B12"/>
    <w:rsid w:val="009A1F6D"/>
    <w:rsid w:val="009A5AF3"/>
    <w:rsid w:val="009A5B93"/>
    <w:rsid w:val="009A7094"/>
    <w:rsid w:val="009A71AA"/>
    <w:rsid w:val="009A71FE"/>
    <w:rsid w:val="009B0E6E"/>
    <w:rsid w:val="009B1516"/>
    <w:rsid w:val="009B1AE5"/>
    <w:rsid w:val="009B3CB0"/>
    <w:rsid w:val="009B3DD6"/>
    <w:rsid w:val="009B3E8D"/>
    <w:rsid w:val="009B4067"/>
    <w:rsid w:val="009B46D1"/>
    <w:rsid w:val="009B4EE4"/>
    <w:rsid w:val="009B595F"/>
    <w:rsid w:val="009B5DC2"/>
    <w:rsid w:val="009B6898"/>
    <w:rsid w:val="009B6C41"/>
    <w:rsid w:val="009B6C95"/>
    <w:rsid w:val="009C15A2"/>
    <w:rsid w:val="009C19CB"/>
    <w:rsid w:val="009C1EE7"/>
    <w:rsid w:val="009C23E5"/>
    <w:rsid w:val="009C2AE2"/>
    <w:rsid w:val="009C3009"/>
    <w:rsid w:val="009C35D3"/>
    <w:rsid w:val="009C3B6A"/>
    <w:rsid w:val="009C68DB"/>
    <w:rsid w:val="009C6FF0"/>
    <w:rsid w:val="009C7D26"/>
    <w:rsid w:val="009D025D"/>
    <w:rsid w:val="009D1AC2"/>
    <w:rsid w:val="009D209A"/>
    <w:rsid w:val="009D236D"/>
    <w:rsid w:val="009D2792"/>
    <w:rsid w:val="009D27EE"/>
    <w:rsid w:val="009D2BE4"/>
    <w:rsid w:val="009D3144"/>
    <w:rsid w:val="009D3C71"/>
    <w:rsid w:val="009D456C"/>
    <w:rsid w:val="009D64AD"/>
    <w:rsid w:val="009D6C07"/>
    <w:rsid w:val="009D7D74"/>
    <w:rsid w:val="009E04E2"/>
    <w:rsid w:val="009E0639"/>
    <w:rsid w:val="009E0DA0"/>
    <w:rsid w:val="009E0F20"/>
    <w:rsid w:val="009E2C37"/>
    <w:rsid w:val="009E33E3"/>
    <w:rsid w:val="009E5205"/>
    <w:rsid w:val="009E57A0"/>
    <w:rsid w:val="009E5B62"/>
    <w:rsid w:val="009E5E59"/>
    <w:rsid w:val="009E5F3F"/>
    <w:rsid w:val="009E636B"/>
    <w:rsid w:val="009E65D8"/>
    <w:rsid w:val="009E7282"/>
    <w:rsid w:val="009E73D0"/>
    <w:rsid w:val="009F0999"/>
    <w:rsid w:val="009F0ECE"/>
    <w:rsid w:val="009F135A"/>
    <w:rsid w:val="009F21B9"/>
    <w:rsid w:val="009F3581"/>
    <w:rsid w:val="009F35E3"/>
    <w:rsid w:val="009F436E"/>
    <w:rsid w:val="00A0029B"/>
    <w:rsid w:val="00A004B9"/>
    <w:rsid w:val="00A00E44"/>
    <w:rsid w:val="00A00F12"/>
    <w:rsid w:val="00A021F7"/>
    <w:rsid w:val="00A02638"/>
    <w:rsid w:val="00A030AF"/>
    <w:rsid w:val="00A0346D"/>
    <w:rsid w:val="00A044AA"/>
    <w:rsid w:val="00A04A2D"/>
    <w:rsid w:val="00A04DA2"/>
    <w:rsid w:val="00A04EC9"/>
    <w:rsid w:val="00A055A8"/>
    <w:rsid w:val="00A10866"/>
    <w:rsid w:val="00A10890"/>
    <w:rsid w:val="00A12105"/>
    <w:rsid w:val="00A12B14"/>
    <w:rsid w:val="00A1328D"/>
    <w:rsid w:val="00A14B46"/>
    <w:rsid w:val="00A14CC8"/>
    <w:rsid w:val="00A15066"/>
    <w:rsid w:val="00A15282"/>
    <w:rsid w:val="00A156F1"/>
    <w:rsid w:val="00A15DE6"/>
    <w:rsid w:val="00A160AA"/>
    <w:rsid w:val="00A160D9"/>
    <w:rsid w:val="00A16165"/>
    <w:rsid w:val="00A16AB2"/>
    <w:rsid w:val="00A224B0"/>
    <w:rsid w:val="00A23D09"/>
    <w:rsid w:val="00A25260"/>
    <w:rsid w:val="00A25377"/>
    <w:rsid w:val="00A25502"/>
    <w:rsid w:val="00A25AB3"/>
    <w:rsid w:val="00A25FFB"/>
    <w:rsid w:val="00A27593"/>
    <w:rsid w:val="00A276CE"/>
    <w:rsid w:val="00A27F2A"/>
    <w:rsid w:val="00A32DE4"/>
    <w:rsid w:val="00A33D49"/>
    <w:rsid w:val="00A3494F"/>
    <w:rsid w:val="00A34C8A"/>
    <w:rsid w:val="00A35A25"/>
    <w:rsid w:val="00A360D7"/>
    <w:rsid w:val="00A36F1B"/>
    <w:rsid w:val="00A374CD"/>
    <w:rsid w:val="00A37FA8"/>
    <w:rsid w:val="00A421DC"/>
    <w:rsid w:val="00A4265A"/>
    <w:rsid w:val="00A42C91"/>
    <w:rsid w:val="00A42CAE"/>
    <w:rsid w:val="00A43A0A"/>
    <w:rsid w:val="00A43E8B"/>
    <w:rsid w:val="00A44438"/>
    <w:rsid w:val="00A45183"/>
    <w:rsid w:val="00A45BEA"/>
    <w:rsid w:val="00A4654D"/>
    <w:rsid w:val="00A4679A"/>
    <w:rsid w:val="00A467E1"/>
    <w:rsid w:val="00A52425"/>
    <w:rsid w:val="00A53D3E"/>
    <w:rsid w:val="00A543D1"/>
    <w:rsid w:val="00A54BE3"/>
    <w:rsid w:val="00A561C4"/>
    <w:rsid w:val="00A57914"/>
    <w:rsid w:val="00A601C7"/>
    <w:rsid w:val="00A6170D"/>
    <w:rsid w:val="00A61B59"/>
    <w:rsid w:val="00A64354"/>
    <w:rsid w:val="00A644C1"/>
    <w:rsid w:val="00A65005"/>
    <w:rsid w:val="00A65219"/>
    <w:rsid w:val="00A655A5"/>
    <w:rsid w:val="00A658F6"/>
    <w:rsid w:val="00A6663A"/>
    <w:rsid w:val="00A7280C"/>
    <w:rsid w:val="00A73953"/>
    <w:rsid w:val="00A739CD"/>
    <w:rsid w:val="00A7478F"/>
    <w:rsid w:val="00A76880"/>
    <w:rsid w:val="00A808B5"/>
    <w:rsid w:val="00A81FF4"/>
    <w:rsid w:val="00A83E13"/>
    <w:rsid w:val="00A84911"/>
    <w:rsid w:val="00A855F2"/>
    <w:rsid w:val="00A86B7A"/>
    <w:rsid w:val="00A86B81"/>
    <w:rsid w:val="00A87050"/>
    <w:rsid w:val="00A914DD"/>
    <w:rsid w:val="00A92264"/>
    <w:rsid w:val="00A925BF"/>
    <w:rsid w:val="00A92C39"/>
    <w:rsid w:val="00A93819"/>
    <w:rsid w:val="00A93BDE"/>
    <w:rsid w:val="00A93D5D"/>
    <w:rsid w:val="00A942F5"/>
    <w:rsid w:val="00A95C91"/>
    <w:rsid w:val="00A965D8"/>
    <w:rsid w:val="00A96D5E"/>
    <w:rsid w:val="00A97449"/>
    <w:rsid w:val="00A974C9"/>
    <w:rsid w:val="00AA0939"/>
    <w:rsid w:val="00AA1991"/>
    <w:rsid w:val="00AA2CC0"/>
    <w:rsid w:val="00AA2E8A"/>
    <w:rsid w:val="00AA2F6F"/>
    <w:rsid w:val="00AA4642"/>
    <w:rsid w:val="00AA528A"/>
    <w:rsid w:val="00AA7603"/>
    <w:rsid w:val="00AA7A4A"/>
    <w:rsid w:val="00AB067E"/>
    <w:rsid w:val="00AB10A6"/>
    <w:rsid w:val="00AB17B3"/>
    <w:rsid w:val="00AB1C8A"/>
    <w:rsid w:val="00AB1DC6"/>
    <w:rsid w:val="00AB4D32"/>
    <w:rsid w:val="00AB53A2"/>
    <w:rsid w:val="00AB585D"/>
    <w:rsid w:val="00AB5BCB"/>
    <w:rsid w:val="00AB5BE8"/>
    <w:rsid w:val="00AB67A2"/>
    <w:rsid w:val="00AB7843"/>
    <w:rsid w:val="00AC0F04"/>
    <w:rsid w:val="00AC12DD"/>
    <w:rsid w:val="00AC1F48"/>
    <w:rsid w:val="00AC3B80"/>
    <w:rsid w:val="00AC4DEE"/>
    <w:rsid w:val="00AC51C1"/>
    <w:rsid w:val="00AC7A11"/>
    <w:rsid w:val="00AD10EE"/>
    <w:rsid w:val="00AD1CD8"/>
    <w:rsid w:val="00AD249C"/>
    <w:rsid w:val="00AD3609"/>
    <w:rsid w:val="00AD3984"/>
    <w:rsid w:val="00AD4D5F"/>
    <w:rsid w:val="00AD55FE"/>
    <w:rsid w:val="00AD5A24"/>
    <w:rsid w:val="00AD6247"/>
    <w:rsid w:val="00AD6A04"/>
    <w:rsid w:val="00AE1D19"/>
    <w:rsid w:val="00AE2C0B"/>
    <w:rsid w:val="00AE3529"/>
    <w:rsid w:val="00AE45B1"/>
    <w:rsid w:val="00AE55EB"/>
    <w:rsid w:val="00AE683F"/>
    <w:rsid w:val="00AE6C23"/>
    <w:rsid w:val="00AE6F5C"/>
    <w:rsid w:val="00AE7B1F"/>
    <w:rsid w:val="00AE7E50"/>
    <w:rsid w:val="00AE7F41"/>
    <w:rsid w:val="00AF0398"/>
    <w:rsid w:val="00AF0F3B"/>
    <w:rsid w:val="00AF223C"/>
    <w:rsid w:val="00AF2F6E"/>
    <w:rsid w:val="00AF3203"/>
    <w:rsid w:val="00AF5971"/>
    <w:rsid w:val="00AF7214"/>
    <w:rsid w:val="00AF7EB5"/>
    <w:rsid w:val="00B00D1F"/>
    <w:rsid w:val="00B01F16"/>
    <w:rsid w:val="00B01FFB"/>
    <w:rsid w:val="00B029D6"/>
    <w:rsid w:val="00B032F1"/>
    <w:rsid w:val="00B03379"/>
    <w:rsid w:val="00B0382F"/>
    <w:rsid w:val="00B04089"/>
    <w:rsid w:val="00B05085"/>
    <w:rsid w:val="00B05EF0"/>
    <w:rsid w:val="00B06301"/>
    <w:rsid w:val="00B06888"/>
    <w:rsid w:val="00B06B33"/>
    <w:rsid w:val="00B070DC"/>
    <w:rsid w:val="00B07CED"/>
    <w:rsid w:val="00B10396"/>
    <w:rsid w:val="00B1181B"/>
    <w:rsid w:val="00B11E47"/>
    <w:rsid w:val="00B122B3"/>
    <w:rsid w:val="00B16D32"/>
    <w:rsid w:val="00B22504"/>
    <w:rsid w:val="00B22533"/>
    <w:rsid w:val="00B2298E"/>
    <w:rsid w:val="00B24582"/>
    <w:rsid w:val="00B252A5"/>
    <w:rsid w:val="00B25380"/>
    <w:rsid w:val="00B31055"/>
    <w:rsid w:val="00B31351"/>
    <w:rsid w:val="00B319C5"/>
    <w:rsid w:val="00B32BE5"/>
    <w:rsid w:val="00B32FA5"/>
    <w:rsid w:val="00B33D2E"/>
    <w:rsid w:val="00B341C4"/>
    <w:rsid w:val="00B3491D"/>
    <w:rsid w:val="00B364DD"/>
    <w:rsid w:val="00B369A3"/>
    <w:rsid w:val="00B36ADA"/>
    <w:rsid w:val="00B371B0"/>
    <w:rsid w:val="00B3732B"/>
    <w:rsid w:val="00B37DAD"/>
    <w:rsid w:val="00B41363"/>
    <w:rsid w:val="00B4153C"/>
    <w:rsid w:val="00B41633"/>
    <w:rsid w:val="00B416BC"/>
    <w:rsid w:val="00B41AF7"/>
    <w:rsid w:val="00B41CBA"/>
    <w:rsid w:val="00B42B4C"/>
    <w:rsid w:val="00B45355"/>
    <w:rsid w:val="00B47C29"/>
    <w:rsid w:val="00B5018D"/>
    <w:rsid w:val="00B50D81"/>
    <w:rsid w:val="00B514DB"/>
    <w:rsid w:val="00B52981"/>
    <w:rsid w:val="00B53254"/>
    <w:rsid w:val="00B53D4C"/>
    <w:rsid w:val="00B544D1"/>
    <w:rsid w:val="00B54682"/>
    <w:rsid w:val="00B54CD4"/>
    <w:rsid w:val="00B552B6"/>
    <w:rsid w:val="00B56E8F"/>
    <w:rsid w:val="00B571CB"/>
    <w:rsid w:val="00B577BE"/>
    <w:rsid w:val="00B60D56"/>
    <w:rsid w:val="00B629BF"/>
    <w:rsid w:val="00B62B17"/>
    <w:rsid w:val="00B63FD1"/>
    <w:rsid w:val="00B64E54"/>
    <w:rsid w:val="00B657E8"/>
    <w:rsid w:val="00B664C2"/>
    <w:rsid w:val="00B66A2A"/>
    <w:rsid w:val="00B67AD0"/>
    <w:rsid w:val="00B70CFB"/>
    <w:rsid w:val="00B71040"/>
    <w:rsid w:val="00B731D5"/>
    <w:rsid w:val="00B76756"/>
    <w:rsid w:val="00B76E18"/>
    <w:rsid w:val="00B8026D"/>
    <w:rsid w:val="00B8057C"/>
    <w:rsid w:val="00B817CB"/>
    <w:rsid w:val="00B82192"/>
    <w:rsid w:val="00B83155"/>
    <w:rsid w:val="00B83BE1"/>
    <w:rsid w:val="00B847DB"/>
    <w:rsid w:val="00B84A1A"/>
    <w:rsid w:val="00B84D75"/>
    <w:rsid w:val="00B8571E"/>
    <w:rsid w:val="00B85BCD"/>
    <w:rsid w:val="00B9021D"/>
    <w:rsid w:val="00B908CB"/>
    <w:rsid w:val="00B933E2"/>
    <w:rsid w:val="00B93678"/>
    <w:rsid w:val="00B93C15"/>
    <w:rsid w:val="00B946B7"/>
    <w:rsid w:val="00B94DDC"/>
    <w:rsid w:val="00B952FE"/>
    <w:rsid w:val="00B95CD8"/>
    <w:rsid w:val="00B96053"/>
    <w:rsid w:val="00B96145"/>
    <w:rsid w:val="00B962D0"/>
    <w:rsid w:val="00B96E37"/>
    <w:rsid w:val="00B976D8"/>
    <w:rsid w:val="00BA1133"/>
    <w:rsid w:val="00BA1C3E"/>
    <w:rsid w:val="00BA3031"/>
    <w:rsid w:val="00BA4BD8"/>
    <w:rsid w:val="00BA4D93"/>
    <w:rsid w:val="00BA603F"/>
    <w:rsid w:val="00BA6A1B"/>
    <w:rsid w:val="00BA79CA"/>
    <w:rsid w:val="00BB0D7B"/>
    <w:rsid w:val="00BB2E68"/>
    <w:rsid w:val="00BB4025"/>
    <w:rsid w:val="00BB463A"/>
    <w:rsid w:val="00BB4B8A"/>
    <w:rsid w:val="00BB5238"/>
    <w:rsid w:val="00BB5DC2"/>
    <w:rsid w:val="00BB64AD"/>
    <w:rsid w:val="00BB7D4B"/>
    <w:rsid w:val="00BC0366"/>
    <w:rsid w:val="00BC0AB4"/>
    <w:rsid w:val="00BC0D61"/>
    <w:rsid w:val="00BC1655"/>
    <w:rsid w:val="00BC2C59"/>
    <w:rsid w:val="00BC2F75"/>
    <w:rsid w:val="00BC3688"/>
    <w:rsid w:val="00BC3A4B"/>
    <w:rsid w:val="00BC3F74"/>
    <w:rsid w:val="00BC40EB"/>
    <w:rsid w:val="00BC48E6"/>
    <w:rsid w:val="00BC4CD6"/>
    <w:rsid w:val="00BD1DA4"/>
    <w:rsid w:val="00BD21F1"/>
    <w:rsid w:val="00BD2513"/>
    <w:rsid w:val="00BD3235"/>
    <w:rsid w:val="00BD33D6"/>
    <w:rsid w:val="00BD3926"/>
    <w:rsid w:val="00BD3A1A"/>
    <w:rsid w:val="00BD3F03"/>
    <w:rsid w:val="00BD3FB3"/>
    <w:rsid w:val="00BD4559"/>
    <w:rsid w:val="00BD4FAC"/>
    <w:rsid w:val="00BD5440"/>
    <w:rsid w:val="00BD65D8"/>
    <w:rsid w:val="00BE166B"/>
    <w:rsid w:val="00BE1726"/>
    <w:rsid w:val="00BE1E1F"/>
    <w:rsid w:val="00BE2D35"/>
    <w:rsid w:val="00BE2D54"/>
    <w:rsid w:val="00BE398B"/>
    <w:rsid w:val="00BE3E13"/>
    <w:rsid w:val="00BE41CB"/>
    <w:rsid w:val="00BE5F30"/>
    <w:rsid w:val="00BE5FF3"/>
    <w:rsid w:val="00BE6942"/>
    <w:rsid w:val="00BE7807"/>
    <w:rsid w:val="00BE7A45"/>
    <w:rsid w:val="00BF0165"/>
    <w:rsid w:val="00BF0D34"/>
    <w:rsid w:val="00BF1A84"/>
    <w:rsid w:val="00BF3170"/>
    <w:rsid w:val="00BF3D68"/>
    <w:rsid w:val="00BF54C4"/>
    <w:rsid w:val="00BF6743"/>
    <w:rsid w:val="00BF6AAF"/>
    <w:rsid w:val="00BF7255"/>
    <w:rsid w:val="00C00759"/>
    <w:rsid w:val="00C008CA"/>
    <w:rsid w:val="00C00A19"/>
    <w:rsid w:val="00C013D3"/>
    <w:rsid w:val="00C01E8C"/>
    <w:rsid w:val="00C01F85"/>
    <w:rsid w:val="00C02EF2"/>
    <w:rsid w:val="00C04D05"/>
    <w:rsid w:val="00C05D5C"/>
    <w:rsid w:val="00C07878"/>
    <w:rsid w:val="00C10EF6"/>
    <w:rsid w:val="00C11DCB"/>
    <w:rsid w:val="00C1253D"/>
    <w:rsid w:val="00C12584"/>
    <w:rsid w:val="00C13F64"/>
    <w:rsid w:val="00C148EE"/>
    <w:rsid w:val="00C168A5"/>
    <w:rsid w:val="00C16ADF"/>
    <w:rsid w:val="00C1741F"/>
    <w:rsid w:val="00C21CAF"/>
    <w:rsid w:val="00C2474A"/>
    <w:rsid w:val="00C24AD6"/>
    <w:rsid w:val="00C25934"/>
    <w:rsid w:val="00C2599F"/>
    <w:rsid w:val="00C25D05"/>
    <w:rsid w:val="00C30149"/>
    <w:rsid w:val="00C32009"/>
    <w:rsid w:val="00C32084"/>
    <w:rsid w:val="00C3229D"/>
    <w:rsid w:val="00C324CE"/>
    <w:rsid w:val="00C32558"/>
    <w:rsid w:val="00C3376E"/>
    <w:rsid w:val="00C33F15"/>
    <w:rsid w:val="00C34A4D"/>
    <w:rsid w:val="00C34AC6"/>
    <w:rsid w:val="00C36841"/>
    <w:rsid w:val="00C40596"/>
    <w:rsid w:val="00C40E66"/>
    <w:rsid w:val="00C4146D"/>
    <w:rsid w:val="00C43DC1"/>
    <w:rsid w:val="00C45FD6"/>
    <w:rsid w:val="00C50824"/>
    <w:rsid w:val="00C51619"/>
    <w:rsid w:val="00C523B8"/>
    <w:rsid w:val="00C532F0"/>
    <w:rsid w:val="00C539DD"/>
    <w:rsid w:val="00C55C26"/>
    <w:rsid w:val="00C55E77"/>
    <w:rsid w:val="00C568CF"/>
    <w:rsid w:val="00C56C1E"/>
    <w:rsid w:val="00C56E44"/>
    <w:rsid w:val="00C56E6B"/>
    <w:rsid w:val="00C57114"/>
    <w:rsid w:val="00C57A2B"/>
    <w:rsid w:val="00C57C78"/>
    <w:rsid w:val="00C6069E"/>
    <w:rsid w:val="00C6203B"/>
    <w:rsid w:val="00C62083"/>
    <w:rsid w:val="00C62405"/>
    <w:rsid w:val="00C62EAE"/>
    <w:rsid w:val="00C630BC"/>
    <w:rsid w:val="00C635D2"/>
    <w:rsid w:val="00C643C7"/>
    <w:rsid w:val="00C6521A"/>
    <w:rsid w:val="00C652AC"/>
    <w:rsid w:val="00C65B81"/>
    <w:rsid w:val="00C672E9"/>
    <w:rsid w:val="00C673B8"/>
    <w:rsid w:val="00C703D1"/>
    <w:rsid w:val="00C7066C"/>
    <w:rsid w:val="00C71F42"/>
    <w:rsid w:val="00C7229D"/>
    <w:rsid w:val="00C72C8F"/>
    <w:rsid w:val="00C74318"/>
    <w:rsid w:val="00C75462"/>
    <w:rsid w:val="00C768FB"/>
    <w:rsid w:val="00C76BF3"/>
    <w:rsid w:val="00C772FB"/>
    <w:rsid w:val="00C77530"/>
    <w:rsid w:val="00C80345"/>
    <w:rsid w:val="00C8149F"/>
    <w:rsid w:val="00C8174E"/>
    <w:rsid w:val="00C825A9"/>
    <w:rsid w:val="00C8320F"/>
    <w:rsid w:val="00C83704"/>
    <w:rsid w:val="00C83B9B"/>
    <w:rsid w:val="00C840A9"/>
    <w:rsid w:val="00C841DB"/>
    <w:rsid w:val="00C85C05"/>
    <w:rsid w:val="00C86675"/>
    <w:rsid w:val="00C86A10"/>
    <w:rsid w:val="00C86B81"/>
    <w:rsid w:val="00C873A9"/>
    <w:rsid w:val="00C87B57"/>
    <w:rsid w:val="00C900ED"/>
    <w:rsid w:val="00C913D9"/>
    <w:rsid w:val="00C913F2"/>
    <w:rsid w:val="00C9326B"/>
    <w:rsid w:val="00C938B5"/>
    <w:rsid w:val="00C93A78"/>
    <w:rsid w:val="00C94A86"/>
    <w:rsid w:val="00C957D5"/>
    <w:rsid w:val="00C966CF"/>
    <w:rsid w:val="00C96866"/>
    <w:rsid w:val="00C97E4F"/>
    <w:rsid w:val="00C97FDB"/>
    <w:rsid w:val="00CA15C2"/>
    <w:rsid w:val="00CA1DD3"/>
    <w:rsid w:val="00CA2238"/>
    <w:rsid w:val="00CA340A"/>
    <w:rsid w:val="00CA4550"/>
    <w:rsid w:val="00CA4B5F"/>
    <w:rsid w:val="00CA4D84"/>
    <w:rsid w:val="00CA6605"/>
    <w:rsid w:val="00CA7D39"/>
    <w:rsid w:val="00CB0C33"/>
    <w:rsid w:val="00CB2089"/>
    <w:rsid w:val="00CB3B10"/>
    <w:rsid w:val="00CB5E26"/>
    <w:rsid w:val="00CB68EC"/>
    <w:rsid w:val="00CB6AF1"/>
    <w:rsid w:val="00CB6F26"/>
    <w:rsid w:val="00CB7565"/>
    <w:rsid w:val="00CB7736"/>
    <w:rsid w:val="00CB7BCD"/>
    <w:rsid w:val="00CC1328"/>
    <w:rsid w:val="00CC2993"/>
    <w:rsid w:val="00CC3DB8"/>
    <w:rsid w:val="00CC4229"/>
    <w:rsid w:val="00CC46E9"/>
    <w:rsid w:val="00CC4EDC"/>
    <w:rsid w:val="00CC6385"/>
    <w:rsid w:val="00CC740A"/>
    <w:rsid w:val="00CD07F8"/>
    <w:rsid w:val="00CD0EC4"/>
    <w:rsid w:val="00CD2DF2"/>
    <w:rsid w:val="00CD2E61"/>
    <w:rsid w:val="00CD31B9"/>
    <w:rsid w:val="00CD3434"/>
    <w:rsid w:val="00CD394E"/>
    <w:rsid w:val="00CD661C"/>
    <w:rsid w:val="00CD6CEF"/>
    <w:rsid w:val="00CD751B"/>
    <w:rsid w:val="00CE0266"/>
    <w:rsid w:val="00CE126D"/>
    <w:rsid w:val="00CE199C"/>
    <w:rsid w:val="00CE2075"/>
    <w:rsid w:val="00CE2151"/>
    <w:rsid w:val="00CE4217"/>
    <w:rsid w:val="00CE45CA"/>
    <w:rsid w:val="00CE48BC"/>
    <w:rsid w:val="00CE4AD7"/>
    <w:rsid w:val="00CE504F"/>
    <w:rsid w:val="00CE5876"/>
    <w:rsid w:val="00CE5AF8"/>
    <w:rsid w:val="00CE6165"/>
    <w:rsid w:val="00CF0239"/>
    <w:rsid w:val="00CF0DD4"/>
    <w:rsid w:val="00CF14DD"/>
    <w:rsid w:val="00CF1EA5"/>
    <w:rsid w:val="00CF4113"/>
    <w:rsid w:val="00CF433B"/>
    <w:rsid w:val="00CF4C66"/>
    <w:rsid w:val="00CF5503"/>
    <w:rsid w:val="00CF5E4F"/>
    <w:rsid w:val="00CF645F"/>
    <w:rsid w:val="00CF647E"/>
    <w:rsid w:val="00CF6B98"/>
    <w:rsid w:val="00CF7395"/>
    <w:rsid w:val="00CF744C"/>
    <w:rsid w:val="00D00AAD"/>
    <w:rsid w:val="00D00C4F"/>
    <w:rsid w:val="00D01E01"/>
    <w:rsid w:val="00D0244D"/>
    <w:rsid w:val="00D024E8"/>
    <w:rsid w:val="00D02D5D"/>
    <w:rsid w:val="00D055D6"/>
    <w:rsid w:val="00D0570F"/>
    <w:rsid w:val="00D05B7F"/>
    <w:rsid w:val="00D05F4E"/>
    <w:rsid w:val="00D06732"/>
    <w:rsid w:val="00D067E7"/>
    <w:rsid w:val="00D06D63"/>
    <w:rsid w:val="00D07045"/>
    <w:rsid w:val="00D13A3C"/>
    <w:rsid w:val="00D15CCF"/>
    <w:rsid w:val="00D17DB7"/>
    <w:rsid w:val="00D209C0"/>
    <w:rsid w:val="00D20C79"/>
    <w:rsid w:val="00D22289"/>
    <w:rsid w:val="00D22A8E"/>
    <w:rsid w:val="00D23E30"/>
    <w:rsid w:val="00D24169"/>
    <w:rsid w:val="00D24301"/>
    <w:rsid w:val="00D243E8"/>
    <w:rsid w:val="00D25C27"/>
    <w:rsid w:val="00D26694"/>
    <w:rsid w:val="00D26BC1"/>
    <w:rsid w:val="00D26FE8"/>
    <w:rsid w:val="00D27364"/>
    <w:rsid w:val="00D30FB9"/>
    <w:rsid w:val="00D31427"/>
    <w:rsid w:val="00D3178E"/>
    <w:rsid w:val="00D322E2"/>
    <w:rsid w:val="00D32638"/>
    <w:rsid w:val="00D33794"/>
    <w:rsid w:val="00D36CED"/>
    <w:rsid w:val="00D36E04"/>
    <w:rsid w:val="00D37211"/>
    <w:rsid w:val="00D378C5"/>
    <w:rsid w:val="00D37E90"/>
    <w:rsid w:val="00D4041D"/>
    <w:rsid w:val="00D4074E"/>
    <w:rsid w:val="00D416AC"/>
    <w:rsid w:val="00D41783"/>
    <w:rsid w:val="00D42E00"/>
    <w:rsid w:val="00D43550"/>
    <w:rsid w:val="00D4680F"/>
    <w:rsid w:val="00D46D7C"/>
    <w:rsid w:val="00D47EDB"/>
    <w:rsid w:val="00D505AA"/>
    <w:rsid w:val="00D5159F"/>
    <w:rsid w:val="00D52CCB"/>
    <w:rsid w:val="00D53055"/>
    <w:rsid w:val="00D530D4"/>
    <w:rsid w:val="00D54868"/>
    <w:rsid w:val="00D560F9"/>
    <w:rsid w:val="00D56868"/>
    <w:rsid w:val="00D57B47"/>
    <w:rsid w:val="00D57DDA"/>
    <w:rsid w:val="00D57EEB"/>
    <w:rsid w:val="00D612E5"/>
    <w:rsid w:val="00D61E2A"/>
    <w:rsid w:val="00D63E97"/>
    <w:rsid w:val="00D646EE"/>
    <w:rsid w:val="00D64D6C"/>
    <w:rsid w:val="00D64FCD"/>
    <w:rsid w:val="00D66BDC"/>
    <w:rsid w:val="00D67D37"/>
    <w:rsid w:val="00D70AB9"/>
    <w:rsid w:val="00D71EC3"/>
    <w:rsid w:val="00D73BCC"/>
    <w:rsid w:val="00D7555F"/>
    <w:rsid w:val="00D76408"/>
    <w:rsid w:val="00D77322"/>
    <w:rsid w:val="00D77C89"/>
    <w:rsid w:val="00D77FAD"/>
    <w:rsid w:val="00D80FE9"/>
    <w:rsid w:val="00D83509"/>
    <w:rsid w:val="00D83D71"/>
    <w:rsid w:val="00D846AA"/>
    <w:rsid w:val="00D84734"/>
    <w:rsid w:val="00D856E5"/>
    <w:rsid w:val="00D85B80"/>
    <w:rsid w:val="00D87B17"/>
    <w:rsid w:val="00D905B9"/>
    <w:rsid w:val="00D919F2"/>
    <w:rsid w:val="00D91C4D"/>
    <w:rsid w:val="00D93C6D"/>
    <w:rsid w:val="00D943BE"/>
    <w:rsid w:val="00D9475A"/>
    <w:rsid w:val="00D95E1D"/>
    <w:rsid w:val="00D95FAF"/>
    <w:rsid w:val="00D96215"/>
    <w:rsid w:val="00D966FE"/>
    <w:rsid w:val="00D96B17"/>
    <w:rsid w:val="00DA10C8"/>
    <w:rsid w:val="00DA224C"/>
    <w:rsid w:val="00DA2B4F"/>
    <w:rsid w:val="00DA328E"/>
    <w:rsid w:val="00DA345F"/>
    <w:rsid w:val="00DA44AE"/>
    <w:rsid w:val="00DA4C5D"/>
    <w:rsid w:val="00DA4FC4"/>
    <w:rsid w:val="00DA5A5F"/>
    <w:rsid w:val="00DA5D86"/>
    <w:rsid w:val="00DA66D3"/>
    <w:rsid w:val="00DA6A90"/>
    <w:rsid w:val="00DA7212"/>
    <w:rsid w:val="00DA798A"/>
    <w:rsid w:val="00DB0579"/>
    <w:rsid w:val="00DB114E"/>
    <w:rsid w:val="00DB15AA"/>
    <w:rsid w:val="00DB238F"/>
    <w:rsid w:val="00DB2649"/>
    <w:rsid w:val="00DB28CC"/>
    <w:rsid w:val="00DB28EC"/>
    <w:rsid w:val="00DB55D9"/>
    <w:rsid w:val="00DB5A64"/>
    <w:rsid w:val="00DB614D"/>
    <w:rsid w:val="00DB68B4"/>
    <w:rsid w:val="00DB6BBE"/>
    <w:rsid w:val="00DB7889"/>
    <w:rsid w:val="00DB7EF3"/>
    <w:rsid w:val="00DB7EF4"/>
    <w:rsid w:val="00DC0676"/>
    <w:rsid w:val="00DC20D0"/>
    <w:rsid w:val="00DC2A3E"/>
    <w:rsid w:val="00DC47BB"/>
    <w:rsid w:val="00DC4F35"/>
    <w:rsid w:val="00DC5500"/>
    <w:rsid w:val="00DC5D98"/>
    <w:rsid w:val="00DC6200"/>
    <w:rsid w:val="00DC6B36"/>
    <w:rsid w:val="00DC6F95"/>
    <w:rsid w:val="00DC705A"/>
    <w:rsid w:val="00DC7443"/>
    <w:rsid w:val="00DC775F"/>
    <w:rsid w:val="00DD077B"/>
    <w:rsid w:val="00DD568A"/>
    <w:rsid w:val="00DD6041"/>
    <w:rsid w:val="00DD6535"/>
    <w:rsid w:val="00DD687E"/>
    <w:rsid w:val="00DE0C2F"/>
    <w:rsid w:val="00DE1CEE"/>
    <w:rsid w:val="00DE2067"/>
    <w:rsid w:val="00DE21A9"/>
    <w:rsid w:val="00DE2BA9"/>
    <w:rsid w:val="00DE2F4F"/>
    <w:rsid w:val="00DE3BF8"/>
    <w:rsid w:val="00DE4F2B"/>
    <w:rsid w:val="00DE5332"/>
    <w:rsid w:val="00DE757B"/>
    <w:rsid w:val="00DF12B9"/>
    <w:rsid w:val="00DF1453"/>
    <w:rsid w:val="00DF30CA"/>
    <w:rsid w:val="00DF35F7"/>
    <w:rsid w:val="00DF4F08"/>
    <w:rsid w:val="00DF50EB"/>
    <w:rsid w:val="00DF51FD"/>
    <w:rsid w:val="00DF59CD"/>
    <w:rsid w:val="00DF6625"/>
    <w:rsid w:val="00E012D2"/>
    <w:rsid w:val="00E015DA"/>
    <w:rsid w:val="00E025BE"/>
    <w:rsid w:val="00E02C59"/>
    <w:rsid w:val="00E035DE"/>
    <w:rsid w:val="00E04B67"/>
    <w:rsid w:val="00E04D79"/>
    <w:rsid w:val="00E0671B"/>
    <w:rsid w:val="00E10985"/>
    <w:rsid w:val="00E111A0"/>
    <w:rsid w:val="00E1127C"/>
    <w:rsid w:val="00E11BC6"/>
    <w:rsid w:val="00E12FE5"/>
    <w:rsid w:val="00E13931"/>
    <w:rsid w:val="00E13B85"/>
    <w:rsid w:val="00E14E12"/>
    <w:rsid w:val="00E151CF"/>
    <w:rsid w:val="00E15E22"/>
    <w:rsid w:val="00E166B4"/>
    <w:rsid w:val="00E174C1"/>
    <w:rsid w:val="00E20B41"/>
    <w:rsid w:val="00E21369"/>
    <w:rsid w:val="00E23054"/>
    <w:rsid w:val="00E250EF"/>
    <w:rsid w:val="00E25327"/>
    <w:rsid w:val="00E2556F"/>
    <w:rsid w:val="00E25F99"/>
    <w:rsid w:val="00E2709B"/>
    <w:rsid w:val="00E27FD2"/>
    <w:rsid w:val="00E300B7"/>
    <w:rsid w:val="00E30E06"/>
    <w:rsid w:val="00E31193"/>
    <w:rsid w:val="00E32B56"/>
    <w:rsid w:val="00E32D2D"/>
    <w:rsid w:val="00E332A1"/>
    <w:rsid w:val="00E3516A"/>
    <w:rsid w:val="00E35F1C"/>
    <w:rsid w:val="00E360F9"/>
    <w:rsid w:val="00E3761A"/>
    <w:rsid w:val="00E401EB"/>
    <w:rsid w:val="00E40322"/>
    <w:rsid w:val="00E425FE"/>
    <w:rsid w:val="00E42854"/>
    <w:rsid w:val="00E42DD9"/>
    <w:rsid w:val="00E436EA"/>
    <w:rsid w:val="00E44674"/>
    <w:rsid w:val="00E44DD8"/>
    <w:rsid w:val="00E45454"/>
    <w:rsid w:val="00E46274"/>
    <w:rsid w:val="00E4697C"/>
    <w:rsid w:val="00E4739B"/>
    <w:rsid w:val="00E4753B"/>
    <w:rsid w:val="00E50DC2"/>
    <w:rsid w:val="00E51706"/>
    <w:rsid w:val="00E51883"/>
    <w:rsid w:val="00E527B5"/>
    <w:rsid w:val="00E5354E"/>
    <w:rsid w:val="00E53B3F"/>
    <w:rsid w:val="00E54A22"/>
    <w:rsid w:val="00E54F3C"/>
    <w:rsid w:val="00E55750"/>
    <w:rsid w:val="00E55DAD"/>
    <w:rsid w:val="00E560DD"/>
    <w:rsid w:val="00E57D4A"/>
    <w:rsid w:val="00E60A3F"/>
    <w:rsid w:val="00E6144D"/>
    <w:rsid w:val="00E627F9"/>
    <w:rsid w:val="00E628CE"/>
    <w:rsid w:val="00E62ED0"/>
    <w:rsid w:val="00E634CE"/>
    <w:rsid w:val="00E63738"/>
    <w:rsid w:val="00E63BEE"/>
    <w:rsid w:val="00E643AD"/>
    <w:rsid w:val="00E64520"/>
    <w:rsid w:val="00E651B5"/>
    <w:rsid w:val="00E659F7"/>
    <w:rsid w:val="00E66B05"/>
    <w:rsid w:val="00E66B96"/>
    <w:rsid w:val="00E66DCF"/>
    <w:rsid w:val="00E6706B"/>
    <w:rsid w:val="00E6749E"/>
    <w:rsid w:val="00E67944"/>
    <w:rsid w:val="00E67F70"/>
    <w:rsid w:val="00E71883"/>
    <w:rsid w:val="00E71A21"/>
    <w:rsid w:val="00E71EAC"/>
    <w:rsid w:val="00E72B81"/>
    <w:rsid w:val="00E736AC"/>
    <w:rsid w:val="00E7502C"/>
    <w:rsid w:val="00E752CC"/>
    <w:rsid w:val="00E753DF"/>
    <w:rsid w:val="00E755E4"/>
    <w:rsid w:val="00E765CE"/>
    <w:rsid w:val="00E770B9"/>
    <w:rsid w:val="00E77ECA"/>
    <w:rsid w:val="00E805D7"/>
    <w:rsid w:val="00E82FE1"/>
    <w:rsid w:val="00E834CC"/>
    <w:rsid w:val="00E83F53"/>
    <w:rsid w:val="00E8451D"/>
    <w:rsid w:val="00E86998"/>
    <w:rsid w:val="00E86A9B"/>
    <w:rsid w:val="00E874A4"/>
    <w:rsid w:val="00E87DF3"/>
    <w:rsid w:val="00E87F72"/>
    <w:rsid w:val="00E93E9B"/>
    <w:rsid w:val="00E94E33"/>
    <w:rsid w:val="00E95A67"/>
    <w:rsid w:val="00E96CCF"/>
    <w:rsid w:val="00EA0AED"/>
    <w:rsid w:val="00EA0C9B"/>
    <w:rsid w:val="00EA1331"/>
    <w:rsid w:val="00EA3011"/>
    <w:rsid w:val="00EA32FE"/>
    <w:rsid w:val="00EA4438"/>
    <w:rsid w:val="00EA476A"/>
    <w:rsid w:val="00EA69B6"/>
    <w:rsid w:val="00EA7CFE"/>
    <w:rsid w:val="00EA7F3F"/>
    <w:rsid w:val="00EB0375"/>
    <w:rsid w:val="00EB0F3D"/>
    <w:rsid w:val="00EB1951"/>
    <w:rsid w:val="00EB1CEF"/>
    <w:rsid w:val="00EB1D48"/>
    <w:rsid w:val="00EB2FFB"/>
    <w:rsid w:val="00EB44DA"/>
    <w:rsid w:val="00EB4631"/>
    <w:rsid w:val="00EB679F"/>
    <w:rsid w:val="00EB7BA9"/>
    <w:rsid w:val="00EC0F7B"/>
    <w:rsid w:val="00EC16F6"/>
    <w:rsid w:val="00EC2965"/>
    <w:rsid w:val="00EC296B"/>
    <w:rsid w:val="00EC310E"/>
    <w:rsid w:val="00EC32AE"/>
    <w:rsid w:val="00EC3617"/>
    <w:rsid w:val="00EC37AC"/>
    <w:rsid w:val="00EC3AF6"/>
    <w:rsid w:val="00EC40C9"/>
    <w:rsid w:val="00EC463F"/>
    <w:rsid w:val="00EC4A80"/>
    <w:rsid w:val="00EC4E29"/>
    <w:rsid w:val="00EC600D"/>
    <w:rsid w:val="00EC62B8"/>
    <w:rsid w:val="00EC70B6"/>
    <w:rsid w:val="00EC77E9"/>
    <w:rsid w:val="00ED033F"/>
    <w:rsid w:val="00ED07CB"/>
    <w:rsid w:val="00ED4B69"/>
    <w:rsid w:val="00EE1C12"/>
    <w:rsid w:val="00EE1D9E"/>
    <w:rsid w:val="00EE1FFC"/>
    <w:rsid w:val="00EE2B3F"/>
    <w:rsid w:val="00EE3B01"/>
    <w:rsid w:val="00EE47A4"/>
    <w:rsid w:val="00EE4EFD"/>
    <w:rsid w:val="00EE4FFC"/>
    <w:rsid w:val="00EE54CD"/>
    <w:rsid w:val="00EE5D91"/>
    <w:rsid w:val="00EE60AB"/>
    <w:rsid w:val="00EE63CF"/>
    <w:rsid w:val="00EE674B"/>
    <w:rsid w:val="00EE714D"/>
    <w:rsid w:val="00EE716A"/>
    <w:rsid w:val="00EE7669"/>
    <w:rsid w:val="00EE7712"/>
    <w:rsid w:val="00EE7BC1"/>
    <w:rsid w:val="00EF086A"/>
    <w:rsid w:val="00EF14E2"/>
    <w:rsid w:val="00EF1766"/>
    <w:rsid w:val="00EF17B5"/>
    <w:rsid w:val="00EF2170"/>
    <w:rsid w:val="00EF2AA9"/>
    <w:rsid w:val="00EF2F42"/>
    <w:rsid w:val="00EF3CF9"/>
    <w:rsid w:val="00EF4518"/>
    <w:rsid w:val="00EF5B0D"/>
    <w:rsid w:val="00EF5F54"/>
    <w:rsid w:val="00EF7FA0"/>
    <w:rsid w:val="00EF7FA7"/>
    <w:rsid w:val="00F022E0"/>
    <w:rsid w:val="00F03384"/>
    <w:rsid w:val="00F036C4"/>
    <w:rsid w:val="00F04829"/>
    <w:rsid w:val="00F04CB7"/>
    <w:rsid w:val="00F07646"/>
    <w:rsid w:val="00F10703"/>
    <w:rsid w:val="00F1110E"/>
    <w:rsid w:val="00F14F91"/>
    <w:rsid w:val="00F17326"/>
    <w:rsid w:val="00F179D1"/>
    <w:rsid w:val="00F17EF4"/>
    <w:rsid w:val="00F2000F"/>
    <w:rsid w:val="00F2020F"/>
    <w:rsid w:val="00F2121D"/>
    <w:rsid w:val="00F21987"/>
    <w:rsid w:val="00F221BA"/>
    <w:rsid w:val="00F23FB0"/>
    <w:rsid w:val="00F241ED"/>
    <w:rsid w:val="00F24A25"/>
    <w:rsid w:val="00F24F7C"/>
    <w:rsid w:val="00F25422"/>
    <w:rsid w:val="00F25AC2"/>
    <w:rsid w:val="00F266CA"/>
    <w:rsid w:val="00F26853"/>
    <w:rsid w:val="00F27A59"/>
    <w:rsid w:val="00F27A6B"/>
    <w:rsid w:val="00F32731"/>
    <w:rsid w:val="00F3280B"/>
    <w:rsid w:val="00F331EE"/>
    <w:rsid w:val="00F34364"/>
    <w:rsid w:val="00F344A6"/>
    <w:rsid w:val="00F344F6"/>
    <w:rsid w:val="00F34A5D"/>
    <w:rsid w:val="00F35790"/>
    <w:rsid w:val="00F35B3F"/>
    <w:rsid w:val="00F367D6"/>
    <w:rsid w:val="00F37C0A"/>
    <w:rsid w:val="00F40CAC"/>
    <w:rsid w:val="00F42768"/>
    <w:rsid w:val="00F43EFB"/>
    <w:rsid w:val="00F44C26"/>
    <w:rsid w:val="00F44E60"/>
    <w:rsid w:val="00F45608"/>
    <w:rsid w:val="00F4581A"/>
    <w:rsid w:val="00F4633F"/>
    <w:rsid w:val="00F4644D"/>
    <w:rsid w:val="00F466D6"/>
    <w:rsid w:val="00F4670C"/>
    <w:rsid w:val="00F467A7"/>
    <w:rsid w:val="00F46EC0"/>
    <w:rsid w:val="00F50077"/>
    <w:rsid w:val="00F517D8"/>
    <w:rsid w:val="00F52468"/>
    <w:rsid w:val="00F53CAE"/>
    <w:rsid w:val="00F53CC4"/>
    <w:rsid w:val="00F54BBD"/>
    <w:rsid w:val="00F551CD"/>
    <w:rsid w:val="00F56AE6"/>
    <w:rsid w:val="00F57148"/>
    <w:rsid w:val="00F57E6E"/>
    <w:rsid w:val="00F6052B"/>
    <w:rsid w:val="00F606E0"/>
    <w:rsid w:val="00F6248F"/>
    <w:rsid w:val="00F648D9"/>
    <w:rsid w:val="00F65C52"/>
    <w:rsid w:val="00F66CAC"/>
    <w:rsid w:val="00F6756F"/>
    <w:rsid w:val="00F67AB8"/>
    <w:rsid w:val="00F67FBB"/>
    <w:rsid w:val="00F720E2"/>
    <w:rsid w:val="00F72275"/>
    <w:rsid w:val="00F7234B"/>
    <w:rsid w:val="00F72B8F"/>
    <w:rsid w:val="00F72EEF"/>
    <w:rsid w:val="00F731FF"/>
    <w:rsid w:val="00F732C9"/>
    <w:rsid w:val="00F75C48"/>
    <w:rsid w:val="00F75DE5"/>
    <w:rsid w:val="00F75E2B"/>
    <w:rsid w:val="00F761BC"/>
    <w:rsid w:val="00F7766C"/>
    <w:rsid w:val="00F80245"/>
    <w:rsid w:val="00F8049F"/>
    <w:rsid w:val="00F81580"/>
    <w:rsid w:val="00F81622"/>
    <w:rsid w:val="00F81E08"/>
    <w:rsid w:val="00F82819"/>
    <w:rsid w:val="00F8387C"/>
    <w:rsid w:val="00F83C82"/>
    <w:rsid w:val="00F83D92"/>
    <w:rsid w:val="00F84B92"/>
    <w:rsid w:val="00F85742"/>
    <w:rsid w:val="00F859EE"/>
    <w:rsid w:val="00F85E95"/>
    <w:rsid w:val="00F86DF2"/>
    <w:rsid w:val="00F9001E"/>
    <w:rsid w:val="00F9352B"/>
    <w:rsid w:val="00F946AF"/>
    <w:rsid w:val="00F94712"/>
    <w:rsid w:val="00F94A36"/>
    <w:rsid w:val="00F94B32"/>
    <w:rsid w:val="00F96A8E"/>
    <w:rsid w:val="00F96E31"/>
    <w:rsid w:val="00F96F67"/>
    <w:rsid w:val="00F97DFD"/>
    <w:rsid w:val="00FA0DF6"/>
    <w:rsid w:val="00FA14FE"/>
    <w:rsid w:val="00FA2B01"/>
    <w:rsid w:val="00FA2CF1"/>
    <w:rsid w:val="00FA2D1D"/>
    <w:rsid w:val="00FA415E"/>
    <w:rsid w:val="00FA5740"/>
    <w:rsid w:val="00FA6FCB"/>
    <w:rsid w:val="00FA722D"/>
    <w:rsid w:val="00FA76AA"/>
    <w:rsid w:val="00FB09C3"/>
    <w:rsid w:val="00FB0AA0"/>
    <w:rsid w:val="00FB1938"/>
    <w:rsid w:val="00FB1CE3"/>
    <w:rsid w:val="00FB1F91"/>
    <w:rsid w:val="00FB2F12"/>
    <w:rsid w:val="00FB3872"/>
    <w:rsid w:val="00FB3CCD"/>
    <w:rsid w:val="00FB445E"/>
    <w:rsid w:val="00FB4B21"/>
    <w:rsid w:val="00FB5A86"/>
    <w:rsid w:val="00FB677D"/>
    <w:rsid w:val="00FC2894"/>
    <w:rsid w:val="00FC334E"/>
    <w:rsid w:val="00FC3D44"/>
    <w:rsid w:val="00FC3F04"/>
    <w:rsid w:val="00FC5554"/>
    <w:rsid w:val="00FC581D"/>
    <w:rsid w:val="00FC79F8"/>
    <w:rsid w:val="00FC7E9C"/>
    <w:rsid w:val="00FD10BA"/>
    <w:rsid w:val="00FD13DF"/>
    <w:rsid w:val="00FD1503"/>
    <w:rsid w:val="00FD2AE9"/>
    <w:rsid w:val="00FD2F1A"/>
    <w:rsid w:val="00FD428C"/>
    <w:rsid w:val="00FD44E9"/>
    <w:rsid w:val="00FD4A01"/>
    <w:rsid w:val="00FD51C1"/>
    <w:rsid w:val="00FD5A69"/>
    <w:rsid w:val="00FD7973"/>
    <w:rsid w:val="00FD7FEE"/>
    <w:rsid w:val="00FE1014"/>
    <w:rsid w:val="00FE1F4B"/>
    <w:rsid w:val="00FE2D7A"/>
    <w:rsid w:val="00FE2F09"/>
    <w:rsid w:val="00FE4A97"/>
    <w:rsid w:val="00FE50AB"/>
    <w:rsid w:val="00FE5A28"/>
    <w:rsid w:val="00FE7A1E"/>
    <w:rsid w:val="00FF013E"/>
    <w:rsid w:val="00FF38B3"/>
    <w:rsid w:val="00FF4009"/>
    <w:rsid w:val="00FF472B"/>
    <w:rsid w:val="00FF598D"/>
    <w:rsid w:val="00FF76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C43EB"/>
  <w15:docId w15:val="{4105497C-C162-49EC-9D59-41A0BA53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80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803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552D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rsid w:val="00CE0266"/>
    <w:pPr>
      <w:overflowPunct w:val="0"/>
      <w:autoSpaceDE w:val="0"/>
      <w:autoSpaceDN w:val="0"/>
      <w:adjustRightInd w:val="0"/>
      <w:spacing w:after="80" w:line="240" w:lineRule="auto"/>
      <w:jc w:val="both"/>
      <w:textAlignment w:val="baseline"/>
    </w:pPr>
    <w:rPr>
      <w:rFonts w:ascii="Times New Roman" w:eastAsia="Times New Roman" w:hAnsi="Times New Roman" w:cs="Times New Roman"/>
      <w:spacing w:val="2"/>
      <w:sz w:val="20"/>
      <w:szCs w:val="20"/>
    </w:rPr>
  </w:style>
  <w:style w:type="character" w:customStyle="1" w:styleId="CommentaireCar">
    <w:name w:val="Commentaire Car"/>
    <w:basedOn w:val="Policepardfaut"/>
    <w:link w:val="Commentaire"/>
    <w:rsid w:val="00CE0266"/>
    <w:rPr>
      <w:rFonts w:ascii="Times New Roman" w:eastAsia="Times New Roman" w:hAnsi="Times New Roman" w:cs="Times New Roman"/>
      <w:spacing w:val="2"/>
      <w:sz w:val="20"/>
      <w:szCs w:val="20"/>
    </w:rPr>
  </w:style>
  <w:style w:type="character" w:styleId="Marquedecommentaire">
    <w:name w:val="annotation reference"/>
    <w:basedOn w:val="Policepardfaut"/>
    <w:rsid w:val="00AE7E50"/>
    <w:rPr>
      <w:sz w:val="16"/>
      <w:szCs w:val="16"/>
    </w:rPr>
  </w:style>
  <w:style w:type="paragraph" w:styleId="Textedebulles">
    <w:name w:val="Balloon Text"/>
    <w:basedOn w:val="Normal"/>
    <w:link w:val="TextedebullesCar"/>
    <w:uiPriority w:val="99"/>
    <w:semiHidden/>
    <w:unhideWhenUsed/>
    <w:rsid w:val="00AE7E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7E50"/>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AE7E50"/>
    <w:pPr>
      <w:overflowPunct/>
      <w:autoSpaceDE/>
      <w:autoSpaceDN/>
      <w:adjustRightInd/>
      <w:spacing w:after="200"/>
      <w:jc w:val="left"/>
      <w:textAlignment w:val="auto"/>
    </w:pPr>
    <w:rPr>
      <w:rFonts w:asciiTheme="minorHAnsi" w:eastAsiaTheme="minorHAnsi" w:hAnsiTheme="minorHAnsi" w:cstheme="minorBidi"/>
      <w:b/>
      <w:bCs/>
      <w:spacing w:val="0"/>
    </w:rPr>
  </w:style>
  <w:style w:type="character" w:customStyle="1" w:styleId="ObjetducommentaireCar">
    <w:name w:val="Objet du commentaire Car"/>
    <w:basedOn w:val="CommentaireCar"/>
    <w:link w:val="Objetducommentaire"/>
    <w:uiPriority w:val="99"/>
    <w:semiHidden/>
    <w:rsid w:val="00AE7E50"/>
    <w:rPr>
      <w:rFonts w:ascii="Times New Roman" w:eastAsia="Times New Roman" w:hAnsi="Times New Roman" w:cs="Times New Roman"/>
      <w:b/>
      <w:bCs/>
      <w:spacing w:val="2"/>
      <w:sz w:val="20"/>
      <w:szCs w:val="20"/>
    </w:rPr>
  </w:style>
  <w:style w:type="paragraph" w:styleId="Paragraphedeliste">
    <w:name w:val="List Paragraph"/>
    <w:basedOn w:val="Normal"/>
    <w:uiPriority w:val="34"/>
    <w:qFormat/>
    <w:rsid w:val="00AE7E50"/>
    <w:pPr>
      <w:ind w:left="720"/>
      <w:contextualSpacing/>
    </w:pPr>
  </w:style>
  <w:style w:type="paragraph" w:styleId="En-tte">
    <w:name w:val="header"/>
    <w:basedOn w:val="Normal"/>
    <w:link w:val="En-tteCar"/>
    <w:uiPriority w:val="99"/>
    <w:unhideWhenUsed/>
    <w:rsid w:val="0055105B"/>
    <w:pPr>
      <w:tabs>
        <w:tab w:val="center" w:pos="4536"/>
        <w:tab w:val="right" w:pos="9072"/>
      </w:tabs>
      <w:spacing w:after="0" w:line="240" w:lineRule="auto"/>
    </w:pPr>
  </w:style>
  <w:style w:type="character" w:customStyle="1" w:styleId="En-tteCar">
    <w:name w:val="En-tête Car"/>
    <w:basedOn w:val="Policepardfaut"/>
    <w:link w:val="En-tte"/>
    <w:uiPriority w:val="99"/>
    <w:rsid w:val="0055105B"/>
  </w:style>
  <w:style w:type="paragraph" w:styleId="Pieddepage">
    <w:name w:val="footer"/>
    <w:basedOn w:val="Normal"/>
    <w:link w:val="PieddepageCar"/>
    <w:uiPriority w:val="99"/>
    <w:unhideWhenUsed/>
    <w:rsid w:val="005510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05B"/>
  </w:style>
  <w:style w:type="paragraph" w:customStyle="1" w:styleId="Dcrte">
    <w:name w:val="Décrète"/>
    <w:basedOn w:val="Normal"/>
    <w:next w:val="Normal"/>
    <w:rsid w:val="003C561F"/>
    <w:pPr>
      <w:overflowPunct w:val="0"/>
      <w:autoSpaceDE w:val="0"/>
      <w:autoSpaceDN w:val="0"/>
      <w:adjustRightInd w:val="0"/>
      <w:spacing w:before="240" w:after="120" w:line="240" w:lineRule="exact"/>
      <w:jc w:val="both"/>
      <w:textAlignment w:val="baseline"/>
    </w:pPr>
    <w:rPr>
      <w:rFonts w:ascii="Times New Roman" w:eastAsia="Times New Roman" w:hAnsi="Times New Roman" w:cs="Times New Roman"/>
      <w:i/>
      <w:spacing w:val="2"/>
      <w:sz w:val="24"/>
      <w:szCs w:val="20"/>
    </w:rPr>
  </w:style>
  <w:style w:type="paragraph" w:customStyle="1" w:styleId="05objet">
    <w:name w:val="05_objet"/>
    <w:qFormat/>
    <w:rsid w:val="004A49D9"/>
    <w:pPr>
      <w:spacing w:after="180" w:line="280" w:lineRule="exact"/>
    </w:pPr>
    <w:rPr>
      <w:rFonts w:ascii="Arial" w:eastAsia="Times New Roman" w:hAnsi="Arial" w:cs="Times New Roman"/>
      <w:b/>
      <w:sz w:val="24"/>
      <w:szCs w:val="24"/>
      <w:lang w:eastAsia="fr-FR"/>
    </w:rPr>
  </w:style>
  <w:style w:type="paragraph" w:customStyle="1" w:styleId="Default">
    <w:name w:val="Default"/>
    <w:rsid w:val="00B84A1A"/>
    <w:pPr>
      <w:autoSpaceDE w:val="0"/>
      <w:autoSpaceDN w:val="0"/>
      <w:adjustRightInd w:val="0"/>
      <w:spacing w:after="0" w:line="240" w:lineRule="auto"/>
    </w:pPr>
    <w:rPr>
      <w:rFonts w:ascii="Times New Roman" w:eastAsia="Times New Roman" w:hAnsi="Times New Roman" w:cs="Times New Roman"/>
      <w:color w:val="000000"/>
      <w:sz w:val="24"/>
      <w:szCs w:val="24"/>
      <w:lang w:eastAsia="de-DE"/>
    </w:rPr>
  </w:style>
  <w:style w:type="paragraph" w:styleId="Notedebasdepage">
    <w:name w:val="footnote text"/>
    <w:basedOn w:val="Normal"/>
    <w:link w:val="NotedebasdepageCar"/>
    <w:rsid w:val="00B25380"/>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B25380"/>
    <w:rPr>
      <w:rFonts w:ascii="Times New Roman" w:eastAsia="Times New Roman" w:hAnsi="Times New Roman" w:cs="Times New Roman"/>
      <w:sz w:val="20"/>
      <w:szCs w:val="20"/>
      <w:lang w:val="de-DE" w:eastAsia="fr-FR"/>
    </w:rPr>
  </w:style>
  <w:style w:type="character" w:styleId="Appelnotedebasdep">
    <w:name w:val="footnote reference"/>
    <w:basedOn w:val="Policepardfaut"/>
    <w:rsid w:val="00B25380"/>
    <w:rPr>
      <w:vertAlign w:val="superscript"/>
    </w:rPr>
  </w:style>
  <w:style w:type="character" w:customStyle="1" w:styleId="Titre1Car">
    <w:name w:val="Titre 1 Car"/>
    <w:basedOn w:val="Policepardfaut"/>
    <w:link w:val="Titre1"/>
    <w:uiPriority w:val="9"/>
    <w:rsid w:val="00C8034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C80345"/>
    <w:pPr>
      <w:outlineLvl w:val="9"/>
    </w:pPr>
    <w:rPr>
      <w:lang w:eastAsia="fr-CH"/>
    </w:rPr>
  </w:style>
  <w:style w:type="character" w:customStyle="1" w:styleId="Titre2Car">
    <w:name w:val="Titre 2 Car"/>
    <w:basedOn w:val="Policepardfaut"/>
    <w:link w:val="Titre2"/>
    <w:uiPriority w:val="9"/>
    <w:rsid w:val="00C80345"/>
    <w:rPr>
      <w:rFonts w:asciiTheme="majorHAnsi" w:eastAsiaTheme="majorEastAsia" w:hAnsiTheme="majorHAnsi" w:cstheme="majorBidi"/>
      <w:b/>
      <w:bCs/>
      <w:color w:val="4F81BD" w:themeColor="accent1"/>
      <w:sz w:val="26"/>
      <w:szCs w:val="26"/>
    </w:rPr>
  </w:style>
  <w:style w:type="paragraph" w:customStyle="1" w:styleId="06atexteprincipal">
    <w:name w:val="06a_texte_principal"/>
    <w:qFormat/>
    <w:rsid w:val="004C568E"/>
    <w:pPr>
      <w:spacing w:after="180" w:line="280" w:lineRule="exact"/>
    </w:pPr>
    <w:rPr>
      <w:rFonts w:ascii="Times New Roman" w:eastAsia="Times New Roman" w:hAnsi="Times New Roman" w:cs="Times New Roman"/>
      <w:sz w:val="24"/>
      <w:szCs w:val="24"/>
      <w:lang w:eastAsia="fr-FR"/>
    </w:rPr>
  </w:style>
  <w:style w:type="paragraph" w:customStyle="1" w:styleId="07atexteprincipal">
    <w:name w:val="07a_texte_principal"/>
    <w:qFormat/>
    <w:rsid w:val="004C568E"/>
    <w:pPr>
      <w:spacing w:after="180" w:line="280" w:lineRule="exact"/>
    </w:pPr>
    <w:rPr>
      <w:rFonts w:ascii="Times New Roman" w:eastAsia="Times New Roman" w:hAnsi="Times New Roman" w:cs="Times New Roman"/>
      <w:sz w:val="24"/>
      <w:szCs w:val="24"/>
      <w:lang w:eastAsia="fr-FR"/>
    </w:rPr>
  </w:style>
  <w:style w:type="paragraph" w:styleId="Notedefin">
    <w:name w:val="endnote text"/>
    <w:basedOn w:val="Normal"/>
    <w:link w:val="NotedefinCar"/>
    <w:uiPriority w:val="99"/>
    <w:semiHidden/>
    <w:unhideWhenUsed/>
    <w:rsid w:val="00096E6C"/>
    <w:pPr>
      <w:spacing w:after="0" w:line="240" w:lineRule="auto"/>
    </w:pPr>
    <w:rPr>
      <w:sz w:val="20"/>
      <w:szCs w:val="20"/>
    </w:rPr>
  </w:style>
  <w:style w:type="character" w:customStyle="1" w:styleId="NotedefinCar">
    <w:name w:val="Note de fin Car"/>
    <w:basedOn w:val="Policepardfaut"/>
    <w:link w:val="Notedefin"/>
    <w:uiPriority w:val="99"/>
    <w:semiHidden/>
    <w:rsid w:val="00096E6C"/>
    <w:rPr>
      <w:sz w:val="20"/>
      <w:szCs w:val="20"/>
    </w:rPr>
  </w:style>
  <w:style w:type="character" w:styleId="Appeldenotedefin">
    <w:name w:val="endnote reference"/>
    <w:basedOn w:val="Policepardfaut"/>
    <w:uiPriority w:val="99"/>
    <w:semiHidden/>
    <w:unhideWhenUsed/>
    <w:rsid w:val="00096E6C"/>
    <w:rPr>
      <w:vertAlign w:val="superscript"/>
    </w:rPr>
  </w:style>
  <w:style w:type="paragraph" w:styleId="TM1">
    <w:name w:val="toc 1"/>
    <w:basedOn w:val="Normal"/>
    <w:next w:val="Normal"/>
    <w:autoRedefine/>
    <w:uiPriority w:val="39"/>
    <w:unhideWhenUsed/>
    <w:qFormat/>
    <w:rsid w:val="00FB5A86"/>
    <w:pPr>
      <w:tabs>
        <w:tab w:val="right" w:leader="dot" w:pos="9062"/>
      </w:tabs>
      <w:spacing w:after="100" w:line="360" w:lineRule="auto"/>
    </w:pPr>
  </w:style>
  <w:style w:type="paragraph" w:styleId="TM2">
    <w:name w:val="toc 2"/>
    <w:basedOn w:val="Normal"/>
    <w:next w:val="Normal"/>
    <w:autoRedefine/>
    <w:uiPriority w:val="39"/>
    <w:unhideWhenUsed/>
    <w:qFormat/>
    <w:rsid w:val="002C77E3"/>
    <w:pPr>
      <w:spacing w:after="100"/>
      <w:ind w:left="220"/>
    </w:pPr>
  </w:style>
  <w:style w:type="character" w:styleId="Lienhypertexte">
    <w:name w:val="Hyperlink"/>
    <w:basedOn w:val="Policepardfaut"/>
    <w:uiPriority w:val="99"/>
    <w:unhideWhenUsed/>
    <w:rsid w:val="002C77E3"/>
    <w:rPr>
      <w:color w:val="0000FF" w:themeColor="hyperlink"/>
      <w:u w:val="single"/>
    </w:rPr>
  </w:style>
  <w:style w:type="paragraph" w:styleId="TM3">
    <w:name w:val="toc 3"/>
    <w:basedOn w:val="Normal"/>
    <w:next w:val="Normal"/>
    <w:autoRedefine/>
    <w:uiPriority w:val="39"/>
    <w:unhideWhenUsed/>
    <w:qFormat/>
    <w:rsid w:val="002629E7"/>
    <w:pPr>
      <w:spacing w:after="100"/>
      <w:ind w:left="440"/>
    </w:pPr>
    <w:rPr>
      <w:rFonts w:eastAsiaTheme="minorEastAsia"/>
      <w:lang w:eastAsia="fr-CH"/>
    </w:rPr>
  </w:style>
  <w:style w:type="table" w:styleId="Grilledutableau">
    <w:name w:val="Table Grid"/>
    <w:basedOn w:val="TableauNormal"/>
    <w:uiPriority w:val="59"/>
    <w:rsid w:val="00C10EF6"/>
    <w:pPr>
      <w:spacing w:after="0" w:line="240" w:lineRule="auto"/>
    </w:pPr>
    <w:rPr>
      <w:rFonts w:ascii="Arial" w:eastAsia="Times New Roman" w:hAnsi="Arial" w:cs="Times New Roman"/>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ontent">
    <w:name w:val="text_content"/>
    <w:basedOn w:val="Policepardfaut"/>
    <w:rsid w:val="00CD3434"/>
  </w:style>
  <w:style w:type="character" w:styleId="Lienhypertextesuivivisit">
    <w:name w:val="FollowedHyperlink"/>
    <w:basedOn w:val="Policepardfaut"/>
    <w:uiPriority w:val="99"/>
    <w:semiHidden/>
    <w:unhideWhenUsed/>
    <w:rsid w:val="001049D7"/>
    <w:rPr>
      <w:color w:val="800080" w:themeColor="followedHyperlink"/>
      <w:u w:val="single"/>
    </w:rPr>
  </w:style>
  <w:style w:type="paragraph" w:styleId="NormalWeb">
    <w:name w:val="Normal (Web)"/>
    <w:basedOn w:val="Normal"/>
    <w:uiPriority w:val="99"/>
    <w:semiHidden/>
    <w:unhideWhenUsed/>
    <w:rsid w:val="00714CCC"/>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Titre3Car">
    <w:name w:val="Titre 3 Car"/>
    <w:basedOn w:val="Policepardfaut"/>
    <w:link w:val="Titre3"/>
    <w:uiPriority w:val="9"/>
    <w:semiHidden/>
    <w:rsid w:val="00552DCA"/>
    <w:rPr>
      <w:rFonts w:asciiTheme="majorHAnsi" w:eastAsiaTheme="majorEastAsia" w:hAnsiTheme="majorHAnsi" w:cstheme="majorBidi"/>
      <w:b/>
      <w:bCs/>
      <w:color w:val="4F81BD" w:themeColor="accent1"/>
    </w:rPr>
  </w:style>
  <w:style w:type="paragraph" w:styleId="Rvision">
    <w:name w:val="Revision"/>
    <w:hidden/>
    <w:uiPriority w:val="99"/>
    <w:semiHidden/>
    <w:rsid w:val="00406929"/>
    <w:pPr>
      <w:spacing w:after="0" w:line="240" w:lineRule="auto"/>
    </w:pPr>
  </w:style>
  <w:style w:type="table" w:customStyle="1" w:styleId="Grilledutableau1">
    <w:name w:val="Grille du tableau1"/>
    <w:basedOn w:val="TableauNormal"/>
    <w:next w:val="Grilledutableau"/>
    <w:uiPriority w:val="59"/>
    <w:rsid w:val="00F9352B"/>
    <w:pPr>
      <w:spacing w:after="0" w:line="240" w:lineRule="auto"/>
    </w:pPr>
    <w:rPr>
      <w:rFonts w:ascii="Arial" w:eastAsia="Times New Roman" w:hAnsi="Arial" w:cs="Times New Roman"/>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1A31D6"/>
    <w:pPr>
      <w:spacing w:after="0" w:line="240" w:lineRule="auto"/>
    </w:pPr>
    <w:rPr>
      <w:rFonts w:ascii="Arial" w:eastAsia="Times New Roman" w:hAnsi="Arial" w:cs="Times New Roman"/>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82886">
      <w:bodyDiv w:val="1"/>
      <w:marLeft w:val="0"/>
      <w:marRight w:val="0"/>
      <w:marTop w:val="0"/>
      <w:marBottom w:val="0"/>
      <w:divBdr>
        <w:top w:val="none" w:sz="0" w:space="0" w:color="auto"/>
        <w:left w:val="none" w:sz="0" w:space="0" w:color="auto"/>
        <w:bottom w:val="none" w:sz="0" w:space="0" w:color="auto"/>
        <w:right w:val="none" w:sz="0" w:space="0" w:color="auto"/>
      </w:divBdr>
    </w:div>
    <w:div w:id="147138322">
      <w:bodyDiv w:val="1"/>
      <w:marLeft w:val="0"/>
      <w:marRight w:val="0"/>
      <w:marTop w:val="0"/>
      <w:marBottom w:val="0"/>
      <w:divBdr>
        <w:top w:val="none" w:sz="0" w:space="0" w:color="auto"/>
        <w:left w:val="none" w:sz="0" w:space="0" w:color="auto"/>
        <w:bottom w:val="none" w:sz="0" w:space="0" w:color="auto"/>
        <w:right w:val="none" w:sz="0" w:space="0" w:color="auto"/>
      </w:divBdr>
    </w:div>
    <w:div w:id="430703995">
      <w:bodyDiv w:val="1"/>
      <w:marLeft w:val="0"/>
      <w:marRight w:val="0"/>
      <w:marTop w:val="0"/>
      <w:marBottom w:val="0"/>
      <w:divBdr>
        <w:top w:val="none" w:sz="0" w:space="0" w:color="auto"/>
        <w:left w:val="none" w:sz="0" w:space="0" w:color="auto"/>
        <w:bottom w:val="none" w:sz="0" w:space="0" w:color="auto"/>
        <w:right w:val="none" w:sz="0" w:space="0" w:color="auto"/>
      </w:divBdr>
    </w:div>
    <w:div w:id="728306185">
      <w:bodyDiv w:val="1"/>
      <w:marLeft w:val="0"/>
      <w:marRight w:val="0"/>
      <w:marTop w:val="0"/>
      <w:marBottom w:val="0"/>
      <w:divBdr>
        <w:top w:val="none" w:sz="0" w:space="0" w:color="auto"/>
        <w:left w:val="none" w:sz="0" w:space="0" w:color="auto"/>
        <w:bottom w:val="none" w:sz="0" w:space="0" w:color="auto"/>
        <w:right w:val="none" w:sz="0" w:space="0" w:color="auto"/>
      </w:divBdr>
    </w:div>
    <w:div w:id="800071741">
      <w:bodyDiv w:val="1"/>
      <w:marLeft w:val="0"/>
      <w:marRight w:val="0"/>
      <w:marTop w:val="0"/>
      <w:marBottom w:val="0"/>
      <w:divBdr>
        <w:top w:val="none" w:sz="0" w:space="0" w:color="auto"/>
        <w:left w:val="none" w:sz="0" w:space="0" w:color="auto"/>
        <w:bottom w:val="none" w:sz="0" w:space="0" w:color="auto"/>
        <w:right w:val="none" w:sz="0" w:space="0" w:color="auto"/>
      </w:divBdr>
    </w:div>
    <w:div w:id="1301113706">
      <w:bodyDiv w:val="1"/>
      <w:marLeft w:val="0"/>
      <w:marRight w:val="0"/>
      <w:marTop w:val="0"/>
      <w:marBottom w:val="0"/>
      <w:divBdr>
        <w:top w:val="none" w:sz="0" w:space="0" w:color="auto"/>
        <w:left w:val="none" w:sz="0" w:space="0" w:color="auto"/>
        <w:bottom w:val="none" w:sz="0" w:space="0" w:color="auto"/>
        <w:right w:val="none" w:sz="0" w:space="0" w:color="auto"/>
      </w:divBdr>
    </w:div>
    <w:div w:id="1337151376">
      <w:bodyDiv w:val="1"/>
      <w:marLeft w:val="0"/>
      <w:marRight w:val="0"/>
      <w:marTop w:val="0"/>
      <w:marBottom w:val="0"/>
      <w:divBdr>
        <w:top w:val="none" w:sz="0" w:space="0" w:color="auto"/>
        <w:left w:val="none" w:sz="0" w:space="0" w:color="auto"/>
        <w:bottom w:val="none" w:sz="0" w:space="0" w:color="auto"/>
        <w:right w:val="none" w:sz="0" w:space="0" w:color="auto"/>
      </w:divBdr>
      <w:divsChild>
        <w:div w:id="901213540">
          <w:marLeft w:val="547"/>
          <w:marRight w:val="0"/>
          <w:marTop w:val="0"/>
          <w:marBottom w:val="0"/>
          <w:divBdr>
            <w:top w:val="none" w:sz="0" w:space="0" w:color="auto"/>
            <w:left w:val="none" w:sz="0" w:space="0" w:color="auto"/>
            <w:bottom w:val="none" w:sz="0" w:space="0" w:color="auto"/>
            <w:right w:val="none" w:sz="0" w:space="0" w:color="auto"/>
          </w:divBdr>
        </w:div>
        <w:div w:id="1136610064">
          <w:marLeft w:val="547"/>
          <w:marRight w:val="0"/>
          <w:marTop w:val="0"/>
          <w:marBottom w:val="0"/>
          <w:divBdr>
            <w:top w:val="none" w:sz="0" w:space="0" w:color="auto"/>
            <w:left w:val="none" w:sz="0" w:space="0" w:color="auto"/>
            <w:bottom w:val="none" w:sz="0" w:space="0" w:color="auto"/>
            <w:right w:val="none" w:sz="0" w:space="0" w:color="auto"/>
          </w:divBdr>
        </w:div>
        <w:div w:id="1276476239">
          <w:marLeft w:val="547"/>
          <w:marRight w:val="0"/>
          <w:marTop w:val="0"/>
          <w:marBottom w:val="0"/>
          <w:divBdr>
            <w:top w:val="none" w:sz="0" w:space="0" w:color="auto"/>
            <w:left w:val="none" w:sz="0" w:space="0" w:color="auto"/>
            <w:bottom w:val="none" w:sz="0" w:space="0" w:color="auto"/>
            <w:right w:val="none" w:sz="0" w:space="0" w:color="auto"/>
          </w:divBdr>
        </w:div>
      </w:divsChild>
    </w:div>
    <w:div w:id="1493444780">
      <w:bodyDiv w:val="1"/>
      <w:marLeft w:val="0"/>
      <w:marRight w:val="0"/>
      <w:marTop w:val="0"/>
      <w:marBottom w:val="0"/>
      <w:divBdr>
        <w:top w:val="none" w:sz="0" w:space="0" w:color="auto"/>
        <w:left w:val="none" w:sz="0" w:space="0" w:color="auto"/>
        <w:bottom w:val="none" w:sz="0" w:space="0" w:color="auto"/>
        <w:right w:val="none" w:sz="0" w:space="0" w:color="auto"/>
      </w:divBdr>
      <w:divsChild>
        <w:div w:id="46147515">
          <w:marLeft w:val="547"/>
          <w:marRight w:val="0"/>
          <w:marTop w:val="0"/>
          <w:marBottom w:val="0"/>
          <w:divBdr>
            <w:top w:val="none" w:sz="0" w:space="0" w:color="auto"/>
            <w:left w:val="none" w:sz="0" w:space="0" w:color="auto"/>
            <w:bottom w:val="none" w:sz="0" w:space="0" w:color="auto"/>
            <w:right w:val="none" w:sz="0" w:space="0" w:color="auto"/>
          </w:divBdr>
        </w:div>
        <w:div w:id="216403013">
          <w:marLeft w:val="547"/>
          <w:marRight w:val="0"/>
          <w:marTop w:val="0"/>
          <w:marBottom w:val="0"/>
          <w:divBdr>
            <w:top w:val="none" w:sz="0" w:space="0" w:color="auto"/>
            <w:left w:val="none" w:sz="0" w:space="0" w:color="auto"/>
            <w:bottom w:val="none" w:sz="0" w:space="0" w:color="auto"/>
            <w:right w:val="none" w:sz="0" w:space="0" w:color="auto"/>
          </w:divBdr>
        </w:div>
        <w:div w:id="651182841">
          <w:marLeft w:val="547"/>
          <w:marRight w:val="0"/>
          <w:marTop w:val="0"/>
          <w:marBottom w:val="0"/>
          <w:divBdr>
            <w:top w:val="none" w:sz="0" w:space="0" w:color="auto"/>
            <w:left w:val="none" w:sz="0" w:space="0" w:color="auto"/>
            <w:bottom w:val="none" w:sz="0" w:space="0" w:color="auto"/>
            <w:right w:val="none" w:sz="0" w:space="0" w:color="auto"/>
          </w:divBdr>
        </w:div>
        <w:div w:id="1762336698">
          <w:marLeft w:val="547"/>
          <w:marRight w:val="0"/>
          <w:marTop w:val="0"/>
          <w:marBottom w:val="0"/>
          <w:divBdr>
            <w:top w:val="none" w:sz="0" w:space="0" w:color="auto"/>
            <w:left w:val="none" w:sz="0" w:space="0" w:color="auto"/>
            <w:bottom w:val="none" w:sz="0" w:space="0" w:color="auto"/>
            <w:right w:val="none" w:sz="0" w:space="0" w:color="auto"/>
          </w:divBdr>
        </w:div>
        <w:div w:id="1804350543">
          <w:marLeft w:val="547"/>
          <w:marRight w:val="0"/>
          <w:marTop w:val="0"/>
          <w:marBottom w:val="0"/>
          <w:divBdr>
            <w:top w:val="none" w:sz="0" w:space="0" w:color="auto"/>
            <w:left w:val="none" w:sz="0" w:space="0" w:color="auto"/>
            <w:bottom w:val="none" w:sz="0" w:space="0" w:color="auto"/>
            <w:right w:val="none" w:sz="0" w:space="0" w:color="auto"/>
          </w:divBdr>
        </w:div>
        <w:div w:id="1973251106">
          <w:marLeft w:val="547"/>
          <w:marRight w:val="0"/>
          <w:marTop w:val="0"/>
          <w:marBottom w:val="0"/>
          <w:divBdr>
            <w:top w:val="none" w:sz="0" w:space="0" w:color="auto"/>
            <w:left w:val="none" w:sz="0" w:space="0" w:color="auto"/>
            <w:bottom w:val="none" w:sz="0" w:space="0" w:color="auto"/>
            <w:right w:val="none" w:sz="0" w:space="0" w:color="auto"/>
          </w:divBdr>
        </w:div>
      </w:divsChild>
    </w:div>
    <w:div w:id="1512983955">
      <w:bodyDiv w:val="1"/>
      <w:marLeft w:val="0"/>
      <w:marRight w:val="0"/>
      <w:marTop w:val="0"/>
      <w:marBottom w:val="0"/>
      <w:divBdr>
        <w:top w:val="none" w:sz="0" w:space="0" w:color="auto"/>
        <w:left w:val="none" w:sz="0" w:space="0" w:color="auto"/>
        <w:bottom w:val="none" w:sz="0" w:space="0" w:color="auto"/>
        <w:right w:val="none" w:sz="0" w:space="0" w:color="auto"/>
      </w:divBdr>
      <w:divsChild>
        <w:div w:id="97412696">
          <w:marLeft w:val="1123"/>
          <w:marRight w:val="0"/>
          <w:marTop w:val="0"/>
          <w:marBottom w:val="0"/>
          <w:divBdr>
            <w:top w:val="none" w:sz="0" w:space="0" w:color="auto"/>
            <w:left w:val="none" w:sz="0" w:space="0" w:color="auto"/>
            <w:bottom w:val="none" w:sz="0" w:space="0" w:color="auto"/>
            <w:right w:val="none" w:sz="0" w:space="0" w:color="auto"/>
          </w:divBdr>
        </w:div>
        <w:div w:id="609971427">
          <w:marLeft w:val="1123"/>
          <w:marRight w:val="0"/>
          <w:marTop w:val="0"/>
          <w:marBottom w:val="0"/>
          <w:divBdr>
            <w:top w:val="none" w:sz="0" w:space="0" w:color="auto"/>
            <w:left w:val="none" w:sz="0" w:space="0" w:color="auto"/>
            <w:bottom w:val="none" w:sz="0" w:space="0" w:color="auto"/>
            <w:right w:val="none" w:sz="0" w:space="0" w:color="auto"/>
          </w:divBdr>
        </w:div>
        <w:div w:id="1163937506">
          <w:marLeft w:val="1123"/>
          <w:marRight w:val="0"/>
          <w:marTop w:val="0"/>
          <w:marBottom w:val="0"/>
          <w:divBdr>
            <w:top w:val="none" w:sz="0" w:space="0" w:color="auto"/>
            <w:left w:val="none" w:sz="0" w:space="0" w:color="auto"/>
            <w:bottom w:val="none" w:sz="0" w:space="0" w:color="auto"/>
            <w:right w:val="none" w:sz="0" w:space="0" w:color="auto"/>
          </w:divBdr>
        </w:div>
      </w:divsChild>
    </w:div>
    <w:div w:id="1600868321">
      <w:bodyDiv w:val="1"/>
      <w:marLeft w:val="0"/>
      <w:marRight w:val="0"/>
      <w:marTop w:val="0"/>
      <w:marBottom w:val="0"/>
      <w:divBdr>
        <w:top w:val="none" w:sz="0" w:space="0" w:color="auto"/>
        <w:left w:val="none" w:sz="0" w:space="0" w:color="auto"/>
        <w:bottom w:val="none" w:sz="0" w:space="0" w:color="auto"/>
        <w:right w:val="none" w:sz="0" w:space="0" w:color="auto"/>
      </w:divBdr>
    </w:div>
    <w:div w:id="1668555375">
      <w:bodyDiv w:val="1"/>
      <w:marLeft w:val="0"/>
      <w:marRight w:val="0"/>
      <w:marTop w:val="0"/>
      <w:marBottom w:val="0"/>
      <w:divBdr>
        <w:top w:val="none" w:sz="0" w:space="0" w:color="auto"/>
        <w:left w:val="none" w:sz="0" w:space="0" w:color="auto"/>
        <w:bottom w:val="none" w:sz="0" w:space="0" w:color="auto"/>
        <w:right w:val="none" w:sz="0" w:space="0" w:color="auto"/>
      </w:divBdr>
      <w:divsChild>
        <w:div w:id="89476824">
          <w:marLeft w:val="446"/>
          <w:marRight w:val="0"/>
          <w:marTop w:val="0"/>
          <w:marBottom w:val="0"/>
          <w:divBdr>
            <w:top w:val="none" w:sz="0" w:space="0" w:color="auto"/>
            <w:left w:val="none" w:sz="0" w:space="0" w:color="auto"/>
            <w:bottom w:val="none" w:sz="0" w:space="0" w:color="auto"/>
            <w:right w:val="none" w:sz="0" w:space="0" w:color="auto"/>
          </w:divBdr>
        </w:div>
        <w:div w:id="783228020">
          <w:marLeft w:val="446"/>
          <w:marRight w:val="0"/>
          <w:marTop w:val="0"/>
          <w:marBottom w:val="0"/>
          <w:divBdr>
            <w:top w:val="none" w:sz="0" w:space="0" w:color="auto"/>
            <w:left w:val="none" w:sz="0" w:space="0" w:color="auto"/>
            <w:bottom w:val="none" w:sz="0" w:space="0" w:color="auto"/>
            <w:right w:val="none" w:sz="0" w:space="0" w:color="auto"/>
          </w:divBdr>
        </w:div>
        <w:div w:id="838616798">
          <w:marLeft w:val="446"/>
          <w:marRight w:val="0"/>
          <w:marTop w:val="0"/>
          <w:marBottom w:val="0"/>
          <w:divBdr>
            <w:top w:val="none" w:sz="0" w:space="0" w:color="auto"/>
            <w:left w:val="none" w:sz="0" w:space="0" w:color="auto"/>
            <w:bottom w:val="none" w:sz="0" w:space="0" w:color="auto"/>
            <w:right w:val="none" w:sz="0" w:space="0" w:color="auto"/>
          </w:divBdr>
        </w:div>
        <w:div w:id="947739177">
          <w:marLeft w:val="446"/>
          <w:marRight w:val="0"/>
          <w:marTop w:val="0"/>
          <w:marBottom w:val="0"/>
          <w:divBdr>
            <w:top w:val="none" w:sz="0" w:space="0" w:color="auto"/>
            <w:left w:val="none" w:sz="0" w:space="0" w:color="auto"/>
            <w:bottom w:val="none" w:sz="0" w:space="0" w:color="auto"/>
            <w:right w:val="none" w:sz="0" w:space="0" w:color="auto"/>
          </w:divBdr>
        </w:div>
        <w:div w:id="1226641506">
          <w:marLeft w:val="446"/>
          <w:marRight w:val="0"/>
          <w:marTop w:val="0"/>
          <w:marBottom w:val="0"/>
          <w:divBdr>
            <w:top w:val="none" w:sz="0" w:space="0" w:color="auto"/>
            <w:left w:val="none" w:sz="0" w:space="0" w:color="auto"/>
            <w:bottom w:val="none" w:sz="0" w:space="0" w:color="auto"/>
            <w:right w:val="none" w:sz="0" w:space="0" w:color="auto"/>
          </w:divBdr>
        </w:div>
        <w:div w:id="1663191344">
          <w:marLeft w:val="446"/>
          <w:marRight w:val="0"/>
          <w:marTop w:val="0"/>
          <w:marBottom w:val="0"/>
          <w:divBdr>
            <w:top w:val="none" w:sz="0" w:space="0" w:color="auto"/>
            <w:left w:val="none" w:sz="0" w:space="0" w:color="auto"/>
            <w:bottom w:val="none" w:sz="0" w:space="0" w:color="auto"/>
            <w:right w:val="none" w:sz="0" w:space="0" w:color="auto"/>
          </w:divBdr>
        </w:div>
        <w:div w:id="1695770493">
          <w:marLeft w:val="446"/>
          <w:marRight w:val="0"/>
          <w:marTop w:val="0"/>
          <w:marBottom w:val="0"/>
          <w:divBdr>
            <w:top w:val="none" w:sz="0" w:space="0" w:color="auto"/>
            <w:left w:val="none" w:sz="0" w:space="0" w:color="auto"/>
            <w:bottom w:val="none" w:sz="0" w:space="0" w:color="auto"/>
            <w:right w:val="none" w:sz="0" w:space="0" w:color="auto"/>
          </w:divBdr>
        </w:div>
      </w:divsChild>
    </w:div>
    <w:div w:id="1712992452">
      <w:bodyDiv w:val="1"/>
      <w:marLeft w:val="0"/>
      <w:marRight w:val="0"/>
      <w:marTop w:val="0"/>
      <w:marBottom w:val="0"/>
      <w:divBdr>
        <w:top w:val="none" w:sz="0" w:space="0" w:color="auto"/>
        <w:left w:val="none" w:sz="0" w:space="0" w:color="auto"/>
        <w:bottom w:val="none" w:sz="0" w:space="0" w:color="auto"/>
        <w:right w:val="none" w:sz="0" w:space="0" w:color="auto"/>
      </w:divBdr>
    </w:div>
    <w:div w:id="1852791422">
      <w:bodyDiv w:val="1"/>
      <w:marLeft w:val="0"/>
      <w:marRight w:val="0"/>
      <w:marTop w:val="0"/>
      <w:marBottom w:val="0"/>
      <w:divBdr>
        <w:top w:val="none" w:sz="0" w:space="0" w:color="auto"/>
        <w:left w:val="none" w:sz="0" w:space="0" w:color="auto"/>
        <w:bottom w:val="none" w:sz="0" w:space="0" w:color="auto"/>
        <w:right w:val="none" w:sz="0" w:space="0" w:color="auto"/>
      </w:divBdr>
    </w:div>
    <w:div w:id="1982805305">
      <w:bodyDiv w:val="1"/>
      <w:marLeft w:val="0"/>
      <w:marRight w:val="0"/>
      <w:marTop w:val="0"/>
      <w:marBottom w:val="0"/>
      <w:divBdr>
        <w:top w:val="none" w:sz="0" w:space="0" w:color="auto"/>
        <w:left w:val="none" w:sz="0" w:space="0" w:color="auto"/>
        <w:bottom w:val="none" w:sz="0" w:space="0" w:color="auto"/>
        <w:right w:val="none" w:sz="0" w:space="0" w:color="auto"/>
      </w:divBdr>
    </w:div>
    <w:div w:id="2108651973">
      <w:bodyDiv w:val="1"/>
      <w:marLeft w:val="0"/>
      <w:marRight w:val="0"/>
      <w:marTop w:val="0"/>
      <w:marBottom w:val="0"/>
      <w:divBdr>
        <w:top w:val="none" w:sz="0" w:space="0" w:color="auto"/>
        <w:left w:val="none" w:sz="0" w:space="0" w:color="auto"/>
        <w:bottom w:val="none" w:sz="0" w:space="0" w:color="auto"/>
        <w:right w:val="none" w:sz="0" w:space="0" w:color="auto"/>
      </w:divBdr>
      <w:divsChild>
        <w:div w:id="348720449">
          <w:marLeft w:val="2160"/>
          <w:marRight w:val="0"/>
          <w:marTop w:val="0"/>
          <w:marBottom w:val="0"/>
          <w:divBdr>
            <w:top w:val="none" w:sz="0" w:space="0" w:color="auto"/>
            <w:left w:val="none" w:sz="0" w:space="0" w:color="auto"/>
            <w:bottom w:val="none" w:sz="0" w:space="0" w:color="auto"/>
            <w:right w:val="none" w:sz="0" w:space="0" w:color="auto"/>
          </w:divBdr>
        </w:div>
        <w:div w:id="729378697">
          <w:marLeft w:val="21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Prin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ussole21.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5358E509-D0E4-4F1F-A53F-0A9143E0E408}">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9658</Words>
  <Characters>53119</Characters>
  <Application>Microsoft Office Word</Application>
  <DocSecurity>0</DocSecurity>
  <Lines>442</Lines>
  <Paragraphs>125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Pigni Sibylla</dc:creator>
  <cp:lastModifiedBy>Zbinden-Barras Marianne</cp:lastModifiedBy>
  <cp:revision>24</cp:revision>
  <cp:lastPrinted>2020-02-27T08:33:00Z</cp:lastPrinted>
  <dcterms:created xsi:type="dcterms:W3CDTF">2020-07-28T10:06:00Z</dcterms:created>
  <dcterms:modified xsi:type="dcterms:W3CDTF">2020-09-02T06:22:00Z</dcterms:modified>
</cp:coreProperties>
</file>