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A46" w:rsidRPr="00094D5A" w:rsidRDefault="00E625F9" w:rsidP="004B3323">
      <w:pPr>
        <w:pBdr>
          <w:bottom w:val="single" w:sz="4" w:space="1" w:color="auto"/>
        </w:pBdr>
        <w:rPr>
          <w:i/>
          <w:lang w:val="de-CH"/>
        </w:rPr>
      </w:pPr>
      <w:r w:rsidRPr="00DE60E2">
        <w:rPr>
          <w:i/>
          <w:lang w:val="de-CH"/>
        </w:rPr>
        <w:t>Fachschaft der deutschsprachigen Psychologie &amp; Pädagogik-Lehrpersonen</w:t>
      </w:r>
      <w:r w:rsidR="00983D83" w:rsidRPr="00DE60E2">
        <w:rPr>
          <w:i/>
          <w:lang w:val="de-CH"/>
        </w:rPr>
        <w:t xml:space="preserve"> der Gymnasien </w:t>
      </w:r>
      <w:r w:rsidR="009B69CE" w:rsidRPr="00DE60E2">
        <w:rPr>
          <w:i/>
          <w:lang w:val="de-CH"/>
        </w:rPr>
        <w:t>Heilig Kreuz</w:t>
      </w:r>
      <w:r w:rsidR="00983D83" w:rsidRPr="00DE60E2">
        <w:rPr>
          <w:i/>
          <w:lang w:val="de-CH"/>
        </w:rPr>
        <w:t>, St. Mich</w:t>
      </w:r>
      <w:r w:rsidR="009B69CE" w:rsidRPr="00DE60E2">
        <w:rPr>
          <w:i/>
          <w:lang w:val="de-CH"/>
        </w:rPr>
        <w:t>a</w:t>
      </w:r>
      <w:r w:rsidR="00983D83" w:rsidRPr="00DE60E2">
        <w:rPr>
          <w:i/>
          <w:lang w:val="de-CH"/>
        </w:rPr>
        <w:t xml:space="preserve">el und </w:t>
      </w:r>
      <w:proofErr w:type="spellStart"/>
      <w:r w:rsidR="00983D83" w:rsidRPr="00DE60E2">
        <w:rPr>
          <w:i/>
          <w:lang w:val="de-CH"/>
        </w:rPr>
        <w:t>Gambach</w:t>
      </w:r>
      <w:proofErr w:type="spellEnd"/>
    </w:p>
    <w:p w:rsidR="00E625F9" w:rsidRPr="00DE60E2" w:rsidRDefault="00E625F9" w:rsidP="004B3323">
      <w:pPr>
        <w:pBdr>
          <w:bottom w:val="single" w:sz="4" w:space="1" w:color="auto"/>
        </w:pBdr>
        <w:rPr>
          <w:b/>
          <w:lang w:val="de-CH"/>
        </w:rPr>
      </w:pPr>
      <w:proofErr w:type="spellStart"/>
      <w:r w:rsidRPr="00DE60E2">
        <w:rPr>
          <w:b/>
          <w:lang w:val="de-CH"/>
        </w:rPr>
        <w:t>Vernehmlassung</w:t>
      </w:r>
      <w:r w:rsidR="003C2205" w:rsidRPr="00DE60E2">
        <w:rPr>
          <w:b/>
          <w:lang w:val="de-CH"/>
        </w:rPr>
        <w:t>santwort</w:t>
      </w:r>
      <w:proofErr w:type="spellEnd"/>
      <w:r w:rsidR="003C2205" w:rsidRPr="00DE60E2">
        <w:rPr>
          <w:b/>
          <w:lang w:val="de-CH"/>
        </w:rPr>
        <w:t xml:space="preserve"> zum</w:t>
      </w:r>
      <w:r w:rsidRPr="00DE60E2">
        <w:rPr>
          <w:b/>
          <w:lang w:val="de-CH"/>
        </w:rPr>
        <w:t xml:space="preserve"> MSR</w:t>
      </w:r>
    </w:p>
    <w:p w:rsidR="00DE60E2" w:rsidRDefault="00DE60E2">
      <w:pPr>
        <w:rPr>
          <w:lang w:val="de-CH"/>
        </w:rPr>
      </w:pPr>
      <w:bookmarkStart w:id="0" w:name="_GoBack"/>
      <w:bookmarkEnd w:id="0"/>
    </w:p>
    <w:p w:rsidR="00DE60E2" w:rsidRDefault="00094D5A">
      <w:pPr>
        <w:rPr>
          <w:lang w:val="de-CH"/>
        </w:rPr>
      </w:pPr>
      <w:r>
        <w:rPr>
          <w:lang w:val="de-CH"/>
        </w:rPr>
        <w:t>Sehr geehrte Damen und Herren,</w:t>
      </w:r>
    </w:p>
    <w:p w:rsidR="00DE60E2" w:rsidRDefault="00DE60E2">
      <w:pPr>
        <w:rPr>
          <w:lang w:val="de-CH"/>
        </w:rPr>
      </w:pPr>
      <w:r>
        <w:rPr>
          <w:lang w:val="de-CH"/>
        </w:rPr>
        <w:t>Wir haben den vorgelegten Entwurf zum MSR eingehend studiert und möchten Ihnen aus unserer Perspektive einige Beobachtungen und Optimierungsvorschläge zukommen lassen. Sie beziehen sich auf drei Aspekte: 1. Lehrplan, 2. Klassengrössen und 3. Fachschaften.</w:t>
      </w:r>
    </w:p>
    <w:p w:rsidR="00E625F9" w:rsidRDefault="00E625F9">
      <w:pPr>
        <w:rPr>
          <w:lang w:val="de-CH"/>
        </w:rPr>
      </w:pPr>
    </w:p>
    <w:tbl>
      <w:tblPr>
        <w:tblStyle w:val="Tabellenraster"/>
        <w:tblW w:w="0" w:type="auto"/>
        <w:tblLook w:val="04A0" w:firstRow="1" w:lastRow="0" w:firstColumn="1" w:lastColumn="0" w:noHBand="0" w:noVBand="1"/>
      </w:tblPr>
      <w:tblGrid>
        <w:gridCol w:w="5949"/>
        <w:gridCol w:w="8045"/>
      </w:tblGrid>
      <w:tr w:rsidR="00E625F9" w:rsidRPr="00DE60E2" w:rsidTr="008C6004">
        <w:tc>
          <w:tcPr>
            <w:tcW w:w="5949" w:type="dxa"/>
          </w:tcPr>
          <w:p w:rsidR="00E625F9" w:rsidRPr="00983CF8" w:rsidRDefault="00E625F9">
            <w:pPr>
              <w:rPr>
                <w:b/>
                <w:sz w:val="20"/>
                <w:szCs w:val="20"/>
                <w:lang w:val="de-CH"/>
              </w:rPr>
            </w:pPr>
            <w:r w:rsidRPr="00983CF8">
              <w:rPr>
                <w:b/>
                <w:sz w:val="20"/>
                <w:szCs w:val="20"/>
                <w:lang w:val="de-CH"/>
              </w:rPr>
              <w:t>Artikel</w:t>
            </w:r>
          </w:p>
        </w:tc>
        <w:tc>
          <w:tcPr>
            <w:tcW w:w="8045" w:type="dxa"/>
          </w:tcPr>
          <w:p w:rsidR="00E625F9" w:rsidRPr="00983CF8" w:rsidRDefault="00E625F9">
            <w:pPr>
              <w:rPr>
                <w:b/>
                <w:sz w:val="20"/>
                <w:szCs w:val="20"/>
                <w:lang w:val="de-CH"/>
              </w:rPr>
            </w:pPr>
            <w:r w:rsidRPr="00983CF8">
              <w:rPr>
                <w:b/>
                <w:sz w:val="20"/>
                <w:szCs w:val="20"/>
                <w:lang w:val="de-CH"/>
              </w:rPr>
              <w:t>Kommentar</w:t>
            </w:r>
            <w:r w:rsidR="004D6274">
              <w:rPr>
                <w:b/>
                <w:sz w:val="20"/>
                <w:szCs w:val="20"/>
                <w:lang w:val="de-CH"/>
              </w:rPr>
              <w:t xml:space="preserve"> und Vorschlag</w:t>
            </w:r>
          </w:p>
        </w:tc>
      </w:tr>
      <w:tr w:rsidR="00E34DC0" w:rsidRPr="00983D83" w:rsidTr="008C6004">
        <w:tc>
          <w:tcPr>
            <w:tcW w:w="5949" w:type="dxa"/>
          </w:tcPr>
          <w:p w:rsidR="00E34DC0" w:rsidRPr="00983CF8" w:rsidRDefault="00E34DC0" w:rsidP="00E34DC0">
            <w:pPr>
              <w:pStyle w:val="berschrift3"/>
              <w:keepNext w:val="0"/>
              <w:widowControl w:val="0"/>
              <w:tabs>
                <w:tab w:val="left" w:pos="1026"/>
              </w:tabs>
              <w:outlineLvl w:val="2"/>
              <w:rPr>
                <w:color w:val="000000" w:themeColor="text1"/>
                <w:lang w:val="de-CH"/>
              </w:rPr>
            </w:pPr>
            <w:r w:rsidRPr="00983CF8">
              <w:rPr>
                <w:color w:val="000000" w:themeColor="text1"/>
                <w:lang w:val="de-CH"/>
              </w:rPr>
              <w:t xml:space="preserve">3. Lehrplan (Art. </w:t>
            </w:r>
            <w:r w:rsidRPr="00983CF8">
              <w:rPr>
                <w:color w:val="FF0000"/>
                <w:lang w:val="de-CH"/>
              </w:rPr>
              <w:t>17</w:t>
            </w:r>
            <w:r w:rsidRPr="00983CF8">
              <w:rPr>
                <w:color w:val="000000" w:themeColor="text1"/>
                <w:lang w:val="de-CH"/>
              </w:rPr>
              <w:t xml:space="preserve"> MSG)</w:t>
            </w:r>
          </w:p>
          <w:p w:rsidR="00E34DC0" w:rsidRPr="00983CF8" w:rsidRDefault="00E34DC0" w:rsidP="00E34DC0">
            <w:pPr>
              <w:pStyle w:val="NoArt"/>
              <w:keepNext w:val="0"/>
              <w:widowControl w:val="0"/>
              <w:tabs>
                <w:tab w:val="left" w:pos="1026"/>
              </w:tabs>
              <w:rPr>
                <w:color w:val="000000" w:themeColor="text1"/>
                <w:lang w:val="de-CH"/>
              </w:rPr>
            </w:pPr>
            <w:r w:rsidRPr="00983CF8">
              <w:rPr>
                <w:b/>
                <w:color w:val="000000" w:themeColor="text1"/>
                <w:lang w:val="de-CH"/>
              </w:rPr>
              <w:t>Art. 20</w:t>
            </w:r>
            <w:r w:rsidRPr="00983CF8">
              <w:rPr>
                <w:b/>
                <w:color w:val="000000" w:themeColor="text1"/>
                <w:lang w:val="de-CH"/>
              </w:rPr>
              <w:tab/>
            </w:r>
            <w:r w:rsidRPr="00983CF8">
              <w:rPr>
                <w:color w:val="000000" w:themeColor="text1"/>
                <w:lang w:val="de-CH"/>
              </w:rPr>
              <w:t>Inhalt</w:t>
            </w:r>
          </w:p>
          <w:p w:rsidR="00E34DC0" w:rsidRPr="00983CF8" w:rsidRDefault="00E34DC0" w:rsidP="00E34DC0">
            <w:pPr>
              <w:widowControl w:val="0"/>
              <w:tabs>
                <w:tab w:val="left" w:pos="1026"/>
              </w:tabs>
              <w:rPr>
                <w:color w:val="000000" w:themeColor="text1"/>
                <w:sz w:val="20"/>
                <w:szCs w:val="20"/>
                <w:lang w:val="de-CH"/>
              </w:rPr>
            </w:pPr>
            <w:r w:rsidRPr="00983CF8">
              <w:rPr>
                <w:color w:val="000000" w:themeColor="text1"/>
                <w:sz w:val="20"/>
                <w:szCs w:val="20"/>
                <w:lang w:val="de-CH"/>
              </w:rPr>
              <w:t xml:space="preserve">Für jeden Bildungsgang erlässt die </w:t>
            </w:r>
            <w:r w:rsidRPr="00983CF8">
              <w:rPr>
                <w:color w:val="FF0000"/>
                <w:sz w:val="20"/>
                <w:szCs w:val="20"/>
                <w:lang w:val="de-CH"/>
              </w:rPr>
              <w:t>Direktion, auf Vorschlag der Schuldirektorenkonferenz und der Fachschaften</w:t>
            </w:r>
            <w:r w:rsidRPr="00983CF8">
              <w:rPr>
                <w:color w:val="000000" w:themeColor="text1"/>
                <w:sz w:val="20"/>
                <w:szCs w:val="20"/>
                <w:lang w:val="de-CH"/>
              </w:rPr>
              <w:t xml:space="preserve">, einen Lehrplan. </w:t>
            </w:r>
            <w:r w:rsidRPr="00983CF8">
              <w:rPr>
                <w:color w:val="FF0000"/>
                <w:sz w:val="20"/>
                <w:szCs w:val="20"/>
                <w:lang w:val="de-CH"/>
              </w:rPr>
              <w:t>Dieser</w:t>
            </w:r>
            <w:r w:rsidRPr="00983CF8">
              <w:rPr>
                <w:color w:val="000000" w:themeColor="text1"/>
                <w:sz w:val="20"/>
                <w:szCs w:val="20"/>
                <w:lang w:val="de-CH"/>
              </w:rPr>
              <w:t xml:space="preserve"> legt insbesondere </w:t>
            </w:r>
            <w:r w:rsidRPr="00983CF8">
              <w:rPr>
                <w:color w:val="FF0000"/>
                <w:sz w:val="20"/>
                <w:szCs w:val="20"/>
                <w:lang w:val="de-CH"/>
              </w:rPr>
              <w:t>Folgendes</w:t>
            </w:r>
            <w:r w:rsidRPr="00983CF8">
              <w:rPr>
                <w:color w:val="000000" w:themeColor="text1"/>
                <w:sz w:val="20"/>
                <w:szCs w:val="20"/>
                <w:lang w:val="de-CH"/>
              </w:rPr>
              <w:t xml:space="preserve"> fest:</w:t>
            </w:r>
          </w:p>
          <w:p w:rsidR="00E34DC0" w:rsidRPr="00983CF8" w:rsidRDefault="00E34DC0" w:rsidP="00E34DC0">
            <w:pPr>
              <w:widowControl w:val="0"/>
              <w:tabs>
                <w:tab w:val="left" w:pos="1026"/>
              </w:tabs>
              <w:ind w:left="317" w:hanging="317"/>
              <w:rPr>
                <w:color w:val="000000" w:themeColor="text1"/>
                <w:sz w:val="20"/>
                <w:szCs w:val="20"/>
                <w:lang w:val="de-CH"/>
              </w:rPr>
            </w:pPr>
            <w:r w:rsidRPr="00983CF8">
              <w:rPr>
                <w:color w:val="000000" w:themeColor="text1"/>
                <w:sz w:val="20"/>
                <w:szCs w:val="20"/>
                <w:lang w:val="de-CH"/>
              </w:rPr>
              <w:t>a)</w:t>
            </w:r>
            <w:r w:rsidRPr="00983CF8">
              <w:rPr>
                <w:color w:val="000000" w:themeColor="text1"/>
                <w:sz w:val="20"/>
                <w:szCs w:val="20"/>
                <w:lang w:val="de-CH"/>
              </w:rPr>
              <w:tab/>
              <w:t xml:space="preserve">die </w:t>
            </w:r>
            <w:r w:rsidRPr="00983CF8">
              <w:rPr>
                <w:color w:val="FF0000"/>
                <w:sz w:val="20"/>
                <w:szCs w:val="20"/>
                <w:lang w:val="de-CH"/>
              </w:rPr>
              <w:t xml:space="preserve">zu </w:t>
            </w:r>
            <w:r w:rsidRPr="00983CF8">
              <w:rPr>
                <w:color w:val="FF0000"/>
                <w:sz w:val="20"/>
                <w:szCs w:val="20"/>
                <w:highlight w:val="yellow"/>
                <w:lang w:val="de-CH"/>
              </w:rPr>
              <w:t xml:space="preserve">erreichenden </w:t>
            </w:r>
            <w:r w:rsidRPr="00983CF8">
              <w:rPr>
                <w:color w:val="000000" w:themeColor="text1"/>
                <w:sz w:val="20"/>
                <w:szCs w:val="20"/>
                <w:highlight w:val="yellow"/>
                <w:lang w:val="de-CH"/>
              </w:rPr>
              <w:t xml:space="preserve">Ziele und </w:t>
            </w:r>
            <w:r w:rsidRPr="00983CF8">
              <w:rPr>
                <w:color w:val="FF0000"/>
                <w:sz w:val="20"/>
                <w:szCs w:val="20"/>
                <w:highlight w:val="yellow"/>
                <w:lang w:val="de-CH"/>
              </w:rPr>
              <w:t>Kompetenzen sowie die zu behandelnden Inhalte</w:t>
            </w:r>
            <w:r w:rsidRPr="00983CF8">
              <w:rPr>
                <w:color w:val="000000" w:themeColor="text1"/>
                <w:sz w:val="20"/>
                <w:szCs w:val="20"/>
                <w:highlight w:val="yellow"/>
                <w:lang w:val="de-CH"/>
              </w:rPr>
              <w:t>;</w:t>
            </w:r>
          </w:p>
          <w:p w:rsidR="00E34DC0" w:rsidRPr="00983CF8" w:rsidRDefault="00E34DC0" w:rsidP="00E34DC0">
            <w:pPr>
              <w:widowControl w:val="0"/>
              <w:tabs>
                <w:tab w:val="left" w:pos="1026"/>
              </w:tabs>
              <w:ind w:left="317" w:hanging="317"/>
              <w:rPr>
                <w:color w:val="000000" w:themeColor="text1"/>
                <w:sz w:val="20"/>
                <w:szCs w:val="20"/>
                <w:lang w:val="de-CH"/>
              </w:rPr>
            </w:pPr>
            <w:r w:rsidRPr="00983CF8">
              <w:rPr>
                <w:color w:val="000000" w:themeColor="text1"/>
                <w:sz w:val="20"/>
                <w:szCs w:val="20"/>
                <w:lang w:val="de-CH"/>
              </w:rPr>
              <w:t>b)</w:t>
            </w:r>
            <w:r w:rsidRPr="00983CF8">
              <w:rPr>
                <w:color w:val="000000" w:themeColor="text1"/>
                <w:sz w:val="20"/>
                <w:szCs w:val="20"/>
                <w:lang w:val="de-CH"/>
              </w:rPr>
              <w:tab/>
              <w:t xml:space="preserve">die </w:t>
            </w:r>
            <w:r w:rsidRPr="00983CF8">
              <w:rPr>
                <w:color w:val="FF0000"/>
                <w:sz w:val="20"/>
                <w:szCs w:val="20"/>
                <w:lang w:val="de-CH"/>
              </w:rPr>
              <w:t xml:space="preserve">möglichen </w:t>
            </w:r>
            <w:r w:rsidRPr="00983CF8">
              <w:rPr>
                <w:color w:val="000000" w:themeColor="text1"/>
                <w:sz w:val="20"/>
                <w:szCs w:val="20"/>
                <w:lang w:val="de-CH"/>
              </w:rPr>
              <w:t xml:space="preserve">offiziellen </w:t>
            </w:r>
            <w:r w:rsidRPr="00983CF8">
              <w:rPr>
                <w:color w:val="FF0000"/>
                <w:sz w:val="20"/>
                <w:szCs w:val="20"/>
                <w:lang w:val="de-CH"/>
              </w:rPr>
              <w:t>Lehrmittel;</w:t>
            </w:r>
          </w:p>
          <w:p w:rsidR="00E34DC0" w:rsidRPr="00983CF8" w:rsidRDefault="00E34DC0" w:rsidP="00E34DC0">
            <w:pPr>
              <w:widowControl w:val="0"/>
              <w:tabs>
                <w:tab w:val="left" w:pos="1026"/>
              </w:tabs>
              <w:ind w:left="317" w:hanging="317"/>
              <w:rPr>
                <w:color w:val="000000" w:themeColor="text1"/>
                <w:sz w:val="20"/>
                <w:szCs w:val="20"/>
                <w:lang w:val="de-CH"/>
              </w:rPr>
            </w:pPr>
            <w:r w:rsidRPr="00983CF8">
              <w:rPr>
                <w:color w:val="000000" w:themeColor="text1"/>
                <w:sz w:val="20"/>
                <w:szCs w:val="20"/>
                <w:lang w:val="de-CH"/>
              </w:rPr>
              <w:t>c)</w:t>
            </w:r>
            <w:r w:rsidRPr="00983CF8">
              <w:rPr>
                <w:color w:val="000000" w:themeColor="text1"/>
                <w:sz w:val="20"/>
                <w:szCs w:val="20"/>
                <w:lang w:val="de-CH"/>
              </w:rPr>
              <w:tab/>
            </w:r>
            <w:r w:rsidRPr="00983CF8">
              <w:rPr>
                <w:color w:val="FF0000"/>
                <w:sz w:val="20"/>
                <w:szCs w:val="20"/>
                <w:highlight w:val="yellow"/>
                <w:lang w:val="de-CH"/>
              </w:rPr>
              <w:t>die methodologischen und didaktischen Vorgaben</w:t>
            </w:r>
            <w:r w:rsidRPr="00983CF8">
              <w:rPr>
                <w:color w:val="000000" w:themeColor="text1"/>
                <w:sz w:val="20"/>
                <w:szCs w:val="20"/>
                <w:highlight w:val="yellow"/>
                <w:lang w:val="de-CH"/>
              </w:rPr>
              <w:t>;</w:t>
            </w:r>
          </w:p>
          <w:p w:rsidR="00E34DC0" w:rsidRPr="00983CF8" w:rsidRDefault="00E34DC0" w:rsidP="00E34DC0">
            <w:pPr>
              <w:rPr>
                <w:b/>
                <w:sz w:val="20"/>
                <w:szCs w:val="20"/>
                <w:lang w:val="de-CH"/>
              </w:rPr>
            </w:pPr>
            <w:r w:rsidRPr="00983CF8">
              <w:rPr>
                <w:color w:val="000000" w:themeColor="text1"/>
                <w:sz w:val="20"/>
                <w:szCs w:val="20"/>
                <w:lang w:val="de-CH"/>
              </w:rPr>
              <w:t>d) die Stundentafel.</w:t>
            </w:r>
          </w:p>
        </w:tc>
        <w:tc>
          <w:tcPr>
            <w:tcW w:w="8045" w:type="dxa"/>
          </w:tcPr>
          <w:p w:rsidR="00E34DC0" w:rsidRPr="00983CF8" w:rsidRDefault="00E34DC0" w:rsidP="00E34DC0">
            <w:pPr>
              <w:pStyle w:val="Listenabsatz"/>
              <w:numPr>
                <w:ilvl w:val="0"/>
                <w:numId w:val="3"/>
              </w:numPr>
              <w:spacing w:line="240" w:lineRule="auto"/>
              <w:rPr>
                <w:lang w:val="de-CH"/>
              </w:rPr>
            </w:pPr>
            <w:r w:rsidRPr="00983CF8">
              <w:rPr>
                <w:lang w:val="de-CH"/>
              </w:rPr>
              <w:t xml:space="preserve">Im Sinne der Lehrfreiheit und der Adaptivität sowie wandelnder fachdidaktischer Modelle, macht es keinen Sinn, didaktische </w:t>
            </w:r>
            <w:r w:rsidRPr="00983CF8">
              <w:rPr>
                <w:i/>
                <w:lang w:val="de-CH"/>
              </w:rPr>
              <w:t>Vorgaben</w:t>
            </w:r>
            <w:r w:rsidRPr="00983CF8">
              <w:rPr>
                <w:lang w:val="de-CH"/>
              </w:rPr>
              <w:t xml:space="preserve"> zu machen. Didaktische Methoden erwerben Lehrpersonen im Rahmen ihrer Ausbildung. </w:t>
            </w:r>
          </w:p>
          <w:p w:rsidR="00DE169D" w:rsidRPr="00CF330F" w:rsidRDefault="00454912" w:rsidP="00CF330F">
            <w:pPr>
              <w:pStyle w:val="Listenabsatz"/>
              <w:numPr>
                <w:ilvl w:val="0"/>
                <w:numId w:val="3"/>
              </w:numPr>
              <w:spacing w:line="240" w:lineRule="auto"/>
              <w:rPr>
                <w:lang w:val="de-CH"/>
              </w:rPr>
            </w:pPr>
            <w:r w:rsidRPr="00983CF8">
              <w:rPr>
                <w:lang w:val="de-CH"/>
              </w:rPr>
              <w:t xml:space="preserve">In einer Kompetenz orientierten Logik macht es eigentlich wenig Sinn, </w:t>
            </w:r>
            <w:r w:rsidR="006A7C5F" w:rsidRPr="00983CF8">
              <w:rPr>
                <w:lang w:val="de-CH"/>
              </w:rPr>
              <w:t>alle</w:t>
            </w:r>
            <w:r w:rsidRPr="00983CF8">
              <w:rPr>
                <w:lang w:val="de-CH"/>
              </w:rPr>
              <w:t xml:space="preserve"> Inhalte genau festzulegen. Die Formulierung widerspiegelt, dass man sich </w:t>
            </w:r>
            <w:r w:rsidR="006A7C5F" w:rsidRPr="00983CF8">
              <w:rPr>
                <w:lang w:val="de-CH"/>
              </w:rPr>
              <w:t xml:space="preserve">wohl </w:t>
            </w:r>
            <w:r w:rsidRPr="00983CF8">
              <w:rPr>
                <w:lang w:val="de-CH"/>
              </w:rPr>
              <w:t xml:space="preserve">nicht entscheiden kann, welche Form der Lehrplan haben soll: Wie bisher Inhalte auflisten, Ziele oder </w:t>
            </w:r>
            <w:r w:rsidR="006A7C5F" w:rsidRPr="00983CF8">
              <w:rPr>
                <w:lang w:val="de-CH"/>
              </w:rPr>
              <w:t xml:space="preserve">tatsächlich </w:t>
            </w:r>
            <w:r w:rsidRPr="00983CF8">
              <w:rPr>
                <w:lang w:val="de-CH"/>
              </w:rPr>
              <w:t>Kompetenzen.</w:t>
            </w:r>
            <w:r w:rsidR="00527382" w:rsidRPr="00983CF8">
              <w:rPr>
                <w:lang w:val="de-CH"/>
              </w:rPr>
              <w:t xml:space="preserve"> </w:t>
            </w:r>
            <w:r w:rsidR="0069096C" w:rsidRPr="00983CF8">
              <w:rPr>
                <w:lang w:val="de-CH"/>
              </w:rPr>
              <w:t xml:space="preserve">Es wird auch kaum klar, inwiefern Ziele und Kompetenzen aufeinander bezogen sind (werden sie als Synonyme verwendet oder müssen immer beide enthalten sein?) </w:t>
            </w:r>
            <w:r w:rsidR="00527382" w:rsidRPr="00983CF8">
              <w:rPr>
                <w:lang w:val="de-CH"/>
              </w:rPr>
              <w:t>Kompetenzen kann man immer an verschiedenen Inhalten erarbeiten</w:t>
            </w:r>
            <w:r w:rsidR="006D7048" w:rsidRPr="00983CF8">
              <w:rPr>
                <w:lang w:val="de-CH"/>
              </w:rPr>
              <w:t xml:space="preserve"> und eine 1:1-Zuordnung macht kaum Sinn</w:t>
            </w:r>
            <w:r w:rsidR="00527382" w:rsidRPr="00983CF8">
              <w:rPr>
                <w:lang w:val="de-CH"/>
              </w:rPr>
              <w:t>.</w:t>
            </w:r>
          </w:p>
          <w:p w:rsidR="00E34DC0" w:rsidRPr="00983CF8" w:rsidRDefault="00E34DC0">
            <w:pPr>
              <w:rPr>
                <w:sz w:val="20"/>
                <w:szCs w:val="20"/>
                <w:lang w:val="de-CH"/>
              </w:rPr>
            </w:pPr>
            <w:r w:rsidRPr="00983CF8">
              <w:rPr>
                <w:sz w:val="20"/>
                <w:szCs w:val="20"/>
                <w:lang w:val="de-CH"/>
              </w:rPr>
              <w:t>Vorschlag</w:t>
            </w:r>
            <w:r w:rsidRPr="00983CF8">
              <w:rPr>
                <w:sz w:val="20"/>
                <w:szCs w:val="20"/>
                <w:lang w:val="de-CH"/>
              </w:rPr>
              <w:sym w:font="Wingdings" w:char="F0E0"/>
            </w:r>
            <w:r w:rsidRPr="00983CF8">
              <w:rPr>
                <w:sz w:val="20"/>
                <w:szCs w:val="20"/>
                <w:lang w:val="de-CH"/>
              </w:rPr>
              <w:t xml:space="preserve"> andere Formulierung:</w:t>
            </w:r>
          </w:p>
          <w:p w:rsidR="00E34DC0" w:rsidRPr="00983CF8" w:rsidRDefault="00454912">
            <w:pPr>
              <w:rPr>
                <w:sz w:val="20"/>
                <w:szCs w:val="20"/>
                <w:lang w:val="de-CH"/>
              </w:rPr>
            </w:pPr>
            <w:r w:rsidRPr="00983CF8">
              <w:rPr>
                <w:sz w:val="20"/>
                <w:szCs w:val="20"/>
                <w:lang w:val="de-CH"/>
              </w:rPr>
              <w:t xml:space="preserve">a) die zu </w:t>
            </w:r>
            <w:r w:rsidRPr="00983CF8">
              <w:rPr>
                <w:b/>
                <w:sz w:val="20"/>
                <w:szCs w:val="20"/>
                <w:lang w:val="de-CH"/>
              </w:rPr>
              <w:t xml:space="preserve">erreichenden Kompetenzen und inhaltliche </w:t>
            </w:r>
            <w:r w:rsidR="004447CE" w:rsidRPr="00983CF8">
              <w:rPr>
                <w:b/>
                <w:sz w:val="20"/>
                <w:szCs w:val="20"/>
                <w:lang w:val="de-CH"/>
              </w:rPr>
              <w:t>Beispiel-Indikatoren</w:t>
            </w:r>
          </w:p>
          <w:p w:rsidR="00E34DC0" w:rsidRPr="00983CF8" w:rsidRDefault="00E34DC0" w:rsidP="00E34DC0">
            <w:pPr>
              <w:rPr>
                <w:sz w:val="20"/>
                <w:szCs w:val="20"/>
                <w:lang w:val="de-CH"/>
              </w:rPr>
            </w:pPr>
            <w:r w:rsidRPr="00983CF8">
              <w:rPr>
                <w:sz w:val="20"/>
                <w:szCs w:val="20"/>
                <w:lang w:val="de-CH"/>
              </w:rPr>
              <w:t xml:space="preserve">c) methodologische und didaktische </w:t>
            </w:r>
            <w:r w:rsidRPr="00983CF8">
              <w:rPr>
                <w:b/>
                <w:sz w:val="20"/>
                <w:szCs w:val="20"/>
                <w:lang w:val="de-CH"/>
              </w:rPr>
              <w:t>Empfehlungen</w:t>
            </w:r>
          </w:p>
        </w:tc>
      </w:tr>
      <w:tr w:rsidR="00E625F9" w:rsidRPr="00983CF8" w:rsidTr="008C6004">
        <w:tc>
          <w:tcPr>
            <w:tcW w:w="5949" w:type="dxa"/>
          </w:tcPr>
          <w:p w:rsidR="007A6B62" w:rsidRPr="00983CF8" w:rsidRDefault="007A6B62" w:rsidP="007A6B62">
            <w:pPr>
              <w:pStyle w:val="berschrift3"/>
              <w:keepNext w:val="0"/>
              <w:widowControl w:val="0"/>
              <w:tabs>
                <w:tab w:val="left" w:pos="1026"/>
              </w:tabs>
              <w:outlineLvl w:val="2"/>
              <w:rPr>
                <w:color w:val="000000" w:themeColor="text1"/>
                <w:lang w:val="de-CH"/>
              </w:rPr>
            </w:pPr>
            <w:r w:rsidRPr="00983CF8">
              <w:rPr>
                <w:color w:val="000000" w:themeColor="text1"/>
                <w:lang w:val="de-CH"/>
              </w:rPr>
              <w:t>6. Klassenbestände (Art. 23 MSG)</w:t>
            </w:r>
          </w:p>
          <w:p w:rsidR="007A6B62" w:rsidRPr="00983CF8" w:rsidRDefault="007A6B62" w:rsidP="007A6B62">
            <w:pPr>
              <w:pStyle w:val="NoArt"/>
              <w:keepNext w:val="0"/>
              <w:widowControl w:val="0"/>
              <w:tabs>
                <w:tab w:val="left" w:pos="1026"/>
              </w:tabs>
              <w:rPr>
                <w:color w:val="000000" w:themeColor="text1"/>
                <w:lang w:val="de-CH"/>
              </w:rPr>
            </w:pPr>
            <w:r w:rsidRPr="00983CF8">
              <w:rPr>
                <w:b/>
                <w:color w:val="000000" w:themeColor="text1"/>
                <w:lang w:val="de-CH"/>
              </w:rPr>
              <w:t>Art. 24</w:t>
            </w:r>
            <w:r w:rsidRPr="00983CF8">
              <w:rPr>
                <w:b/>
                <w:color w:val="000000" w:themeColor="text1"/>
                <w:lang w:val="de-CH"/>
              </w:rPr>
              <w:tab/>
            </w:r>
            <w:r w:rsidRPr="00983CF8">
              <w:rPr>
                <w:color w:val="000000" w:themeColor="text1"/>
                <w:lang w:val="de-CH"/>
              </w:rPr>
              <w:t>Grunds</w:t>
            </w:r>
            <w:r w:rsidRPr="00983CF8">
              <w:rPr>
                <w:color w:val="FF0000"/>
                <w:lang w:val="de-CH"/>
              </w:rPr>
              <w:t>ätze</w:t>
            </w:r>
          </w:p>
          <w:p w:rsidR="007A6B62" w:rsidRPr="00983CF8" w:rsidRDefault="007A6B62" w:rsidP="007A6B62">
            <w:pPr>
              <w:pStyle w:val="berschrift3"/>
              <w:keepNext w:val="0"/>
              <w:widowControl w:val="0"/>
              <w:tabs>
                <w:tab w:val="left" w:pos="1026"/>
              </w:tabs>
              <w:spacing w:before="0" w:after="80" w:line="220" w:lineRule="exact"/>
              <w:outlineLvl w:val="2"/>
              <w:rPr>
                <w:i w:val="0"/>
                <w:color w:val="000000" w:themeColor="text1"/>
                <w:lang w:val="de-CH"/>
              </w:rPr>
            </w:pPr>
            <w:r w:rsidRPr="00983CF8">
              <w:rPr>
                <w:i w:val="0"/>
                <w:vertAlign w:val="superscript"/>
                <w:lang w:val="de-CH"/>
              </w:rPr>
              <w:t xml:space="preserve">1 </w:t>
            </w:r>
            <w:r w:rsidRPr="00983CF8">
              <w:rPr>
                <w:i w:val="0"/>
                <w:color w:val="FF0000"/>
                <w:lang w:val="de-CH"/>
              </w:rPr>
              <w:t xml:space="preserve">Der angestrebte </w:t>
            </w:r>
            <w:r w:rsidRPr="00983CF8">
              <w:rPr>
                <w:i w:val="0"/>
                <w:color w:val="FF0000"/>
                <w:highlight w:val="yellow"/>
                <w:lang w:val="de-CH"/>
              </w:rPr>
              <w:t>durchschnittliche Klassenbestand einer Mitteschule beträgt 22 Schülerinnen und Schüler.</w:t>
            </w:r>
          </w:p>
          <w:p w:rsidR="007A6B62" w:rsidRPr="00983CF8" w:rsidRDefault="007A6B62" w:rsidP="007A6B62">
            <w:pPr>
              <w:pStyle w:val="berschrift3"/>
              <w:keepNext w:val="0"/>
              <w:widowControl w:val="0"/>
              <w:tabs>
                <w:tab w:val="left" w:pos="1026"/>
              </w:tabs>
              <w:spacing w:before="0" w:after="80" w:line="220" w:lineRule="exact"/>
              <w:outlineLvl w:val="2"/>
              <w:rPr>
                <w:color w:val="000000" w:themeColor="text1"/>
                <w:lang w:val="de-CH"/>
              </w:rPr>
            </w:pPr>
            <w:r w:rsidRPr="00983CF8">
              <w:rPr>
                <w:color w:val="FF0000"/>
                <w:vertAlign w:val="superscript"/>
                <w:lang w:val="de-CH"/>
              </w:rPr>
              <w:t>2</w:t>
            </w:r>
            <w:r w:rsidRPr="00983CF8">
              <w:rPr>
                <w:color w:val="FF0000"/>
                <w:lang w:val="de-CH"/>
              </w:rPr>
              <w:t xml:space="preserve"> </w:t>
            </w:r>
            <w:r w:rsidRPr="00983CF8">
              <w:rPr>
                <w:i w:val="0"/>
                <w:lang w:val="de-CH"/>
              </w:rPr>
              <w:t xml:space="preserve">Eine Mittelschulklasse hat mindestens 14 und </w:t>
            </w:r>
            <w:r w:rsidRPr="00983CF8">
              <w:rPr>
                <w:i w:val="0"/>
                <w:highlight w:val="yellow"/>
                <w:lang w:val="de-CH"/>
              </w:rPr>
              <w:t xml:space="preserve">höchstes 27 </w:t>
            </w:r>
            <w:r w:rsidRPr="00983CF8">
              <w:rPr>
                <w:i w:val="0"/>
                <w:color w:val="FF0000"/>
                <w:highlight w:val="yellow"/>
                <w:lang w:val="de-CH"/>
              </w:rPr>
              <w:t xml:space="preserve">Schülerinnen und </w:t>
            </w:r>
            <w:r w:rsidRPr="00983CF8">
              <w:rPr>
                <w:i w:val="0"/>
                <w:color w:val="000000" w:themeColor="text1"/>
                <w:highlight w:val="yellow"/>
                <w:lang w:val="de-CH"/>
              </w:rPr>
              <w:t>Schüler.</w:t>
            </w:r>
          </w:p>
          <w:p w:rsidR="007A6B62" w:rsidRPr="00983CF8" w:rsidRDefault="007A6B62" w:rsidP="007A6B62">
            <w:pPr>
              <w:pStyle w:val="NoArt"/>
              <w:keepNext w:val="0"/>
              <w:widowControl w:val="0"/>
              <w:tabs>
                <w:tab w:val="left" w:pos="1026"/>
              </w:tabs>
              <w:rPr>
                <w:color w:val="000000" w:themeColor="text1"/>
                <w:lang w:val="de-CH"/>
              </w:rPr>
            </w:pPr>
            <w:r w:rsidRPr="00983CF8">
              <w:rPr>
                <w:b/>
                <w:color w:val="000000" w:themeColor="text1"/>
                <w:lang w:val="de-CH"/>
              </w:rPr>
              <w:t>Art. 26</w:t>
            </w:r>
            <w:r w:rsidRPr="00983CF8">
              <w:rPr>
                <w:b/>
                <w:color w:val="000000" w:themeColor="text1"/>
                <w:lang w:val="de-CH"/>
              </w:rPr>
              <w:tab/>
            </w:r>
            <w:r w:rsidRPr="00983CF8">
              <w:rPr>
                <w:color w:val="000000" w:themeColor="text1"/>
                <w:lang w:val="de-CH"/>
              </w:rPr>
              <w:t xml:space="preserve">Wahlfächer, spezifische Fächer und Freifächer </w:t>
            </w:r>
          </w:p>
          <w:p w:rsidR="007A6B62" w:rsidRPr="00983CF8" w:rsidRDefault="007A6B62" w:rsidP="007A6B62">
            <w:pPr>
              <w:widowControl w:val="0"/>
              <w:tabs>
                <w:tab w:val="left" w:pos="1026"/>
              </w:tabs>
              <w:rPr>
                <w:color w:val="000000" w:themeColor="text1"/>
                <w:sz w:val="20"/>
                <w:szCs w:val="20"/>
                <w:lang w:val="de-CH"/>
              </w:rPr>
            </w:pPr>
            <w:r w:rsidRPr="00983CF8">
              <w:rPr>
                <w:color w:val="000000" w:themeColor="text1"/>
                <w:position w:val="6"/>
                <w:sz w:val="20"/>
                <w:szCs w:val="20"/>
                <w:lang w:val="de-CH"/>
              </w:rPr>
              <w:t>1</w:t>
            </w:r>
            <w:r w:rsidRPr="00983CF8">
              <w:rPr>
                <w:color w:val="000000" w:themeColor="text1"/>
                <w:sz w:val="20"/>
                <w:szCs w:val="20"/>
                <w:lang w:val="de-CH"/>
              </w:rPr>
              <w:t xml:space="preserve"> Der Schülerbestand für die Wahlfächer, die spezifischen Fächer und die Freifächer muss mindestens 12 </w:t>
            </w:r>
            <w:r w:rsidRPr="00983CF8">
              <w:rPr>
                <w:color w:val="FF0000"/>
                <w:sz w:val="20"/>
                <w:szCs w:val="20"/>
                <w:lang w:val="de-CH"/>
              </w:rPr>
              <w:t xml:space="preserve">Schülerinnen und </w:t>
            </w:r>
            <w:r w:rsidRPr="00983CF8">
              <w:rPr>
                <w:color w:val="000000" w:themeColor="text1"/>
                <w:sz w:val="20"/>
                <w:szCs w:val="20"/>
                <w:lang w:val="de-CH"/>
              </w:rPr>
              <w:t xml:space="preserve">Schüler betragen. Insgesamt müssen sämtliche dieser an der Schule unterrichteten Fächer im </w:t>
            </w:r>
            <w:r w:rsidRPr="00983CF8">
              <w:rPr>
                <w:color w:val="000000" w:themeColor="text1"/>
                <w:sz w:val="20"/>
                <w:szCs w:val="20"/>
                <w:highlight w:val="yellow"/>
                <w:lang w:val="de-CH"/>
              </w:rPr>
              <w:t xml:space="preserve">Durchschnitt von 16 </w:t>
            </w:r>
            <w:r w:rsidRPr="00983CF8">
              <w:rPr>
                <w:color w:val="FF0000"/>
                <w:sz w:val="20"/>
                <w:szCs w:val="20"/>
                <w:highlight w:val="yellow"/>
                <w:lang w:val="de-CH"/>
              </w:rPr>
              <w:t xml:space="preserve">Schülerinnen und </w:t>
            </w:r>
            <w:r w:rsidRPr="00983CF8">
              <w:rPr>
                <w:color w:val="000000" w:themeColor="text1"/>
                <w:sz w:val="20"/>
                <w:szCs w:val="20"/>
                <w:highlight w:val="yellow"/>
                <w:lang w:val="de-CH"/>
              </w:rPr>
              <w:t>Schülern</w:t>
            </w:r>
            <w:r w:rsidRPr="00983CF8">
              <w:rPr>
                <w:color w:val="000000" w:themeColor="text1"/>
                <w:sz w:val="20"/>
                <w:szCs w:val="20"/>
                <w:lang w:val="de-CH"/>
              </w:rPr>
              <w:t xml:space="preserve"> besucht werden.</w:t>
            </w:r>
          </w:p>
          <w:p w:rsidR="007A6B62" w:rsidRPr="00983CF8" w:rsidRDefault="007A6B62" w:rsidP="007A6B62">
            <w:pPr>
              <w:widowControl w:val="0"/>
              <w:tabs>
                <w:tab w:val="left" w:pos="1026"/>
              </w:tabs>
              <w:rPr>
                <w:color w:val="000000" w:themeColor="text1"/>
                <w:sz w:val="20"/>
                <w:szCs w:val="20"/>
                <w:lang w:val="de-CH"/>
              </w:rPr>
            </w:pPr>
            <w:r w:rsidRPr="00983CF8">
              <w:rPr>
                <w:color w:val="000000" w:themeColor="text1"/>
                <w:sz w:val="20"/>
                <w:szCs w:val="20"/>
                <w:vertAlign w:val="superscript"/>
                <w:lang w:val="de-CH"/>
              </w:rPr>
              <w:t>2</w:t>
            </w:r>
            <w:r w:rsidRPr="00983CF8">
              <w:rPr>
                <w:color w:val="000000" w:themeColor="text1"/>
                <w:sz w:val="20"/>
                <w:szCs w:val="20"/>
                <w:lang w:val="de-CH"/>
              </w:rPr>
              <w:t xml:space="preserve"> Der Schülerbestand für die Schwerpunkt- und Ergänzungsfächer </w:t>
            </w:r>
            <w:r w:rsidRPr="00983CF8">
              <w:rPr>
                <w:color w:val="000000" w:themeColor="text1"/>
                <w:sz w:val="20"/>
                <w:szCs w:val="20"/>
                <w:lang w:val="de-CH"/>
              </w:rPr>
              <w:lastRenderedPageBreak/>
              <w:t>muss mindestens 12 </w:t>
            </w:r>
            <w:r w:rsidRPr="00983CF8">
              <w:rPr>
                <w:color w:val="FF0000"/>
                <w:sz w:val="20"/>
                <w:szCs w:val="20"/>
                <w:lang w:val="de-CH"/>
              </w:rPr>
              <w:t xml:space="preserve">Schülerinnen und </w:t>
            </w:r>
            <w:r w:rsidRPr="00983CF8">
              <w:rPr>
                <w:color w:val="000000" w:themeColor="text1"/>
                <w:sz w:val="20"/>
                <w:szCs w:val="20"/>
                <w:lang w:val="de-CH"/>
              </w:rPr>
              <w:t xml:space="preserve">Schüler betragen. Insgesamt müssen alle diese Fächer an den Gymnasien im </w:t>
            </w:r>
            <w:r w:rsidRPr="00983CF8">
              <w:rPr>
                <w:color w:val="000000" w:themeColor="text1"/>
                <w:sz w:val="20"/>
                <w:szCs w:val="20"/>
                <w:highlight w:val="yellow"/>
                <w:lang w:val="de-CH"/>
              </w:rPr>
              <w:t xml:space="preserve">Durchschnitt von </w:t>
            </w:r>
            <w:r w:rsidRPr="00983CF8">
              <w:rPr>
                <w:color w:val="FF0000"/>
                <w:sz w:val="20"/>
                <w:szCs w:val="20"/>
                <w:highlight w:val="yellow"/>
                <w:lang w:val="de-CH"/>
              </w:rPr>
              <w:t>17</w:t>
            </w:r>
            <w:r w:rsidRPr="00983CF8">
              <w:rPr>
                <w:color w:val="000000" w:themeColor="text1"/>
                <w:sz w:val="20"/>
                <w:szCs w:val="20"/>
                <w:highlight w:val="yellow"/>
                <w:lang w:val="de-CH"/>
              </w:rPr>
              <w:t xml:space="preserve"> </w:t>
            </w:r>
            <w:r w:rsidRPr="00983CF8">
              <w:rPr>
                <w:color w:val="FF0000"/>
                <w:sz w:val="20"/>
                <w:szCs w:val="20"/>
                <w:highlight w:val="yellow"/>
                <w:lang w:val="de-CH"/>
              </w:rPr>
              <w:t xml:space="preserve">Schülerinnen und </w:t>
            </w:r>
            <w:r w:rsidRPr="00983CF8">
              <w:rPr>
                <w:color w:val="000000" w:themeColor="text1"/>
                <w:sz w:val="20"/>
                <w:szCs w:val="20"/>
                <w:highlight w:val="yellow"/>
                <w:lang w:val="de-CH"/>
              </w:rPr>
              <w:t>Schülern besucht werden</w:t>
            </w:r>
            <w:r w:rsidRPr="00983CF8">
              <w:rPr>
                <w:color w:val="000000" w:themeColor="text1"/>
                <w:sz w:val="20"/>
                <w:szCs w:val="20"/>
                <w:lang w:val="de-CH"/>
              </w:rPr>
              <w:t>.</w:t>
            </w:r>
          </w:p>
          <w:p w:rsidR="007A6B62" w:rsidRPr="00983CF8" w:rsidRDefault="007A6B62" w:rsidP="007A6B62">
            <w:pPr>
              <w:widowControl w:val="0"/>
              <w:tabs>
                <w:tab w:val="left" w:pos="1026"/>
              </w:tabs>
              <w:rPr>
                <w:color w:val="000000" w:themeColor="text1"/>
                <w:sz w:val="20"/>
                <w:szCs w:val="20"/>
                <w:lang w:val="de-CH"/>
              </w:rPr>
            </w:pPr>
            <w:r w:rsidRPr="00983CF8">
              <w:rPr>
                <w:color w:val="000000" w:themeColor="text1"/>
                <w:sz w:val="20"/>
                <w:szCs w:val="20"/>
                <w:vertAlign w:val="superscript"/>
                <w:lang w:val="de-CH"/>
              </w:rPr>
              <w:t>3</w:t>
            </w:r>
            <w:r w:rsidRPr="00983CF8">
              <w:rPr>
                <w:color w:val="000000" w:themeColor="text1"/>
                <w:sz w:val="20"/>
                <w:szCs w:val="20"/>
                <w:lang w:val="de-CH"/>
              </w:rPr>
              <w:t xml:space="preserve"> Die Fächer müssen </w:t>
            </w:r>
            <w:r w:rsidRPr="00983CF8">
              <w:rPr>
                <w:color w:val="FF0000"/>
                <w:sz w:val="20"/>
                <w:szCs w:val="20"/>
                <w:lang w:val="de-CH"/>
              </w:rPr>
              <w:t>rationell, entsprechend den Zielsetzungen der Direktion</w:t>
            </w:r>
            <w:r w:rsidRPr="00983CF8">
              <w:rPr>
                <w:color w:val="000000" w:themeColor="text1"/>
                <w:sz w:val="20"/>
                <w:szCs w:val="20"/>
                <w:lang w:val="de-CH"/>
              </w:rPr>
              <w:t>, organisiert werden.</w:t>
            </w:r>
          </w:p>
          <w:p w:rsidR="007A6B62" w:rsidRPr="00983CF8" w:rsidRDefault="007A6B62" w:rsidP="007A6B62">
            <w:pPr>
              <w:widowControl w:val="0"/>
              <w:tabs>
                <w:tab w:val="left" w:pos="1026"/>
              </w:tabs>
              <w:rPr>
                <w:color w:val="000000" w:themeColor="text1"/>
                <w:sz w:val="20"/>
                <w:szCs w:val="20"/>
                <w:lang w:val="de-CH"/>
              </w:rPr>
            </w:pPr>
            <w:r w:rsidRPr="00983CF8">
              <w:rPr>
                <w:color w:val="000000" w:themeColor="text1"/>
                <w:sz w:val="20"/>
                <w:szCs w:val="20"/>
                <w:vertAlign w:val="superscript"/>
                <w:lang w:val="de-CH"/>
              </w:rPr>
              <w:t>4</w:t>
            </w:r>
            <w:r w:rsidRPr="00983CF8">
              <w:rPr>
                <w:color w:val="000000" w:themeColor="text1"/>
                <w:sz w:val="20"/>
                <w:szCs w:val="20"/>
                <w:lang w:val="de-CH"/>
              </w:rPr>
              <w:t xml:space="preserve"> Der Mindestbestand für diese Fächer kann jedoch herabgesetzt werden, wenn der Bildungsgang dies erfordert, insbesondere bei obligatorischen Fächern, die im übergeordneten Recht vorgesehen sind. In diesem Fall muss die Zahl der in der Stundentafel vorgesehenen wöchentlichen Lektionen entsprechend herabgesetzt werden.</w:t>
            </w:r>
          </w:p>
          <w:p w:rsidR="007A6B62" w:rsidRPr="00983CF8" w:rsidRDefault="007A6B62" w:rsidP="007A6B62">
            <w:pPr>
              <w:rPr>
                <w:sz w:val="20"/>
                <w:szCs w:val="20"/>
                <w:lang w:val="de-CH"/>
              </w:rPr>
            </w:pPr>
            <w:r w:rsidRPr="00983CF8">
              <w:rPr>
                <w:color w:val="FF0000"/>
                <w:sz w:val="20"/>
                <w:szCs w:val="20"/>
                <w:vertAlign w:val="superscript"/>
                <w:lang w:val="de-CH"/>
              </w:rPr>
              <w:t>5</w:t>
            </w:r>
            <w:r w:rsidRPr="00983CF8">
              <w:rPr>
                <w:color w:val="FF0000"/>
                <w:sz w:val="20"/>
                <w:szCs w:val="20"/>
                <w:lang w:val="de-CH"/>
              </w:rPr>
              <w:t xml:space="preserve"> </w:t>
            </w:r>
            <w:r w:rsidRPr="00983CF8">
              <w:rPr>
                <w:color w:val="FF0000"/>
                <w:sz w:val="20"/>
                <w:szCs w:val="20"/>
                <w:highlight w:val="yellow"/>
                <w:lang w:val="de-CH"/>
              </w:rPr>
              <w:t>Vom durchschnittlichen Schülerbestand für die Schwerpunkt- und Ergänzungsfächer kann abgewichen werden, wenn ein gleichwertiges Bildungsangebot für beide Sprachgruppen des Kantons garantiert werden soll.</w:t>
            </w:r>
          </w:p>
          <w:p w:rsidR="007A6B62" w:rsidRPr="00983CF8" w:rsidRDefault="007A6B62" w:rsidP="007A6B62">
            <w:pPr>
              <w:rPr>
                <w:sz w:val="20"/>
                <w:szCs w:val="20"/>
                <w:lang w:val="de-CH"/>
              </w:rPr>
            </w:pPr>
          </w:p>
        </w:tc>
        <w:tc>
          <w:tcPr>
            <w:tcW w:w="8045" w:type="dxa"/>
          </w:tcPr>
          <w:p w:rsidR="00E625F9" w:rsidRPr="00983CF8" w:rsidRDefault="007A6B62" w:rsidP="007A6B62">
            <w:pPr>
              <w:pStyle w:val="Listenabsatz"/>
              <w:numPr>
                <w:ilvl w:val="0"/>
                <w:numId w:val="4"/>
              </w:numPr>
              <w:spacing w:line="240" w:lineRule="auto"/>
              <w:rPr>
                <w:lang w:val="de-CH"/>
              </w:rPr>
            </w:pPr>
            <w:r w:rsidRPr="00983CF8">
              <w:rPr>
                <w:lang w:val="de-CH"/>
              </w:rPr>
              <w:lastRenderedPageBreak/>
              <w:t xml:space="preserve">Diese Werte sind zu hoch. 27 </w:t>
            </w:r>
            <w:proofErr w:type="spellStart"/>
            <w:r w:rsidRPr="00983CF8">
              <w:rPr>
                <w:lang w:val="de-CH"/>
              </w:rPr>
              <w:t>SuS</w:t>
            </w:r>
            <w:proofErr w:type="spellEnd"/>
            <w:r w:rsidRPr="00983CF8">
              <w:rPr>
                <w:lang w:val="de-CH"/>
              </w:rPr>
              <w:t xml:space="preserve"> in einer Klasse sind zu viele, als dass nach neusten didaktischen Anforderungen unterrichtet werden könnte. Wir machen nicht mehr Frontalunterricht wie früher! Bei Gruppenarbeiten und Präsentationen müssten beispielsweise bei max. 4er Gruppen bereits 7 Gruppen gebildet werden und langwierige Präsentationen sind die Folge. Ebenso ist es umso schwieriger zu differenzieren, umso mehr </w:t>
            </w:r>
            <w:proofErr w:type="spellStart"/>
            <w:r w:rsidRPr="00983CF8">
              <w:rPr>
                <w:lang w:val="de-CH"/>
              </w:rPr>
              <w:t>SuS</w:t>
            </w:r>
            <w:proofErr w:type="spellEnd"/>
            <w:r w:rsidRPr="00983CF8">
              <w:rPr>
                <w:lang w:val="de-CH"/>
              </w:rPr>
              <w:t xml:space="preserve"> in der Klasse sind. Zudem: Der Korrekturaufwand ist viel höher und individuelle Rückmeldungen, auch formative, können weniger gemacht werden.</w:t>
            </w:r>
          </w:p>
          <w:p w:rsidR="00001168" w:rsidRPr="00983CF8" w:rsidRDefault="00855898" w:rsidP="00001168">
            <w:pPr>
              <w:pStyle w:val="Listenabsatz"/>
              <w:numPr>
                <w:ilvl w:val="0"/>
                <w:numId w:val="4"/>
              </w:numPr>
              <w:spacing w:line="240" w:lineRule="auto"/>
              <w:rPr>
                <w:lang w:val="de-CH"/>
              </w:rPr>
            </w:pPr>
            <w:r w:rsidRPr="00983CF8">
              <w:rPr>
                <w:lang w:val="de-CH"/>
              </w:rPr>
              <w:t>Durchschnittswerte in den Ergänzungsfächern gehen zu Lasten von gut besuchten Fächern. Beispielsweise haben wir im EF PP seit Jahren enorm grosse Klassen (25-27), offenbar damit der Durchschnitt eingehalten werden kann. Gerade in einem solchen Fach macht es inhaltlich und didaktisch nicht Sinn Riesenklassen zu haben. Ausserdem kann es nicht sein, dass immer dieselben Lehrpersonen Mehrarbeit durch grosse Klassen leisten müssen.</w:t>
            </w:r>
          </w:p>
          <w:p w:rsidR="00001168" w:rsidRPr="00983CF8" w:rsidRDefault="00001168" w:rsidP="00001168">
            <w:pPr>
              <w:pStyle w:val="Listenabsatz"/>
              <w:numPr>
                <w:ilvl w:val="0"/>
                <w:numId w:val="4"/>
              </w:numPr>
              <w:spacing w:line="240" w:lineRule="auto"/>
              <w:rPr>
                <w:lang w:val="de-CH"/>
              </w:rPr>
            </w:pPr>
            <w:r w:rsidRPr="00983CF8">
              <w:rPr>
                <w:lang w:val="de-CH"/>
              </w:rPr>
              <w:t>Weshalb wird in allen Fächern eine Maximalzahl angegeben und in den EF nicht? Wenn der Schnitt in den EF kleiner ist, als in Normalklassen, dann müsste auch die Maximalzahl kleiner sein!</w:t>
            </w:r>
          </w:p>
          <w:p w:rsidR="00BA659B" w:rsidRPr="00983CF8" w:rsidRDefault="00BA659B" w:rsidP="00001168">
            <w:pPr>
              <w:pStyle w:val="Listenabsatz"/>
              <w:numPr>
                <w:ilvl w:val="0"/>
                <w:numId w:val="4"/>
              </w:numPr>
              <w:spacing w:line="240" w:lineRule="auto"/>
              <w:rPr>
                <w:lang w:val="de-CH"/>
              </w:rPr>
            </w:pPr>
            <w:r w:rsidRPr="00983CF8">
              <w:rPr>
                <w:lang w:val="de-CH"/>
              </w:rPr>
              <w:t>Verglichen mit anderen Kantonen haben wir riesige Klassen in den EF und SPF.</w:t>
            </w:r>
          </w:p>
          <w:p w:rsidR="00001168" w:rsidRPr="00983CF8" w:rsidRDefault="0065630E" w:rsidP="000862AC">
            <w:pPr>
              <w:rPr>
                <w:sz w:val="20"/>
                <w:szCs w:val="20"/>
                <w:lang w:val="de-CH"/>
              </w:rPr>
            </w:pPr>
            <w:r w:rsidRPr="00983CF8">
              <w:rPr>
                <w:sz w:val="20"/>
                <w:szCs w:val="20"/>
                <w:lang w:val="de-CH"/>
              </w:rPr>
              <w:t xml:space="preserve">Vorschlag </w:t>
            </w:r>
            <w:r w:rsidRPr="00983CF8">
              <w:rPr>
                <w:sz w:val="20"/>
                <w:szCs w:val="20"/>
                <w:lang w:val="de-CH"/>
              </w:rPr>
              <w:sym w:font="Wingdings" w:char="F0E0"/>
            </w:r>
            <w:r w:rsidRPr="00983CF8">
              <w:rPr>
                <w:sz w:val="20"/>
                <w:szCs w:val="20"/>
                <w:lang w:val="de-CH"/>
              </w:rPr>
              <w:t xml:space="preserve"> </w:t>
            </w:r>
          </w:p>
          <w:p w:rsidR="00001168" w:rsidRPr="00983CF8" w:rsidRDefault="00001168" w:rsidP="00A42028">
            <w:pPr>
              <w:pStyle w:val="Listenabsatz"/>
              <w:numPr>
                <w:ilvl w:val="0"/>
                <w:numId w:val="5"/>
              </w:numPr>
              <w:spacing w:line="240" w:lineRule="auto"/>
              <w:rPr>
                <w:lang w:val="de-CH"/>
              </w:rPr>
            </w:pPr>
            <w:r w:rsidRPr="00983CF8">
              <w:rPr>
                <w:b/>
                <w:lang w:val="de-CH"/>
              </w:rPr>
              <w:lastRenderedPageBreak/>
              <w:t>Anpassen der Zahlen</w:t>
            </w:r>
            <w:r w:rsidR="0074189E" w:rsidRPr="00983CF8">
              <w:rPr>
                <w:b/>
                <w:lang w:val="de-CH"/>
              </w:rPr>
              <w:t xml:space="preserve"> nach unten</w:t>
            </w:r>
            <w:r w:rsidRPr="00983CF8">
              <w:rPr>
                <w:lang w:val="de-CH"/>
              </w:rPr>
              <w:t xml:space="preserve"> (max. 24, Schnitt 21, EF und SPF:</w:t>
            </w:r>
            <w:r w:rsidR="00BC7C14" w:rsidRPr="00983CF8">
              <w:rPr>
                <w:lang w:val="de-CH"/>
              </w:rPr>
              <w:t xml:space="preserve"> Maximal 22 und Schnitt 15</w:t>
            </w:r>
            <w:r w:rsidRPr="00983CF8">
              <w:rPr>
                <w:lang w:val="de-CH"/>
              </w:rPr>
              <w:t>)</w:t>
            </w:r>
          </w:p>
          <w:p w:rsidR="00A42028" w:rsidRPr="00983CF8" w:rsidRDefault="00A42028" w:rsidP="00A42028">
            <w:pPr>
              <w:pStyle w:val="Listenabsatz"/>
              <w:numPr>
                <w:ilvl w:val="0"/>
                <w:numId w:val="5"/>
              </w:numPr>
              <w:spacing w:line="240" w:lineRule="auto"/>
              <w:rPr>
                <w:lang w:val="de-CH"/>
              </w:rPr>
            </w:pPr>
            <w:r w:rsidRPr="00983CF8">
              <w:rPr>
                <w:lang w:val="de-CH"/>
              </w:rPr>
              <w:t xml:space="preserve">Bei der </w:t>
            </w:r>
            <w:r w:rsidRPr="00983CF8">
              <w:rPr>
                <w:b/>
                <w:lang w:val="de-CH"/>
              </w:rPr>
              <w:t>Durchschnittberechnung</w:t>
            </w:r>
            <w:r w:rsidRPr="00983CF8">
              <w:rPr>
                <w:lang w:val="de-CH"/>
              </w:rPr>
              <w:t xml:space="preserve"> sind die </w:t>
            </w:r>
            <w:r w:rsidRPr="00983CF8">
              <w:rPr>
                <w:b/>
                <w:lang w:val="de-CH"/>
              </w:rPr>
              <w:t>Kleinstfächer (die von der Minimalzahl abweichen) nicht zu berücksichtigen,</w:t>
            </w:r>
            <w:r w:rsidRPr="00983CF8">
              <w:rPr>
                <w:lang w:val="de-CH"/>
              </w:rPr>
              <w:t xml:space="preserve"> da sie für riesige Klassen in anderen Fächern sorgen.</w:t>
            </w:r>
          </w:p>
          <w:p w:rsidR="000862AC" w:rsidRPr="00983CF8" w:rsidRDefault="00E625F9" w:rsidP="00A42028">
            <w:pPr>
              <w:pStyle w:val="Listenabsatz"/>
              <w:numPr>
                <w:ilvl w:val="0"/>
                <w:numId w:val="5"/>
              </w:numPr>
              <w:spacing w:line="240" w:lineRule="auto"/>
              <w:rPr>
                <w:lang w:val="de-CH"/>
              </w:rPr>
            </w:pPr>
            <w:r w:rsidRPr="00983CF8">
              <w:rPr>
                <w:b/>
                <w:lang w:val="de-CH"/>
              </w:rPr>
              <w:t>Zusatz</w:t>
            </w:r>
            <w:r w:rsidR="0074189E" w:rsidRPr="00983CF8">
              <w:rPr>
                <w:b/>
                <w:lang w:val="de-CH"/>
              </w:rPr>
              <w:t>formulierung</w:t>
            </w:r>
            <w:r w:rsidRPr="00983CF8">
              <w:rPr>
                <w:lang w:val="de-CH"/>
              </w:rPr>
              <w:t xml:space="preserve"> nötig: Es wird </w:t>
            </w:r>
            <w:r w:rsidRPr="00983CF8">
              <w:rPr>
                <w:b/>
                <w:lang w:val="de-CH"/>
              </w:rPr>
              <w:t xml:space="preserve">darauf geachtet, dass </w:t>
            </w:r>
            <w:r w:rsidRPr="00983CF8">
              <w:rPr>
                <w:b/>
                <w:u w:val="single"/>
                <w:lang w:val="de-CH"/>
              </w:rPr>
              <w:t>nicht regelmässig dieselben Fächer massiv über dem Durchschnitt zu liegen kommen</w:t>
            </w:r>
            <w:r w:rsidRPr="00983CF8">
              <w:rPr>
                <w:b/>
                <w:lang w:val="de-CH"/>
              </w:rPr>
              <w:t xml:space="preserve">. </w:t>
            </w:r>
            <w:r w:rsidRPr="00983CF8">
              <w:rPr>
                <w:lang w:val="de-CH"/>
              </w:rPr>
              <w:t>(PP hat regelmässi</w:t>
            </w:r>
            <w:r w:rsidR="000862AC" w:rsidRPr="00983CF8">
              <w:rPr>
                <w:lang w:val="de-CH"/>
              </w:rPr>
              <w:t xml:space="preserve">g riesige Klasse von 24-27 </w:t>
            </w:r>
            <w:proofErr w:type="spellStart"/>
            <w:r w:rsidR="000862AC" w:rsidRPr="00983CF8">
              <w:rPr>
                <w:lang w:val="de-CH"/>
              </w:rPr>
              <w:t>SuS</w:t>
            </w:r>
            <w:proofErr w:type="spellEnd"/>
            <w:r w:rsidR="0074189E" w:rsidRPr="00983CF8">
              <w:rPr>
                <w:lang w:val="de-CH"/>
              </w:rPr>
              <w:t>!!</w:t>
            </w:r>
            <w:r w:rsidR="000862AC" w:rsidRPr="00983CF8">
              <w:rPr>
                <w:lang w:val="de-CH"/>
              </w:rPr>
              <w:t>)</w:t>
            </w:r>
          </w:p>
          <w:p w:rsidR="00E625F9" w:rsidRPr="00983CF8" w:rsidRDefault="00E625F9" w:rsidP="00E625F9">
            <w:pPr>
              <w:rPr>
                <w:sz w:val="20"/>
                <w:szCs w:val="20"/>
                <w:lang w:val="de-CH"/>
              </w:rPr>
            </w:pPr>
          </w:p>
        </w:tc>
      </w:tr>
      <w:tr w:rsidR="007A6B62" w:rsidRPr="00983D83" w:rsidTr="008C6004">
        <w:tc>
          <w:tcPr>
            <w:tcW w:w="5949" w:type="dxa"/>
          </w:tcPr>
          <w:p w:rsidR="007A6B62" w:rsidRPr="00983CF8" w:rsidRDefault="007A6B62" w:rsidP="003A1A3F">
            <w:pPr>
              <w:widowControl w:val="0"/>
              <w:tabs>
                <w:tab w:val="left" w:pos="1026"/>
              </w:tabs>
              <w:rPr>
                <w:i/>
                <w:color w:val="FF0000"/>
                <w:sz w:val="20"/>
                <w:szCs w:val="20"/>
                <w:lang w:val="de-CH"/>
              </w:rPr>
            </w:pPr>
            <w:r w:rsidRPr="00983CF8">
              <w:rPr>
                <w:i/>
                <w:color w:val="FF0000"/>
                <w:sz w:val="20"/>
                <w:szCs w:val="20"/>
                <w:lang w:val="de-CH"/>
              </w:rPr>
              <w:lastRenderedPageBreak/>
              <w:t>8. Fachschaften (Art. 65 MSG)</w:t>
            </w:r>
          </w:p>
          <w:p w:rsidR="007A6B62" w:rsidRPr="00983CF8" w:rsidRDefault="007A6B62" w:rsidP="003A1A3F">
            <w:pPr>
              <w:pStyle w:val="NoArt"/>
              <w:keepNext w:val="0"/>
              <w:widowControl w:val="0"/>
              <w:tabs>
                <w:tab w:val="left" w:pos="1026"/>
              </w:tabs>
              <w:rPr>
                <w:color w:val="FF0000"/>
                <w:lang w:val="de-CH"/>
              </w:rPr>
            </w:pPr>
            <w:r w:rsidRPr="00983CF8">
              <w:rPr>
                <w:b/>
                <w:color w:val="000000" w:themeColor="text1"/>
                <w:lang w:val="de-CH"/>
              </w:rPr>
              <w:t>Art. 99</w:t>
            </w:r>
            <w:r w:rsidRPr="00983CF8">
              <w:rPr>
                <w:b/>
                <w:color w:val="000000" w:themeColor="text1"/>
                <w:lang w:val="de-CH"/>
              </w:rPr>
              <w:tab/>
            </w:r>
            <w:r w:rsidRPr="00983CF8">
              <w:rPr>
                <w:color w:val="FF0000"/>
                <w:lang w:val="de-CH"/>
              </w:rPr>
              <w:t>Zusammensetzung und Funktionsweise</w:t>
            </w:r>
          </w:p>
          <w:p w:rsidR="007A6B62" w:rsidRPr="00983CF8" w:rsidRDefault="007A6B62" w:rsidP="003A1A3F">
            <w:pPr>
              <w:tabs>
                <w:tab w:val="left" w:pos="1026"/>
              </w:tabs>
              <w:rPr>
                <w:color w:val="FF0000"/>
                <w:sz w:val="20"/>
                <w:szCs w:val="20"/>
                <w:lang w:val="de-CH"/>
              </w:rPr>
            </w:pPr>
            <w:r w:rsidRPr="00983CF8">
              <w:rPr>
                <w:color w:val="FF0000"/>
                <w:sz w:val="20"/>
                <w:szCs w:val="20"/>
                <w:vertAlign w:val="superscript"/>
                <w:lang w:val="de-CH"/>
              </w:rPr>
              <w:t xml:space="preserve">3 </w:t>
            </w:r>
            <w:r w:rsidRPr="00983CF8">
              <w:rPr>
                <w:color w:val="FF0000"/>
                <w:sz w:val="20"/>
                <w:szCs w:val="20"/>
                <w:lang w:val="de-CH"/>
              </w:rPr>
              <w:t xml:space="preserve">Die Fachschaften treffen sich zur Behandlung von Fachfragen </w:t>
            </w:r>
            <w:r w:rsidRPr="00983CF8">
              <w:rPr>
                <w:color w:val="FF0000"/>
                <w:sz w:val="20"/>
                <w:szCs w:val="20"/>
                <w:highlight w:val="yellow"/>
                <w:lang w:val="de-CH"/>
              </w:rPr>
              <w:t>mindestens dreimal jährlich</w:t>
            </w:r>
            <w:r w:rsidRPr="00983CF8">
              <w:rPr>
                <w:color w:val="FF0000"/>
                <w:sz w:val="20"/>
                <w:szCs w:val="20"/>
                <w:lang w:val="de-CH"/>
              </w:rPr>
              <w:t xml:space="preserve"> oder wenn der Schuldirektor bzw. die Schuldirektorin dies verlangt. Sie </w:t>
            </w:r>
            <w:r w:rsidRPr="00983CF8">
              <w:rPr>
                <w:color w:val="FF0000"/>
                <w:sz w:val="20"/>
                <w:szCs w:val="20"/>
                <w:highlight w:val="yellow"/>
                <w:lang w:val="de-CH"/>
              </w:rPr>
              <w:t>erstellen dazu eine Traktandenliste und ein anschliessendes Protokoll zuhanden des Direktionsrates</w:t>
            </w:r>
            <w:r w:rsidRPr="00983CF8">
              <w:rPr>
                <w:color w:val="FF0000"/>
                <w:sz w:val="20"/>
                <w:szCs w:val="20"/>
                <w:lang w:val="de-CH"/>
              </w:rPr>
              <w:t xml:space="preserve">. </w:t>
            </w:r>
            <w:r w:rsidRPr="00983CF8">
              <w:rPr>
                <w:color w:val="FF0000"/>
                <w:sz w:val="20"/>
                <w:szCs w:val="20"/>
                <w:highlight w:val="yellow"/>
                <w:lang w:val="de-CH"/>
              </w:rPr>
              <w:t>In der Regel nimmt ein Mitglied des Direktionsrates mindestens einmal jährlich an einer Sitzung teil.</w:t>
            </w:r>
          </w:p>
        </w:tc>
        <w:tc>
          <w:tcPr>
            <w:tcW w:w="8045" w:type="dxa"/>
          </w:tcPr>
          <w:p w:rsidR="007A6B62" w:rsidRPr="00983CF8" w:rsidRDefault="007A6B62" w:rsidP="003A1A3F">
            <w:pPr>
              <w:pStyle w:val="Listenabsatz"/>
              <w:numPr>
                <w:ilvl w:val="0"/>
                <w:numId w:val="2"/>
              </w:numPr>
              <w:spacing w:line="240" w:lineRule="auto"/>
              <w:rPr>
                <w:lang w:val="de-CH"/>
              </w:rPr>
            </w:pPr>
            <w:r w:rsidRPr="00983CF8">
              <w:rPr>
                <w:lang w:val="de-CH"/>
              </w:rPr>
              <w:t>Zu rigide und zu willkürlich bzw. zu wenig begründet, insbesondere für kleine Fachschaften wie in unserem Fach. Oft passiert der Austausch in informellen Treffen, per Mail etc. Dazu braucht es keine Traktanden und kein Protokoll. Ausserdem ist eine fixe Anzahl Treffen nicht zielführend und rigide.</w:t>
            </w:r>
          </w:p>
          <w:p w:rsidR="007A6B62" w:rsidRPr="00983CF8" w:rsidRDefault="007A6B62" w:rsidP="003A1A3F">
            <w:pPr>
              <w:pStyle w:val="Listenabsatz"/>
              <w:numPr>
                <w:ilvl w:val="0"/>
                <w:numId w:val="2"/>
              </w:numPr>
              <w:spacing w:line="240" w:lineRule="auto"/>
              <w:rPr>
                <w:lang w:val="de-CH"/>
              </w:rPr>
            </w:pPr>
            <w:r w:rsidRPr="00983CF8">
              <w:rPr>
                <w:lang w:val="de-CH"/>
              </w:rPr>
              <w:t xml:space="preserve">Die Teilnahme eines Direktionsmitglieds macht unseres Erachtens keinen Sinn und ist eine zusätzliche zeitliche Belastung für diese und ein unnötiger administrativer Aufwand. Wozu dient diese? Kontrolle? Was soll weshalb kontrolliert werden? Fachschaften sind im Sinne eines </w:t>
            </w:r>
            <w:proofErr w:type="spellStart"/>
            <w:r w:rsidRPr="00983CF8">
              <w:rPr>
                <w:lang w:val="de-CH"/>
              </w:rPr>
              <w:t>Bottom</w:t>
            </w:r>
            <w:proofErr w:type="spellEnd"/>
            <w:r w:rsidRPr="00983CF8">
              <w:rPr>
                <w:lang w:val="de-CH"/>
              </w:rPr>
              <w:t>-</w:t>
            </w:r>
            <w:proofErr w:type="spellStart"/>
            <w:r w:rsidRPr="00983CF8">
              <w:rPr>
                <w:lang w:val="de-CH"/>
              </w:rPr>
              <w:t>Up</w:t>
            </w:r>
            <w:proofErr w:type="spellEnd"/>
            <w:r w:rsidRPr="00983CF8">
              <w:rPr>
                <w:lang w:val="de-CH"/>
              </w:rPr>
              <w:t>-Prozesses eine sinnvolle Institution. Wenn diese Institution nun hierarchisch überwacht oder konfundiert wird, dann widerspricht dies dem Grundgedanken und erschwert ein reibungsloses Funktionieren.</w:t>
            </w:r>
          </w:p>
          <w:p w:rsidR="007A6B62" w:rsidRPr="00983CF8" w:rsidRDefault="007A6B62" w:rsidP="003A1A3F">
            <w:pPr>
              <w:rPr>
                <w:sz w:val="20"/>
                <w:szCs w:val="20"/>
                <w:lang w:val="de-CH"/>
              </w:rPr>
            </w:pPr>
            <w:r w:rsidRPr="00983CF8">
              <w:rPr>
                <w:sz w:val="20"/>
                <w:szCs w:val="20"/>
                <w:lang w:val="de-CH"/>
              </w:rPr>
              <w:t xml:space="preserve">Vorschlag </w:t>
            </w:r>
            <w:r w:rsidRPr="00983CF8">
              <w:rPr>
                <w:sz w:val="20"/>
                <w:szCs w:val="20"/>
                <w:lang w:val="de-CH"/>
              </w:rPr>
              <w:sym w:font="Wingdings" w:char="F0E0"/>
            </w:r>
            <w:r w:rsidRPr="00983CF8">
              <w:rPr>
                <w:sz w:val="20"/>
                <w:szCs w:val="20"/>
                <w:lang w:val="de-CH"/>
              </w:rPr>
              <w:t xml:space="preserve"> Allgemeiner formulieren: </w:t>
            </w:r>
          </w:p>
          <w:p w:rsidR="007A6B62" w:rsidRPr="00983CF8" w:rsidRDefault="007A6B62" w:rsidP="003A1A3F">
            <w:pPr>
              <w:pStyle w:val="Listenabsatz"/>
              <w:numPr>
                <w:ilvl w:val="0"/>
                <w:numId w:val="1"/>
              </w:numPr>
              <w:rPr>
                <w:lang w:val="de-CH"/>
              </w:rPr>
            </w:pPr>
            <w:r w:rsidRPr="00983CF8">
              <w:rPr>
                <w:lang w:val="de-CH"/>
              </w:rPr>
              <w:t xml:space="preserve">Die Fachschaftsmitglieder tauschen sich </w:t>
            </w:r>
            <w:r w:rsidRPr="00983CF8">
              <w:rPr>
                <w:b/>
                <w:lang w:val="de-CH"/>
              </w:rPr>
              <w:t>regelmässig</w:t>
            </w:r>
            <w:r w:rsidRPr="00983CF8">
              <w:rPr>
                <w:lang w:val="de-CH"/>
              </w:rPr>
              <w:t xml:space="preserve"> untereinander zu fachrelevanten Themen aus. (Je nach Grösse und Art der FS kann dies folglich individuell und sinnvoll angepasst werden)</w:t>
            </w:r>
          </w:p>
          <w:p w:rsidR="007A6B62" w:rsidRPr="00983CF8" w:rsidRDefault="007A6B62" w:rsidP="003A1A3F">
            <w:pPr>
              <w:pStyle w:val="Listenabsatz"/>
              <w:numPr>
                <w:ilvl w:val="0"/>
                <w:numId w:val="1"/>
              </w:numPr>
              <w:rPr>
                <w:lang w:val="de-CH"/>
              </w:rPr>
            </w:pPr>
            <w:r w:rsidRPr="00983CF8">
              <w:rPr>
                <w:lang w:val="de-CH"/>
              </w:rPr>
              <w:t xml:space="preserve">Das </w:t>
            </w:r>
            <w:r w:rsidRPr="00983CF8">
              <w:rPr>
                <w:b/>
                <w:lang w:val="de-CH"/>
              </w:rPr>
              <w:t>ganze Fach betreffende gemeinsame Beschlüsse werden schriftlich festgehalten</w:t>
            </w:r>
            <w:r w:rsidRPr="00983CF8">
              <w:rPr>
                <w:lang w:val="de-CH"/>
              </w:rPr>
              <w:t xml:space="preserve"> und </w:t>
            </w:r>
            <w:r w:rsidRPr="00983CF8">
              <w:rPr>
                <w:b/>
                <w:lang w:val="de-CH"/>
              </w:rPr>
              <w:t>allen Mitgliedern sowie bei Bedarf der Direktion mitgeteilt</w:t>
            </w:r>
            <w:r w:rsidRPr="00983CF8">
              <w:rPr>
                <w:lang w:val="de-CH"/>
              </w:rPr>
              <w:t>. (Nur bedeutsam bei wichtigen und alle betreffenden Beschlüsse, die Auswirkungen auf die geteilte Berufspraxis haben)</w:t>
            </w:r>
          </w:p>
          <w:p w:rsidR="007A6B62" w:rsidRPr="00983CF8" w:rsidRDefault="007A6B62" w:rsidP="003A1A3F">
            <w:pPr>
              <w:pStyle w:val="Listenabsatz"/>
              <w:numPr>
                <w:ilvl w:val="0"/>
                <w:numId w:val="1"/>
              </w:numPr>
              <w:rPr>
                <w:lang w:val="de-CH"/>
              </w:rPr>
            </w:pPr>
            <w:r w:rsidRPr="00983CF8">
              <w:rPr>
                <w:b/>
                <w:lang w:val="de-CH"/>
              </w:rPr>
              <w:t>Direktionsmitglieder können bei Bedarf an Sitzungen der Fachschaften teilnehmen</w:t>
            </w:r>
            <w:r w:rsidRPr="00983CF8">
              <w:rPr>
                <w:lang w:val="de-CH"/>
              </w:rPr>
              <w:t>. (Dies ermöglicht explizit ein Partizipieren und eine Einsicht nach Bedarf und nicht eine Verpflichtung, die auch erfüllt werden müsste, wenn sie keinen Sinn macht oder kein Bedarf besteht)</w:t>
            </w:r>
          </w:p>
        </w:tc>
      </w:tr>
    </w:tbl>
    <w:p w:rsidR="00E625F9" w:rsidRDefault="00E625F9">
      <w:pPr>
        <w:rPr>
          <w:lang w:val="de-CH"/>
        </w:rPr>
      </w:pPr>
    </w:p>
    <w:p w:rsidR="00E625F9" w:rsidRPr="00E625F9" w:rsidRDefault="00E625F9">
      <w:pPr>
        <w:rPr>
          <w:lang w:val="de-CH"/>
        </w:rPr>
      </w:pPr>
    </w:p>
    <w:sectPr w:rsidR="00E625F9" w:rsidRPr="00E625F9" w:rsidSect="00C6382B">
      <w:pgSz w:w="16838" w:h="11906"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88C"/>
    <w:multiLevelType w:val="hybridMultilevel"/>
    <w:tmpl w:val="E282337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8941E13"/>
    <w:multiLevelType w:val="hybridMultilevel"/>
    <w:tmpl w:val="37B8078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33C41AEC"/>
    <w:multiLevelType w:val="hybridMultilevel"/>
    <w:tmpl w:val="16647E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F37A4E"/>
    <w:multiLevelType w:val="hybridMultilevel"/>
    <w:tmpl w:val="A68254E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440F3FE0"/>
    <w:multiLevelType w:val="hybridMultilevel"/>
    <w:tmpl w:val="507CFB0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F9"/>
    <w:rsid w:val="00001168"/>
    <w:rsid w:val="000862AC"/>
    <w:rsid w:val="00092D3B"/>
    <w:rsid w:val="00094D5A"/>
    <w:rsid w:val="000B3A08"/>
    <w:rsid w:val="00262F6E"/>
    <w:rsid w:val="002A6724"/>
    <w:rsid w:val="003C2205"/>
    <w:rsid w:val="004447CE"/>
    <w:rsid w:val="00454912"/>
    <w:rsid w:val="004B3323"/>
    <w:rsid w:val="004D6274"/>
    <w:rsid w:val="00527382"/>
    <w:rsid w:val="00630B89"/>
    <w:rsid w:val="0065630E"/>
    <w:rsid w:val="0069096C"/>
    <w:rsid w:val="006A7C5F"/>
    <w:rsid w:val="006D7048"/>
    <w:rsid w:val="0074189E"/>
    <w:rsid w:val="007A6B62"/>
    <w:rsid w:val="00855898"/>
    <w:rsid w:val="008C6004"/>
    <w:rsid w:val="0091015F"/>
    <w:rsid w:val="00983CF8"/>
    <w:rsid w:val="00983D83"/>
    <w:rsid w:val="009B69CE"/>
    <w:rsid w:val="00A42028"/>
    <w:rsid w:val="00A87A46"/>
    <w:rsid w:val="00BA659B"/>
    <w:rsid w:val="00BC7C14"/>
    <w:rsid w:val="00BF433A"/>
    <w:rsid w:val="00C6382B"/>
    <w:rsid w:val="00C7554A"/>
    <w:rsid w:val="00CB3363"/>
    <w:rsid w:val="00CF330F"/>
    <w:rsid w:val="00DE169D"/>
    <w:rsid w:val="00DE60E2"/>
    <w:rsid w:val="00E34DC0"/>
    <w:rsid w:val="00E625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6E41"/>
  <w15:chartTrackingRefBased/>
  <w15:docId w15:val="{44A2857A-6840-4245-8452-CCC86B7A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6724"/>
    <w:pPr>
      <w:jc w:val="left"/>
    </w:pPr>
  </w:style>
  <w:style w:type="paragraph" w:styleId="berschrift2">
    <w:name w:val="heading 2"/>
    <w:basedOn w:val="Standard"/>
    <w:next w:val="Standard"/>
    <w:link w:val="berschrift2Zchn"/>
    <w:uiPriority w:val="9"/>
    <w:semiHidden/>
    <w:unhideWhenUsed/>
    <w:qFormat/>
    <w:rsid w:val="00E34D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berschrift2"/>
    <w:next w:val="NoArt"/>
    <w:link w:val="berschrift3Zchn"/>
    <w:qFormat/>
    <w:rsid w:val="00E34DC0"/>
    <w:pPr>
      <w:tabs>
        <w:tab w:val="left" w:pos="312"/>
      </w:tabs>
      <w:suppressAutoHyphens/>
      <w:overflowPunct w:val="0"/>
      <w:autoSpaceDE w:val="0"/>
      <w:autoSpaceDN w:val="0"/>
      <w:adjustRightInd w:val="0"/>
      <w:spacing w:before="240" w:after="60" w:line="300" w:lineRule="exact"/>
      <w:jc w:val="both"/>
      <w:textAlignment w:val="baseline"/>
      <w:outlineLvl w:val="2"/>
    </w:pPr>
    <w:rPr>
      <w:rFonts w:ascii="Times New Roman" w:eastAsia="Times New Roman" w:hAnsi="Times New Roman" w:cs="Times New Roman"/>
      <w:i/>
      <w:color w:val="auto"/>
      <w:spacing w:val="2"/>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link w:val="Standard2Zchn"/>
    <w:qFormat/>
    <w:rsid w:val="00CB3363"/>
  </w:style>
  <w:style w:type="character" w:customStyle="1" w:styleId="Standard2Zchn">
    <w:name w:val="Standard2 Zchn"/>
    <w:basedOn w:val="Absatz-Standardschriftart"/>
    <w:link w:val="Standard2"/>
    <w:rsid w:val="00CB3363"/>
  </w:style>
  <w:style w:type="paragraph" w:customStyle="1" w:styleId="NoArt">
    <w:name w:val="No_Art"/>
    <w:basedOn w:val="Standard"/>
    <w:next w:val="Standard"/>
    <w:link w:val="NoArtCar"/>
    <w:qFormat/>
    <w:rsid w:val="00E625F9"/>
    <w:pPr>
      <w:keepNext/>
      <w:overflowPunct w:val="0"/>
      <w:autoSpaceDE w:val="0"/>
      <w:autoSpaceDN w:val="0"/>
      <w:adjustRightInd w:val="0"/>
      <w:spacing w:before="160" w:after="80" w:line="220" w:lineRule="exact"/>
      <w:ind w:left="964" w:hanging="964"/>
      <w:textAlignment w:val="baseline"/>
    </w:pPr>
    <w:rPr>
      <w:rFonts w:ascii="Times New Roman" w:eastAsia="Times New Roman" w:hAnsi="Times New Roman" w:cs="Times New Roman"/>
      <w:spacing w:val="2"/>
      <w:sz w:val="20"/>
      <w:szCs w:val="20"/>
    </w:rPr>
  </w:style>
  <w:style w:type="character" w:customStyle="1" w:styleId="NoArtCar">
    <w:name w:val="No_Art Car"/>
    <w:basedOn w:val="Absatz-Standardschriftart"/>
    <w:link w:val="NoArt"/>
    <w:rsid w:val="00E625F9"/>
    <w:rPr>
      <w:rFonts w:ascii="Times New Roman" w:eastAsia="Times New Roman" w:hAnsi="Times New Roman" w:cs="Times New Roman"/>
      <w:spacing w:val="2"/>
      <w:sz w:val="20"/>
      <w:szCs w:val="20"/>
    </w:rPr>
  </w:style>
  <w:style w:type="paragraph" w:styleId="Listenabsatz">
    <w:name w:val="List Paragraph"/>
    <w:basedOn w:val="Standard"/>
    <w:uiPriority w:val="34"/>
    <w:qFormat/>
    <w:rsid w:val="00E625F9"/>
    <w:pPr>
      <w:overflowPunct w:val="0"/>
      <w:autoSpaceDE w:val="0"/>
      <w:autoSpaceDN w:val="0"/>
      <w:adjustRightInd w:val="0"/>
      <w:spacing w:after="80" w:line="220" w:lineRule="exact"/>
      <w:ind w:left="720"/>
      <w:contextualSpacing/>
      <w:jc w:val="both"/>
      <w:textAlignment w:val="baseline"/>
    </w:pPr>
    <w:rPr>
      <w:rFonts w:ascii="Times New Roman" w:eastAsia="Times New Roman" w:hAnsi="Times New Roman" w:cs="Times New Roman"/>
      <w:spacing w:val="2"/>
      <w:sz w:val="20"/>
      <w:szCs w:val="20"/>
    </w:rPr>
  </w:style>
  <w:style w:type="table" w:styleId="Tabellenraster">
    <w:name w:val="Table Grid"/>
    <w:basedOn w:val="NormaleTabelle"/>
    <w:uiPriority w:val="59"/>
    <w:rsid w:val="00E625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E34DC0"/>
    <w:rPr>
      <w:rFonts w:ascii="Times New Roman" w:eastAsia="Times New Roman" w:hAnsi="Times New Roman" w:cs="Times New Roman"/>
      <w:i/>
      <w:spacing w:val="2"/>
      <w:sz w:val="20"/>
      <w:szCs w:val="20"/>
    </w:rPr>
  </w:style>
  <w:style w:type="character" w:customStyle="1" w:styleId="berschrift2Zchn">
    <w:name w:val="Überschrift 2 Zchn"/>
    <w:basedOn w:val="Absatz-Standardschriftart"/>
    <w:link w:val="berschrift2"/>
    <w:uiPriority w:val="9"/>
    <w:semiHidden/>
    <w:rsid w:val="00E34DC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DC8CD741</Template>
  <TotalTime>0</TotalTime>
  <Pages>2</Pages>
  <Words>1064</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Etat de Fribourg</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Gerteis Markus</dc:creator>
  <cp:keywords/>
  <dc:description/>
  <cp:lastModifiedBy>Gerteis Markus</cp:lastModifiedBy>
  <cp:revision>70</cp:revision>
  <dcterms:created xsi:type="dcterms:W3CDTF">2020-01-30T09:58:00Z</dcterms:created>
  <dcterms:modified xsi:type="dcterms:W3CDTF">2020-01-31T13:56:00Z</dcterms:modified>
</cp:coreProperties>
</file>