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7A5B04" w:rsidRPr="007A5B04" w:rsidTr="00534F4D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:rsidR="007A5B04" w:rsidRPr="007A5B04" w:rsidRDefault="007A5B04" w:rsidP="00974E2E">
            <w:pPr>
              <w:spacing w:after="0"/>
              <w:rPr>
                <w:i/>
                <w:lang w:val="fr-FR"/>
              </w:rPr>
            </w:pPr>
            <w:r w:rsidRPr="007A5B04">
              <w:rPr>
                <w:i/>
                <w:lang w:val="fr-FR"/>
              </w:rPr>
              <w:t xml:space="preserve">Fribourg, le </w:t>
            </w:r>
            <w:r w:rsidR="00974E2E">
              <w:rPr>
                <w:i/>
                <w:lang w:val="fr-FR"/>
              </w:rPr>
              <w:t>30 janvier 2020</w:t>
            </w:r>
          </w:p>
        </w:tc>
      </w:tr>
      <w:tr w:rsidR="007A5B04" w:rsidRPr="007A5B04" w:rsidTr="00D744CA">
        <w:trPr>
          <w:trHeight w:val="727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7A5B04" w:rsidRDefault="00D744CA" w:rsidP="007A5B04">
            <w:pPr>
              <w:pStyle w:val="04titreprincipalouobjetnormal"/>
              <w:tabs>
                <w:tab w:val="left" w:pos="4020"/>
              </w:tabs>
            </w:pPr>
            <w:r w:rsidRPr="00D744CA">
              <w:t xml:space="preserve">Avant-projet de </w:t>
            </w:r>
            <w:r w:rsidR="007D0AF3">
              <w:t>révision du</w:t>
            </w:r>
            <w:bookmarkStart w:id="0" w:name="_GoBack"/>
            <w:bookmarkEnd w:id="0"/>
            <w:r w:rsidR="00372FBF">
              <w:t xml:space="preserve"> </w:t>
            </w:r>
            <w:r w:rsidR="00C42815">
              <w:t>règlement sur l’enseignement secondaire supérieur (RESS)</w:t>
            </w:r>
          </w:p>
          <w:p w:rsidR="0088191E" w:rsidRDefault="0088191E" w:rsidP="007A5B04">
            <w:pPr>
              <w:pStyle w:val="05titreprincipalouobjetgras"/>
            </w:pPr>
          </w:p>
          <w:p w:rsidR="007A5B04" w:rsidRPr="007A5B04" w:rsidRDefault="00D744CA" w:rsidP="007A5B04">
            <w:pPr>
              <w:pStyle w:val="05titreprincipalouobjetgras"/>
            </w:pPr>
            <w:r>
              <w:t>Consultation – réponse des Archives de l’Etat</w:t>
            </w:r>
            <w:r w:rsidR="00C428BF">
              <w:t xml:space="preserve"> </w:t>
            </w:r>
            <w:r w:rsidR="00B92C98">
              <w:t xml:space="preserve">de Fribourg </w:t>
            </w:r>
            <w:r w:rsidR="00C428BF">
              <w:t>(AEF)</w:t>
            </w:r>
          </w:p>
        </w:tc>
      </w:tr>
    </w:tbl>
    <w:p w:rsidR="00CC3E5A" w:rsidRPr="00D744CA" w:rsidRDefault="00CC3E5A" w:rsidP="0084483B">
      <w:pPr>
        <w:pStyle w:val="rpertoire2"/>
      </w:pPr>
    </w:p>
    <w:p w:rsidR="0016386D" w:rsidRDefault="0016386D" w:rsidP="009D284B"/>
    <w:p w:rsidR="0016386D" w:rsidRDefault="0016386D" w:rsidP="009D284B">
      <w:r>
        <w:t>Mesdames, Messieurs,</w:t>
      </w:r>
    </w:p>
    <w:p w:rsidR="00BF2D7D" w:rsidRDefault="00BF2D7D" w:rsidP="00F516ED"/>
    <w:p w:rsidR="0016386D" w:rsidRDefault="0016386D" w:rsidP="00F516ED">
      <w:r>
        <w:t xml:space="preserve">Nous faisons référence au courrier du </w:t>
      </w:r>
      <w:r w:rsidR="00C42815">
        <w:t>13 novembre 20</w:t>
      </w:r>
      <w:r w:rsidR="000C692B">
        <w:t>19</w:t>
      </w:r>
      <w:r>
        <w:t xml:space="preserve"> de </w:t>
      </w:r>
      <w:r w:rsidR="00372FBF">
        <w:t>Monsieur</w:t>
      </w:r>
      <w:r>
        <w:t xml:space="preserve"> </w:t>
      </w:r>
      <w:r w:rsidR="00C42815">
        <w:t>Jean-Pierre Siggen</w:t>
      </w:r>
      <w:r w:rsidR="00372FBF">
        <w:t>, Conseiller</w:t>
      </w:r>
      <w:r>
        <w:t xml:space="preserve"> d’Etat, </w:t>
      </w:r>
      <w:r w:rsidR="00372FBF">
        <w:t>Directeur</w:t>
      </w:r>
      <w:r>
        <w:t xml:space="preserve"> </w:t>
      </w:r>
      <w:r w:rsidR="00C42815">
        <w:t>de l’instruction publique, de la culture et du sport</w:t>
      </w:r>
      <w:r>
        <w:t xml:space="preserve">, concernant l’objet cité en référence et </w:t>
      </w:r>
      <w:r w:rsidR="00372FBF">
        <w:t>le</w:t>
      </w:r>
      <w:r>
        <w:t xml:space="preserve"> remercions de nous avoir consultés à ce sujet.</w:t>
      </w:r>
    </w:p>
    <w:p w:rsidR="00C42815" w:rsidRDefault="00C42815" w:rsidP="00F516ED">
      <w:r>
        <w:t xml:space="preserve">A </w:t>
      </w:r>
      <w:r w:rsidR="007C6D9E">
        <w:t xml:space="preserve">une </w:t>
      </w:r>
      <w:r>
        <w:t>exception</w:t>
      </w:r>
      <w:r w:rsidR="00BF2D7D">
        <w:t xml:space="preserve"> près</w:t>
      </w:r>
      <w:r>
        <w:t xml:space="preserve">, cet avant-projet concerne des questions qui ne relèvent pas du domaine de compétence des Archives de l’Etat. </w:t>
      </w:r>
      <w:r w:rsidRPr="00C42815">
        <w:t xml:space="preserve">Les AEF n’ont </w:t>
      </w:r>
      <w:r>
        <w:t>donc que peu</w:t>
      </w:r>
      <w:r w:rsidRPr="00C42815">
        <w:t xml:space="preserve"> de remarques précises à formuler</w:t>
      </w:r>
      <w:r>
        <w:t>.</w:t>
      </w:r>
    </w:p>
    <w:p w:rsidR="007C6D9E" w:rsidRDefault="007C6D9E" w:rsidP="007C6D9E">
      <w:pPr>
        <w:rPr>
          <w:i/>
        </w:rPr>
      </w:pPr>
      <w:r>
        <w:t xml:space="preserve">L’art. 73 </w:t>
      </w:r>
      <w:r w:rsidRPr="00392EEE">
        <w:rPr>
          <w:i/>
        </w:rPr>
        <w:t>Conservation, archivage et destruction des données</w:t>
      </w:r>
      <w:r>
        <w:t xml:space="preserve"> </w:t>
      </w:r>
      <w:r w:rsidR="00392EEE">
        <w:t>reprend partiellement</w:t>
      </w:r>
      <w:r>
        <w:t xml:space="preserve"> l’art. 108 du </w:t>
      </w:r>
      <w:r w:rsidRPr="00BF2D7D">
        <w:rPr>
          <w:i/>
        </w:rPr>
        <w:t>Règlement de la loi sur la scolarité obligatoire (RLS)</w:t>
      </w:r>
      <w:r>
        <w:t xml:space="preserve">. </w:t>
      </w:r>
      <w:r>
        <w:br/>
        <w:t xml:space="preserve">Les alinéas 1 et 2 prévoyant que certaines données dignes d’être pérennisées (définies aux al. a et f de l’art. 68 al. 1) doivent être conservées pendant 40 ans avant d’être proposés aux AEF </w:t>
      </w:r>
      <w:r w:rsidR="00392EEE">
        <w:t>méritent une remarque</w:t>
      </w:r>
      <w:r>
        <w:t xml:space="preserve">. </w:t>
      </w:r>
      <w:r w:rsidR="00392EEE">
        <w:t xml:space="preserve">En effet, </w:t>
      </w:r>
      <w:r>
        <w:t xml:space="preserve">la conservation de données pendant 40 ans dans un environnement numérique peut soulever </w:t>
      </w:r>
      <w:r w:rsidR="00134FA1">
        <w:t xml:space="preserve">à terme </w:t>
      </w:r>
      <w:r>
        <w:t xml:space="preserve">des problèmes majeurs </w:t>
      </w:r>
      <w:r w:rsidR="00134FA1">
        <w:t>de</w:t>
      </w:r>
      <w:r>
        <w:t xml:space="preserve"> lisibilité. </w:t>
      </w:r>
      <w:r w:rsidR="00DC68EB">
        <w:br/>
      </w:r>
      <w:r>
        <w:t>Les AEF, en charge de l</w:t>
      </w:r>
      <w:r w:rsidR="00DC68EB">
        <w:t xml:space="preserve">a pérennisation des archives historiques électroniques, pourraient offrir la possibilité de proposer ces données déjà dans un plus bref délai. A condition que l’intégralité de ces données ne soit archivée, </w:t>
      </w:r>
      <w:r w:rsidR="00BF2D7D">
        <w:t xml:space="preserve">ce qui est presque certain, </w:t>
      </w:r>
      <w:r w:rsidR="00DC68EB">
        <w:t xml:space="preserve">il serait envisageable de prévoir la modification suivante : </w:t>
      </w:r>
      <w:r w:rsidR="00DC68EB" w:rsidRPr="00DC68EB">
        <w:rPr>
          <w:b/>
          <w:i/>
        </w:rPr>
        <w:t>Au plus tard</w:t>
      </w:r>
      <w:r w:rsidR="00DC68EB">
        <w:rPr>
          <w:i/>
        </w:rPr>
        <w:t xml:space="preserve"> à l’échéance du délai précité….</w:t>
      </w:r>
    </w:p>
    <w:p w:rsidR="00DC68EB" w:rsidRDefault="0095525D" w:rsidP="007C6D9E">
      <w:r>
        <w:t xml:space="preserve">L’al. 3 </w:t>
      </w:r>
      <w:r w:rsidR="00392EEE">
        <w:t xml:space="preserve">du même article </w:t>
      </w:r>
      <w:r>
        <w:t>est</w:t>
      </w:r>
      <w:r w:rsidR="00D74612">
        <w:t xml:space="preserve"> légèrement</w:t>
      </w:r>
      <w:r>
        <w:t xml:space="preserve"> problématique car il pourrait </w:t>
      </w:r>
      <w:r w:rsidR="00134FA1">
        <w:t>laisser entendre</w:t>
      </w:r>
      <w:r>
        <w:t xml:space="preserve"> à tort que toutes les autres données (c’est-à-dire à l’exception de celles citées </w:t>
      </w:r>
      <w:r w:rsidR="00134FA1">
        <w:t>aux lit. a et f de l’art. 68 al. 1</w:t>
      </w:r>
      <w:r>
        <w:t xml:space="preserve">) sont </w:t>
      </w:r>
      <w:r w:rsidRPr="0095525D">
        <w:rPr>
          <w:i/>
        </w:rPr>
        <w:t>sans intérêt historique</w:t>
      </w:r>
      <w:r>
        <w:t xml:space="preserve"> et doivent être détruites. </w:t>
      </w:r>
      <w:r w:rsidR="00134FA1">
        <w:t xml:space="preserve">Il est vrai que </w:t>
      </w:r>
      <w:r w:rsidR="00D74612">
        <w:t xml:space="preserve">l’art. 73 se trouve dans la section 8 </w:t>
      </w:r>
      <w:r w:rsidR="00D74612" w:rsidRPr="00D74612">
        <w:rPr>
          <w:i/>
        </w:rPr>
        <w:t>traitement des données personnelles des élèves</w:t>
      </w:r>
      <w:r w:rsidR="00D74612">
        <w:t xml:space="preserve"> et que </w:t>
      </w:r>
      <w:r w:rsidR="00134FA1">
        <w:t xml:space="preserve">le message explicatif, à la page 20, </w:t>
      </w:r>
      <w:r w:rsidR="00C67B30">
        <w:t>précise</w:t>
      </w:r>
      <w:r w:rsidR="00134FA1">
        <w:t xml:space="preserve"> que l’on traite ici uniquement la situation des données personnelles des élèves contenues dans les banques de données ou les fichiers d’élèves</w:t>
      </w:r>
      <w:r w:rsidR="00D74612">
        <w:t xml:space="preserve">. </w:t>
      </w:r>
      <w:r w:rsidR="00BF2D7D">
        <w:t>Le</w:t>
      </w:r>
      <w:r w:rsidR="00D74612">
        <w:t xml:space="preserve"> risque que cette disposition ne soit appliquée par erreur aux autres données détenues par les écoles concernées</w:t>
      </w:r>
      <w:r w:rsidR="00BF2D7D">
        <w:t xml:space="preserve"> est toutefois réel</w:t>
      </w:r>
      <w:r w:rsidR="00D74612">
        <w:t>. Une</w:t>
      </w:r>
      <w:r>
        <w:t xml:space="preserve"> </w:t>
      </w:r>
      <w:r w:rsidR="00D74612">
        <w:t xml:space="preserve">simple </w:t>
      </w:r>
      <w:r>
        <w:t xml:space="preserve">réserve renvoyant à la législation sur l’archivage </w:t>
      </w:r>
      <w:r w:rsidR="00D74612">
        <w:t>résoudrait la que</w:t>
      </w:r>
      <w:r w:rsidR="00392EEE">
        <w:t xml:space="preserve">stion </w:t>
      </w:r>
      <w:r w:rsidR="00BF2D7D">
        <w:t xml:space="preserve">de manière simple </w:t>
      </w:r>
      <w:r w:rsidR="00392EEE">
        <w:t>et évite</w:t>
      </w:r>
      <w:r w:rsidR="00BF2D7D">
        <w:t>rait des destructions inopinées de potentielles archives historiques.</w:t>
      </w:r>
    </w:p>
    <w:p w:rsidR="0095525D" w:rsidRDefault="003D0F49" w:rsidP="007C6D9E">
      <w:r>
        <w:t>L</w:t>
      </w:r>
      <w:r w:rsidR="0095525D">
        <w:t>’al</w:t>
      </w:r>
      <w:r>
        <w:t>.</w:t>
      </w:r>
      <w:r w:rsidR="0095525D">
        <w:t xml:space="preserve"> 3 de l’art. 108 du RLS</w:t>
      </w:r>
      <w:r>
        <w:t xml:space="preserve"> propose la disposition </w:t>
      </w:r>
      <w:r w:rsidR="00053276">
        <w:rPr>
          <w:i/>
        </w:rPr>
        <w:t>a</w:t>
      </w:r>
      <w:r w:rsidR="0095525D" w:rsidRPr="0095525D">
        <w:rPr>
          <w:i/>
        </w:rPr>
        <w:t>u besoin, la Direction peut émettre des directives sur l'archivage</w:t>
      </w:r>
      <w:r w:rsidR="00392EEE">
        <w:rPr>
          <w:i/>
        </w:rPr>
        <w:t xml:space="preserve">, </w:t>
      </w:r>
      <w:r w:rsidR="00392EEE" w:rsidRPr="00392EEE">
        <w:t>un élément</w:t>
      </w:r>
      <w:r>
        <w:t xml:space="preserve"> qui n’a pas été repris dans le présent avant-projet. Il est en effet </w:t>
      </w:r>
      <w:r w:rsidR="00392EEE">
        <w:t>nécessaire de</w:t>
      </w:r>
      <w:r>
        <w:t xml:space="preserve"> </w:t>
      </w:r>
      <w:r w:rsidR="00BF2D7D">
        <w:t>souligner</w:t>
      </w:r>
      <w:r>
        <w:t xml:space="preserve"> que le traitement</w:t>
      </w:r>
      <w:r w:rsidR="00BF2D7D">
        <w:t xml:space="preserve"> archivistique</w:t>
      </w:r>
      <w:r>
        <w:t xml:space="preserve"> des autres dos</w:t>
      </w:r>
      <w:r w:rsidR="00BF2D7D">
        <w:t>siers n’apparaît pas ailleurs dans l’avant-projet.</w:t>
      </w:r>
      <w:r w:rsidR="00392EEE">
        <w:br/>
        <w:t>On s’interroge si le présent avant-projet</w:t>
      </w:r>
      <w:r w:rsidR="00053276">
        <w:t xml:space="preserve">, du moment </w:t>
      </w:r>
      <w:r w:rsidR="00C67B30">
        <w:t>qu’il s’agit d’</w:t>
      </w:r>
      <w:r w:rsidR="00053276">
        <w:t xml:space="preserve">une révision, ne pourrait pas cueillir l’occasion pour intégrer une </w:t>
      </w:r>
      <w:r w:rsidR="00392EEE">
        <w:t xml:space="preserve">référence </w:t>
      </w:r>
      <w:r w:rsidR="00053276">
        <w:t>solide à l</w:t>
      </w:r>
      <w:r w:rsidR="00392EEE">
        <w:t xml:space="preserve">a gestion des archives courantes et </w:t>
      </w:r>
      <w:r w:rsidR="00392EEE">
        <w:lastRenderedPageBreak/>
        <w:t xml:space="preserve">intermédiaires </w:t>
      </w:r>
      <w:r w:rsidR="00BF2D7D">
        <w:t xml:space="preserve">dans les </w:t>
      </w:r>
      <w:r w:rsidR="00392EEE">
        <w:t>dites écoles ?</w:t>
      </w:r>
      <w:r w:rsidR="0095525D">
        <w:br/>
      </w:r>
      <w:r w:rsidR="00392EEE">
        <w:t>Il serait possible d’ajouter un alinéa 4 à</w:t>
      </w:r>
      <w:r w:rsidR="0095525D">
        <w:t xml:space="preserve"> l’art. 73 du présent avant-projet </w:t>
      </w:r>
      <w:r w:rsidR="00392EEE">
        <w:t>précisant que</w:t>
      </w:r>
      <w:r w:rsidR="0095525D">
        <w:t xml:space="preserve"> </w:t>
      </w:r>
      <w:r w:rsidR="0095525D" w:rsidRPr="00134FA1">
        <w:rPr>
          <w:i/>
        </w:rPr>
        <w:t>Le</w:t>
      </w:r>
      <w:r w:rsidR="00134FA1" w:rsidRPr="00134FA1">
        <w:rPr>
          <w:i/>
        </w:rPr>
        <w:t>s</w:t>
      </w:r>
      <w:r w:rsidR="0095525D" w:rsidRPr="00134FA1">
        <w:rPr>
          <w:i/>
        </w:rPr>
        <w:t xml:space="preserve"> autres dossiers </w:t>
      </w:r>
      <w:r w:rsidR="00134FA1" w:rsidRPr="00134FA1">
        <w:rPr>
          <w:i/>
        </w:rPr>
        <w:t xml:space="preserve">sont traités conformément aux dispositions </w:t>
      </w:r>
      <w:r w:rsidR="00C67B30">
        <w:rPr>
          <w:i/>
        </w:rPr>
        <w:t>de la législation sur l’archivage</w:t>
      </w:r>
      <w:r w:rsidR="00053276">
        <w:t>.</w:t>
      </w:r>
    </w:p>
    <w:p w:rsidR="00392EEE" w:rsidRDefault="00392EEE" w:rsidP="007C6D9E">
      <w:r w:rsidRPr="00392EEE">
        <w:t xml:space="preserve">Dans tous les cas, les AEF </w:t>
      </w:r>
      <w:r>
        <w:t>se tiennent</w:t>
      </w:r>
      <w:r w:rsidRPr="00392EEE">
        <w:t xml:space="preserve"> à la disposition des </w:t>
      </w:r>
      <w:r>
        <w:t>écoles de l’enseignement secondaire supérieur</w:t>
      </w:r>
      <w:r w:rsidRPr="00392EEE">
        <w:t xml:space="preserve"> pour les aider à organiser l’archivage de leurs documents</w:t>
      </w:r>
      <w:r>
        <w:t>.</w:t>
      </w:r>
    </w:p>
    <w:p w:rsidR="002B2FAA" w:rsidRDefault="002B2FAA" w:rsidP="009D284B">
      <w:r>
        <w:t>Tout en vous souhaitant bonne réception de la présente, nous vous prions de croire, Mesdames, Messieurs, à l’assurance de notre considération</w:t>
      </w:r>
      <w:r w:rsidR="00102C03">
        <w:t xml:space="preserve"> distinguée</w:t>
      </w:r>
      <w:r>
        <w:t>.</w:t>
      </w:r>
    </w:p>
    <w:tbl>
      <w:tblPr>
        <w:tblW w:w="5500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</w:tblGrid>
      <w:tr w:rsidR="0016386D" w:rsidRPr="00796D21" w:rsidTr="0016386D">
        <w:tc>
          <w:tcPr>
            <w:tcW w:w="5500" w:type="dxa"/>
            <w:tcMar>
              <w:top w:w="567" w:type="dxa"/>
            </w:tcMar>
          </w:tcPr>
          <w:p w:rsidR="0016386D" w:rsidRDefault="0016386D" w:rsidP="00796D21">
            <w:pPr>
              <w:spacing w:after="0"/>
              <w:rPr>
                <w:lang w:val="fr-FR"/>
              </w:rPr>
            </w:pPr>
          </w:p>
          <w:p w:rsidR="0016386D" w:rsidRPr="00796D21" w:rsidRDefault="0016386D" w:rsidP="00796D21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Alexandre Dafflon</w:t>
            </w:r>
          </w:p>
          <w:p w:rsidR="0016386D" w:rsidRPr="00796D21" w:rsidRDefault="0016386D" w:rsidP="00796D21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Archiviste cantonal</w:t>
            </w:r>
          </w:p>
        </w:tc>
      </w:tr>
    </w:tbl>
    <w:p w:rsidR="00796D21" w:rsidRPr="00796D21" w:rsidRDefault="00796D21" w:rsidP="00B72BC8">
      <w:pPr>
        <w:pStyle w:val="08puces"/>
        <w:numPr>
          <w:ilvl w:val="0"/>
          <w:numId w:val="0"/>
        </w:numPr>
        <w:rPr>
          <w:lang w:val="fr-FR"/>
        </w:rPr>
      </w:pPr>
    </w:p>
    <w:sectPr w:rsidR="00796D21" w:rsidRPr="00796D21" w:rsidSect="00B72BC8">
      <w:headerReference w:type="default" r:id="rId8"/>
      <w:headerReference w:type="first" r:id="rId9"/>
      <w:type w:val="continuous"/>
      <w:pgSz w:w="11906" w:h="16838" w:code="9"/>
      <w:pgMar w:top="1985" w:right="851" w:bottom="993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55" w:rsidRDefault="00386D55" w:rsidP="00822F08">
      <w:r>
        <w:separator/>
      </w:r>
    </w:p>
  </w:endnote>
  <w:endnote w:type="continuationSeparator" w:id="0">
    <w:p w:rsidR="00386D55" w:rsidRDefault="00386D55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55" w:rsidRDefault="00386D55" w:rsidP="00822F08">
      <w:r>
        <w:separator/>
      </w:r>
    </w:p>
  </w:footnote>
  <w:footnote w:type="continuationSeparator" w:id="0">
    <w:p w:rsidR="00386D55" w:rsidRDefault="00386D55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35102">
      <w:trPr>
        <w:trHeight w:val="567"/>
      </w:trPr>
      <w:tc>
        <w:tcPr>
          <w:tcW w:w="9298" w:type="dxa"/>
        </w:tcPr>
        <w:p w:rsidR="00635102" w:rsidRDefault="00C2778C" w:rsidP="00822F08">
          <w:pPr>
            <w:pStyle w:val="09enttepage2"/>
          </w:pPr>
          <w:r>
            <w:t>Archives de l’Etat de Fribourg</w:t>
          </w:r>
          <w:r w:rsidR="00635102" w:rsidRPr="00A74986">
            <w:t xml:space="preserve"> </w:t>
          </w:r>
          <w:r>
            <w:rPr>
              <w:b w:val="0"/>
            </w:rPr>
            <w:t>AEF</w:t>
          </w:r>
        </w:p>
        <w:p w:rsidR="00635102" w:rsidRPr="0064336A" w:rsidRDefault="00635102" w:rsidP="00822F08">
          <w:pPr>
            <w:pStyle w:val="09enttepage2"/>
            <w:rPr>
              <w:rStyle w:val="Numrodepage"/>
            </w:rPr>
          </w:pPr>
          <w:r w:rsidRPr="002935AC">
            <w:rPr>
              <w:b w:val="0"/>
              <w:lang w:val="fr-FR"/>
            </w:rPr>
            <w:t xml:space="preserve">Page </w:t>
          </w:r>
          <w:r w:rsidR="00811DCB" w:rsidRPr="0064336A">
            <w:rPr>
              <w:b w:val="0"/>
              <w:lang w:val="de-DE"/>
            </w:rPr>
            <w:fldChar w:fldCharType="begin"/>
          </w:r>
          <w:r w:rsidRPr="002935AC">
            <w:rPr>
              <w:b w:val="0"/>
              <w:lang w:val="fr-FR"/>
            </w:rPr>
            <w:instrText xml:space="preserve"> PAGE </w:instrText>
          </w:r>
          <w:r w:rsidR="00811DCB" w:rsidRPr="0064336A">
            <w:rPr>
              <w:b w:val="0"/>
              <w:lang w:val="de-DE"/>
            </w:rPr>
            <w:fldChar w:fldCharType="separate"/>
          </w:r>
          <w:r w:rsidR="007D0AF3">
            <w:rPr>
              <w:b w:val="0"/>
              <w:noProof/>
              <w:lang w:val="fr-FR"/>
            </w:rPr>
            <w:t>2</w:t>
          </w:r>
          <w:r w:rsidR="00811DCB" w:rsidRPr="0064336A">
            <w:rPr>
              <w:b w:val="0"/>
              <w:lang w:val="de-DE"/>
            </w:rPr>
            <w:fldChar w:fldCharType="end"/>
          </w:r>
          <w:r w:rsidRPr="002935AC">
            <w:rPr>
              <w:b w:val="0"/>
              <w:lang w:val="fr-FR"/>
            </w:rPr>
            <w:t xml:space="preserve"> </w:t>
          </w:r>
          <w:r w:rsidRPr="0064336A">
            <w:rPr>
              <w:b w:val="0"/>
            </w:rPr>
            <w:t>de</w:t>
          </w:r>
          <w:r w:rsidRPr="002935AC">
            <w:rPr>
              <w:b w:val="0"/>
              <w:lang w:val="fr-FR"/>
            </w:rPr>
            <w:t xml:space="preserve"> </w:t>
          </w:r>
          <w:r w:rsidR="00811DCB" w:rsidRPr="0064336A">
            <w:rPr>
              <w:b w:val="0"/>
              <w:lang w:val="de-DE"/>
            </w:rPr>
            <w:fldChar w:fldCharType="begin"/>
          </w:r>
          <w:r w:rsidRPr="002935AC">
            <w:rPr>
              <w:b w:val="0"/>
              <w:lang w:val="fr-FR"/>
            </w:rPr>
            <w:instrText xml:space="preserve"> NUMPAGES  </w:instrText>
          </w:r>
          <w:r w:rsidR="00811DCB" w:rsidRPr="0064336A">
            <w:rPr>
              <w:b w:val="0"/>
              <w:lang w:val="de-DE"/>
            </w:rPr>
            <w:fldChar w:fldCharType="separate"/>
          </w:r>
          <w:r w:rsidR="007D0AF3">
            <w:rPr>
              <w:b w:val="0"/>
              <w:noProof/>
              <w:lang w:val="fr-FR"/>
            </w:rPr>
            <w:t>2</w:t>
          </w:r>
          <w:r w:rsidR="00811DCB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C693452" wp14:editId="2B0902D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35102" w:rsidRDefault="00635102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35102" w:rsidRPr="004A0F2D">
      <w:trPr>
        <w:trHeight w:val="1701"/>
      </w:trPr>
      <w:tc>
        <w:tcPr>
          <w:tcW w:w="5500" w:type="dxa"/>
        </w:tcPr>
        <w:p w:rsidR="00635102" w:rsidRPr="00AA545D" w:rsidRDefault="00635102" w:rsidP="00822F0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E629FF" w:rsidRPr="000E47E6" w:rsidRDefault="00E629FF" w:rsidP="00E629FF">
          <w:pPr>
            <w:pStyle w:val="01entteetbasdepage"/>
          </w:pPr>
          <w:r w:rsidRPr="00D744CA">
            <w:rPr>
              <w:b/>
            </w:rPr>
            <w:t>Archives de l’Etat de Fribourg</w:t>
          </w:r>
          <w:r w:rsidRPr="000E47E6">
            <w:t xml:space="preserve"> AEF</w:t>
          </w:r>
        </w:p>
        <w:p w:rsidR="00E629FF" w:rsidRPr="00683EB6" w:rsidRDefault="00E629FF" w:rsidP="00E629FF">
          <w:pPr>
            <w:pStyle w:val="01entteetbasdepage"/>
            <w:rPr>
              <w:lang w:val="de-DE"/>
            </w:rPr>
          </w:pPr>
          <w:r w:rsidRPr="00D744CA">
            <w:rPr>
              <w:b/>
              <w:lang w:val="de-DE"/>
            </w:rPr>
            <w:t>Staatsarchiv Freiburg</w:t>
          </w:r>
          <w:r w:rsidRPr="00683EB6">
            <w:rPr>
              <w:lang w:val="de-DE"/>
            </w:rPr>
            <w:t xml:space="preserve"> StAF</w:t>
          </w:r>
        </w:p>
        <w:p w:rsidR="00E629FF" w:rsidRPr="00683EB6" w:rsidRDefault="00E629FF" w:rsidP="00E629FF">
          <w:pPr>
            <w:pStyle w:val="01entteetbasdepage"/>
            <w:rPr>
              <w:lang w:val="de-DE"/>
            </w:rPr>
          </w:pPr>
        </w:p>
        <w:p w:rsidR="00E629FF" w:rsidRPr="00683EB6" w:rsidRDefault="00E629FF" w:rsidP="00E629FF">
          <w:pPr>
            <w:pStyle w:val="01entteetbasdepage"/>
            <w:rPr>
              <w:lang w:val="de-DE"/>
            </w:rPr>
          </w:pPr>
          <w:r w:rsidRPr="00683EB6">
            <w:rPr>
              <w:szCs w:val="12"/>
              <w:lang w:val="de-DE"/>
            </w:rPr>
            <w:t>17, route des Arsenaux, 1700 Fribourg</w:t>
          </w:r>
        </w:p>
        <w:p w:rsidR="00E629FF" w:rsidRPr="00683EB6" w:rsidRDefault="00E629FF" w:rsidP="00E629FF">
          <w:pPr>
            <w:pStyle w:val="01entteetbasdepage"/>
            <w:rPr>
              <w:lang w:val="de-DE"/>
            </w:rPr>
          </w:pPr>
        </w:p>
        <w:p w:rsidR="00E629FF" w:rsidRPr="00920A79" w:rsidRDefault="00E629FF" w:rsidP="00E629FF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12 70, F +41 </w:t>
          </w:r>
          <w:r w:rsidRPr="00920A79">
            <w:t xml:space="preserve">26 305 </w:t>
          </w:r>
          <w:r>
            <w:t>12 71</w:t>
          </w:r>
        </w:p>
        <w:p w:rsidR="00E629FF" w:rsidRDefault="00E629FF" w:rsidP="00E629FF">
          <w:pPr>
            <w:pStyle w:val="01entteetbasdepage"/>
          </w:pPr>
          <w:r>
            <w:t>www.fr.ch/aef</w:t>
          </w:r>
        </w:p>
        <w:p w:rsidR="00635102" w:rsidRPr="00E629FF" w:rsidRDefault="00635102" w:rsidP="00822F08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:rsidR="00635102" w:rsidRDefault="00635102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84DF7"/>
    <w:multiLevelType w:val="hybridMultilevel"/>
    <w:tmpl w:val="7BBC59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E8267B6"/>
    <w:multiLevelType w:val="hybridMultilevel"/>
    <w:tmpl w:val="89A28B4C"/>
    <w:lvl w:ilvl="0" w:tplc="91447310">
      <w:start w:val="1"/>
      <w:numFmt w:val="bullet"/>
      <w:lvlText w:val="&gt;"/>
      <w:lvlJc w:val="left"/>
      <w:pPr>
        <w:tabs>
          <w:tab w:val="num" w:pos="-454"/>
        </w:tabs>
        <w:ind w:left="362" w:hanging="36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09A3766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1"/>
  </w:num>
  <w:num w:numId="4">
    <w:abstractNumId w:val="19"/>
  </w:num>
  <w:num w:numId="5">
    <w:abstractNumId w:val="17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8"/>
  </w:num>
  <w:num w:numId="15">
    <w:abstractNumId w:val="10"/>
  </w:num>
  <w:num w:numId="16">
    <w:abstractNumId w:val="20"/>
  </w:num>
  <w:num w:numId="17">
    <w:abstractNumId w:val="5"/>
  </w:num>
  <w:num w:numId="18">
    <w:abstractNumId w:val="12"/>
  </w:num>
  <w:num w:numId="19">
    <w:abstractNumId w:val="11"/>
  </w:num>
  <w:num w:numId="20">
    <w:abstractNumId w:val="6"/>
  </w:num>
  <w:num w:numId="21">
    <w:abstractNumId w:val="15"/>
  </w:num>
  <w:num w:numId="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55"/>
    <w:rsid w:val="000121E8"/>
    <w:rsid w:val="00012987"/>
    <w:rsid w:val="00023286"/>
    <w:rsid w:val="00031A06"/>
    <w:rsid w:val="00031CCF"/>
    <w:rsid w:val="0003640B"/>
    <w:rsid w:val="00036A2B"/>
    <w:rsid w:val="00037D06"/>
    <w:rsid w:val="0005180B"/>
    <w:rsid w:val="000527A7"/>
    <w:rsid w:val="00053276"/>
    <w:rsid w:val="000545E9"/>
    <w:rsid w:val="00057097"/>
    <w:rsid w:val="000647F8"/>
    <w:rsid w:val="0007491C"/>
    <w:rsid w:val="00090CFB"/>
    <w:rsid w:val="0009687E"/>
    <w:rsid w:val="00097A55"/>
    <w:rsid w:val="000C3893"/>
    <w:rsid w:val="000C4227"/>
    <w:rsid w:val="000C692B"/>
    <w:rsid w:val="000C717D"/>
    <w:rsid w:val="000D199E"/>
    <w:rsid w:val="000E75BE"/>
    <w:rsid w:val="000F316E"/>
    <w:rsid w:val="00102C03"/>
    <w:rsid w:val="001209A8"/>
    <w:rsid w:val="00126750"/>
    <w:rsid w:val="00134FA1"/>
    <w:rsid w:val="00142131"/>
    <w:rsid w:val="0015357C"/>
    <w:rsid w:val="0016386D"/>
    <w:rsid w:val="00164E0E"/>
    <w:rsid w:val="001707C0"/>
    <w:rsid w:val="00170F39"/>
    <w:rsid w:val="001717CE"/>
    <w:rsid w:val="001806FD"/>
    <w:rsid w:val="001865FA"/>
    <w:rsid w:val="0019170A"/>
    <w:rsid w:val="001B3BB1"/>
    <w:rsid w:val="001D3257"/>
    <w:rsid w:val="001F2AD5"/>
    <w:rsid w:val="001F66C0"/>
    <w:rsid w:val="002024FB"/>
    <w:rsid w:val="0020539C"/>
    <w:rsid w:val="0021138F"/>
    <w:rsid w:val="00212E28"/>
    <w:rsid w:val="00220F1C"/>
    <w:rsid w:val="00222D0D"/>
    <w:rsid w:val="002268DA"/>
    <w:rsid w:val="002322C5"/>
    <w:rsid w:val="002526DD"/>
    <w:rsid w:val="002815CF"/>
    <w:rsid w:val="00284BDA"/>
    <w:rsid w:val="00290192"/>
    <w:rsid w:val="002935AC"/>
    <w:rsid w:val="002A372A"/>
    <w:rsid w:val="002B2FAA"/>
    <w:rsid w:val="002C3631"/>
    <w:rsid w:val="002E05B5"/>
    <w:rsid w:val="002E0C89"/>
    <w:rsid w:val="002E61CA"/>
    <w:rsid w:val="002F309B"/>
    <w:rsid w:val="002F7A28"/>
    <w:rsid w:val="00304C61"/>
    <w:rsid w:val="00311CE8"/>
    <w:rsid w:val="003161CA"/>
    <w:rsid w:val="0033677B"/>
    <w:rsid w:val="003610A2"/>
    <w:rsid w:val="003621BF"/>
    <w:rsid w:val="00372FBF"/>
    <w:rsid w:val="003840D4"/>
    <w:rsid w:val="003861FD"/>
    <w:rsid w:val="00386D55"/>
    <w:rsid w:val="00392EEE"/>
    <w:rsid w:val="00396E9E"/>
    <w:rsid w:val="00397C9B"/>
    <w:rsid w:val="003A0242"/>
    <w:rsid w:val="003A1567"/>
    <w:rsid w:val="003A5DB1"/>
    <w:rsid w:val="003A6FEA"/>
    <w:rsid w:val="003B28E1"/>
    <w:rsid w:val="003C6FC8"/>
    <w:rsid w:val="003D0F49"/>
    <w:rsid w:val="003F60B8"/>
    <w:rsid w:val="003F6291"/>
    <w:rsid w:val="004024F9"/>
    <w:rsid w:val="004034DA"/>
    <w:rsid w:val="004063DE"/>
    <w:rsid w:val="00410377"/>
    <w:rsid w:val="00413F4A"/>
    <w:rsid w:val="00446D4F"/>
    <w:rsid w:val="00450169"/>
    <w:rsid w:val="00466920"/>
    <w:rsid w:val="004721E1"/>
    <w:rsid w:val="004730DF"/>
    <w:rsid w:val="00474D18"/>
    <w:rsid w:val="00477555"/>
    <w:rsid w:val="00481286"/>
    <w:rsid w:val="004C1F68"/>
    <w:rsid w:val="004C25DA"/>
    <w:rsid w:val="004D55F0"/>
    <w:rsid w:val="004D7C75"/>
    <w:rsid w:val="00501257"/>
    <w:rsid w:val="00501DD6"/>
    <w:rsid w:val="00537259"/>
    <w:rsid w:val="0054726A"/>
    <w:rsid w:val="00556B75"/>
    <w:rsid w:val="00557AE5"/>
    <w:rsid w:val="00561C35"/>
    <w:rsid w:val="00567D4F"/>
    <w:rsid w:val="00575E12"/>
    <w:rsid w:val="00585A7E"/>
    <w:rsid w:val="005863EC"/>
    <w:rsid w:val="00591D12"/>
    <w:rsid w:val="00594330"/>
    <w:rsid w:val="005B65EC"/>
    <w:rsid w:val="005C416E"/>
    <w:rsid w:val="005D5A1D"/>
    <w:rsid w:val="006137C6"/>
    <w:rsid w:val="006279F2"/>
    <w:rsid w:val="00631A33"/>
    <w:rsid w:val="00634512"/>
    <w:rsid w:val="00635102"/>
    <w:rsid w:val="00675317"/>
    <w:rsid w:val="00676C56"/>
    <w:rsid w:val="006830A4"/>
    <w:rsid w:val="00683F93"/>
    <w:rsid w:val="0069274B"/>
    <w:rsid w:val="00697129"/>
    <w:rsid w:val="006B092C"/>
    <w:rsid w:val="006B0989"/>
    <w:rsid w:val="006B18A2"/>
    <w:rsid w:val="006D33CA"/>
    <w:rsid w:val="006F09FD"/>
    <w:rsid w:val="00700A1F"/>
    <w:rsid w:val="007030A9"/>
    <w:rsid w:val="00715C32"/>
    <w:rsid w:val="00716613"/>
    <w:rsid w:val="00721FC6"/>
    <w:rsid w:val="00727C01"/>
    <w:rsid w:val="00732548"/>
    <w:rsid w:val="00733450"/>
    <w:rsid w:val="00745030"/>
    <w:rsid w:val="00757D9D"/>
    <w:rsid w:val="00772169"/>
    <w:rsid w:val="00776170"/>
    <w:rsid w:val="0077660A"/>
    <w:rsid w:val="00780146"/>
    <w:rsid w:val="00792150"/>
    <w:rsid w:val="0079296C"/>
    <w:rsid w:val="00796D21"/>
    <w:rsid w:val="007A5B04"/>
    <w:rsid w:val="007B4BAE"/>
    <w:rsid w:val="007C6D9E"/>
    <w:rsid w:val="007D0AF3"/>
    <w:rsid w:val="007D7134"/>
    <w:rsid w:val="007E76B5"/>
    <w:rsid w:val="007F2668"/>
    <w:rsid w:val="0080132D"/>
    <w:rsid w:val="00811DCB"/>
    <w:rsid w:val="0082120F"/>
    <w:rsid w:val="00822F08"/>
    <w:rsid w:val="00825A77"/>
    <w:rsid w:val="00825FAD"/>
    <w:rsid w:val="00830D66"/>
    <w:rsid w:val="0084483B"/>
    <w:rsid w:val="008464DC"/>
    <w:rsid w:val="0084683F"/>
    <w:rsid w:val="008605B1"/>
    <w:rsid w:val="008710D6"/>
    <w:rsid w:val="0087344A"/>
    <w:rsid w:val="0088191E"/>
    <w:rsid w:val="00885A72"/>
    <w:rsid w:val="00895E67"/>
    <w:rsid w:val="008A3C53"/>
    <w:rsid w:val="008B2CD3"/>
    <w:rsid w:val="008C7806"/>
    <w:rsid w:val="008E16E7"/>
    <w:rsid w:val="008E598C"/>
    <w:rsid w:val="008E5CC1"/>
    <w:rsid w:val="008E60E3"/>
    <w:rsid w:val="008F48B3"/>
    <w:rsid w:val="00924A45"/>
    <w:rsid w:val="0092528D"/>
    <w:rsid w:val="00951A71"/>
    <w:rsid w:val="0095525D"/>
    <w:rsid w:val="00961742"/>
    <w:rsid w:val="00967BB7"/>
    <w:rsid w:val="00974E2E"/>
    <w:rsid w:val="009808EA"/>
    <w:rsid w:val="0098423B"/>
    <w:rsid w:val="00995D8A"/>
    <w:rsid w:val="009A4E82"/>
    <w:rsid w:val="009B4094"/>
    <w:rsid w:val="009B545A"/>
    <w:rsid w:val="009D284B"/>
    <w:rsid w:val="009E1816"/>
    <w:rsid w:val="009F3A93"/>
    <w:rsid w:val="00A07AEB"/>
    <w:rsid w:val="00A13017"/>
    <w:rsid w:val="00A2339A"/>
    <w:rsid w:val="00A50D48"/>
    <w:rsid w:val="00A51FB3"/>
    <w:rsid w:val="00A65F5B"/>
    <w:rsid w:val="00A67111"/>
    <w:rsid w:val="00A67B19"/>
    <w:rsid w:val="00A747F5"/>
    <w:rsid w:val="00A7596F"/>
    <w:rsid w:val="00A9055C"/>
    <w:rsid w:val="00A90E2F"/>
    <w:rsid w:val="00A92BB2"/>
    <w:rsid w:val="00AA35C1"/>
    <w:rsid w:val="00AA7E60"/>
    <w:rsid w:val="00AC5867"/>
    <w:rsid w:val="00AD2EC8"/>
    <w:rsid w:val="00AD7CAF"/>
    <w:rsid w:val="00AE0B43"/>
    <w:rsid w:val="00B05FBD"/>
    <w:rsid w:val="00B17C15"/>
    <w:rsid w:val="00B42CFD"/>
    <w:rsid w:val="00B72BC8"/>
    <w:rsid w:val="00B76FA3"/>
    <w:rsid w:val="00B77135"/>
    <w:rsid w:val="00B82F6B"/>
    <w:rsid w:val="00B92C98"/>
    <w:rsid w:val="00BC2D26"/>
    <w:rsid w:val="00BC7E3A"/>
    <w:rsid w:val="00BD1A1E"/>
    <w:rsid w:val="00BD223B"/>
    <w:rsid w:val="00BD2E25"/>
    <w:rsid w:val="00BD42DB"/>
    <w:rsid w:val="00BE1339"/>
    <w:rsid w:val="00BE63F9"/>
    <w:rsid w:val="00BF2D7D"/>
    <w:rsid w:val="00BF3C2A"/>
    <w:rsid w:val="00BF7BEE"/>
    <w:rsid w:val="00C03476"/>
    <w:rsid w:val="00C2778C"/>
    <w:rsid w:val="00C358AF"/>
    <w:rsid w:val="00C40316"/>
    <w:rsid w:val="00C42815"/>
    <w:rsid w:val="00C428BF"/>
    <w:rsid w:val="00C574BD"/>
    <w:rsid w:val="00C67B30"/>
    <w:rsid w:val="00C72084"/>
    <w:rsid w:val="00C7471C"/>
    <w:rsid w:val="00C814D9"/>
    <w:rsid w:val="00C93436"/>
    <w:rsid w:val="00C95163"/>
    <w:rsid w:val="00CB0D76"/>
    <w:rsid w:val="00CB5B30"/>
    <w:rsid w:val="00CB5D62"/>
    <w:rsid w:val="00CC3E5A"/>
    <w:rsid w:val="00CD26B6"/>
    <w:rsid w:val="00CF1352"/>
    <w:rsid w:val="00D00051"/>
    <w:rsid w:val="00D42F15"/>
    <w:rsid w:val="00D44D42"/>
    <w:rsid w:val="00D502C7"/>
    <w:rsid w:val="00D51725"/>
    <w:rsid w:val="00D744CA"/>
    <w:rsid w:val="00D74612"/>
    <w:rsid w:val="00D9454B"/>
    <w:rsid w:val="00DB18ED"/>
    <w:rsid w:val="00DB4112"/>
    <w:rsid w:val="00DC1335"/>
    <w:rsid w:val="00DC68EB"/>
    <w:rsid w:val="00DE48B7"/>
    <w:rsid w:val="00DF0229"/>
    <w:rsid w:val="00DF69E0"/>
    <w:rsid w:val="00E15ECB"/>
    <w:rsid w:val="00E21BA0"/>
    <w:rsid w:val="00E330C0"/>
    <w:rsid w:val="00E35056"/>
    <w:rsid w:val="00E438E0"/>
    <w:rsid w:val="00E46BC2"/>
    <w:rsid w:val="00E629FF"/>
    <w:rsid w:val="00E6678C"/>
    <w:rsid w:val="00E96849"/>
    <w:rsid w:val="00E96FC0"/>
    <w:rsid w:val="00E977E7"/>
    <w:rsid w:val="00EA0575"/>
    <w:rsid w:val="00EE1C7D"/>
    <w:rsid w:val="00F03672"/>
    <w:rsid w:val="00F516ED"/>
    <w:rsid w:val="00F54F17"/>
    <w:rsid w:val="00F569B1"/>
    <w:rsid w:val="00F73DBB"/>
    <w:rsid w:val="00F76BBE"/>
    <w:rsid w:val="00F86652"/>
    <w:rsid w:val="00F9105F"/>
    <w:rsid w:val="00FA75A4"/>
    <w:rsid w:val="00FC072E"/>
    <w:rsid w:val="00FE3639"/>
    <w:rsid w:val="00FF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DC4E6A"/>
  <w15:docId w15:val="{D7D24749-5BE5-41E2-991E-1296CA7A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A2339A"/>
    <w:rPr>
      <w:sz w:val="16"/>
      <w:szCs w:val="16"/>
    </w:rPr>
  </w:style>
  <w:style w:type="paragraph" w:styleId="Commentaire">
    <w:name w:val="annotation text"/>
    <w:basedOn w:val="Normal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table" w:customStyle="1" w:styleId="Trameclaire-Accent11">
    <w:name w:val="Trame claire - Accent 11"/>
    <w:basedOn w:val="TableauNormal"/>
    <w:uiPriority w:val="60"/>
    <w:rsid w:val="007030A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rsid w:val="00703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rsid w:val="00F9105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9105F"/>
    <w:rPr>
      <w:rFonts w:ascii="Times New Roman" w:hAnsi="Times New Roman"/>
      <w:lang w:eastAsia="fr-FR"/>
    </w:rPr>
  </w:style>
  <w:style w:type="character" w:styleId="Appelnotedebasdep">
    <w:name w:val="footnote reference"/>
    <w:basedOn w:val="Policepardfaut"/>
    <w:rsid w:val="00F91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7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2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1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7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45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9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52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3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2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4.%20HORS%20PLAN%20DE%20CLASSEMENT\A_Modeles\Mod&#232;les%20&#224;%20virgule\Mod&#232;les%20AEF\No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3FBF-D281-4089-A36F-26B5AAF9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Note.dotx</Template>
  <TotalTime>0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Broillet Leonardo</dc:creator>
  <cp:lastModifiedBy>Dafflon Alexandre</cp:lastModifiedBy>
  <cp:revision>12</cp:revision>
  <cp:lastPrinted>2020-01-21T15:13:00Z</cp:lastPrinted>
  <dcterms:created xsi:type="dcterms:W3CDTF">2019-09-26T07:26:00Z</dcterms:created>
  <dcterms:modified xsi:type="dcterms:W3CDTF">2020-01-31T10:35:00Z</dcterms:modified>
</cp:coreProperties>
</file>