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9956B1" w:rsidTr="00181B20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9956B1" w:rsidRPr="000A58BD" w:rsidRDefault="009956B1" w:rsidP="00181B20">
            <w:pPr>
              <w:pStyle w:val="06atexteprincipal"/>
              <w:spacing w:after="0"/>
            </w:pPr>
            <w:bookmarkStart w:id="0" w:name="Texte15"/>
          </w:p>
        </w:tc>
      </w:tr>
    </w:tbl>
    <w:bookmarkEnd w:id="0"/>
    <w:p w:rsidR="00EF7262" w:rsidRPr="007E2249" w:rsidRDefault="007E2249" w:rsidP="00BA1674">
      <w:pPr>
        <w:pStyle w:val="Titre6"/>
        <w:rPr>
          <w:rFonts w:ascii="Times New Roman" w:hAnsi="Times New Roman" w:cs="Times New Roman"/>
          <w:sz w:val="28"/>
          <w:szCs w:val="28"/>
          <w:lang w:val="de-DE"/>
        </w:rPr>
      </w:pPr>
      <w:r w:rsidRPr="007E2249">
        <w:rPr>
          <w:rFonts w:ascii="Times New Roman" w:eastAsia="Times New Roman" w:hAnsi="Times New Roman" w:cs="Times New Roman"/>
          <w:sz w:val="28"/>
          <w:szCs w:val="28"/>
          <w:lang w:val="de-DE"/>
        </w:rPr>
        <w:t>Gesuch für den Zugriff auf die Grundbuchdaten über Intercapi</w:t>
      </w:r>
    </w:p>
    <w:p w:rsidR="00BA1674" w:rsidRPr="007E2249" w:rsidRDefault="00BA1674" w:rsidP="00BA1674">
      <w:pPr>
        <w:rPr>
          <w:lang w:val="de-DE"/>
        </w:rPr>
      </w:pPr>
    </w:p>
    <w:p w:rsidR="00181B20" w:rsidRPr="007E2249" w:rsidRDefault="00181B20" w:rsidP="00BA1674">
      <w:pPr>
        <w:rPr>
          <w:lang w:val="de-DE"/>
        </w:rPr>
      </w:pPr>
    </w:p>
    <w:p w:rsidR="00BA1674" w:rsidRPr="007E2249" w:rsidRDefault="007E2249" w:rsidP="00BA1674">
      <w:pPr>
        <w:pStyle w:val="06atexteprincipal"/>
        <w:tabs>
          <w:tab w:val="left" w:pos="1418"/>
          <w:tab w:val="left" w:pos="4536"/>
        </w:tabs>
        <w:ind w:left="1418" w:hanging="1418"/>
        <w:rPr>
          <w:lang w:val="de-DE"/>
        </w:rPr>
      </w:pPr>
      <w:r w:rsidRPr="007E2249">
        <w:rPr>
          <w:lang w:val="de-DE"/>
        </w:rPr>
        <w:t>Firma, Dienst / Gesuchtsteller</w:t>
      </w:r>
      <w:r w:rsidR="00BA1674" w:rsidRPr="007E2249">
        <w:rPr>
          <w:lang w:val="de-DE"/>
        </w:rPr>
        <w:t> :</w:t>
      </w:r>
      <w:r w:rsidR="00BA1674" w:rsidRPr="007E2249">
        <w:rPr>
          <w:lang w:val="de-DE"/>
        </w:rPr>
        <w:tab/>
      </w:r>
      <w:r w:rsidR="00AC6628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" w:name="Texte12"/>
      <w:r w:rsidR="00BA1674" w:rsidRPr="007E2249">
        <w:rPr>
          <w:lang w:val="de-DE"/>
        </w:rPr>
        <w:instrText xml:space="preserve"> FORMTEXT </w:instrText>
      </w:r>
      <w:r w:rsidR="00AC6628">
        <w:fldChar w:fldCharType="separate"/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AC6628">
        <w:fldChar w:fldCharType="end"/>
      </w:r>
      <w:bookmarkEnd w:id="1"/>
    </w:p>
    <w:p w:rsidR="00BA1674" w:rsidRPr="007E2249" w:rsidRDefault="007E2249" w:rsidP="00BA1674">
      <w:pPr>
        <w:pStyle w:val="06atexteprincipal"/>
        <w:tabs>
          <w:tab w:val="left" w:pos="1418"/>
          <w:tab w:val="left" w:pos="4536"/>
        </w:tabs>
        <w:ind w:left="1418" w:hanging="1418"/>
        <w:rPr>
          <w:lang w:val="de-DE"/>
        </w:rPr>
      </w:pPr>
      <w:r w:rsidRPr="007E2249">
        <w:rPr>
          <w:lang w:val="de-DE"/>
        </w:rPr>
        <w:t>Verantwortliche Person</w:t>
      </w:r>
      <w:r w:rsidR="00BA1674" w:rsidRPr="007E2249">
        <w:rPr>
          <w:lang w:val="de-DE"/>
        </w:rPr>
        <w:t> :</w:t>
      </w:r>
      <w:r w:rsidR="00BA1674" w:rsidRPr="007E2249">
        <w:rPr>
          <w:lang w:val="de-DE"/>
        </w:rPr>
        <w:tab/>
      </w:r>
      <w:r w:rsidR="00AC6628">
        <w:fldChar w:fldCharType="begin">
          <w:ffData>
            <w:name w:val="Texte13"/>
            <w:enabled/>
            <w:calcOnExit w:val="0"/>
            <w:textInput/>
          </w:ffData>
        </w:fldChar>
      </w:r>
      <w:r w:rsidR="00BA1674" w:rsidRPr="007E2249">
        <w:rPr>
          <w:lang w:val="de-DE"/>
        </w:rPr>
        <w:instrText xml:space="preserve"> FORMTEXT </w:instrText>
      </w:r>
      <w:r w:rsidR="00AC6628">
        <w:fldChar w:fldCharType="separate"/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AC6628">
        <w:fldChar w:fldCharType="end"/>
      </w:r>
    </w:p>
    <w:p w:rsidR="00BA1674" w:rsidRPr="00A202F8" w:rsidRDefault="007E2249" w:rsidP="00BA1674">
      <w:pPr>
        <w:pStyle w:val="06atexteprincipal"/>
        <w:tabs>
          <w:tab w:val="left" w:pos="1418"/>
          <w:tab w:val="left" w:pos="4536"/>
        </w:tabs>
        <w:ind w:left="1418" w:hanging="1418"/>
        <w:rPr>
          <w:lang w:val="de-DE"/>
        </w:rPr>
      </w:pPr>
      <w:r w:rsidRPr="007E2249">
        <w:rPr>
          <w:lang w:val="de-DE"/>
        </w:rPr>
        <w:t>Telefon / e-mail Adresse</w:t>
      </w:r>
      <w:r w:rsidR="00BA1674" w:rsidRPr="00A202F8">
        <w:rPr>
          <w:lang w:val="de-DE"/>
        </w:rPr>
        <w:t> :</w:t>
      </w:r>
      <w:r w:rsidR="00BA1674" w:rsidRPr="00A202F8">
        <w:rPr>
          <w:lang w:val="de-DE"/>
        </w:rPr>
        <w:tab/>
      </w:r>
      <w:r w:rsidR="00AC6628"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="00BA1674" w:rsidRPr="00A202F8">
        <w:rPr>
          <w:lang w:val="de-DE"/>
        </w:rPr>
        <w:instrText xml:space="preserve"> FORMTEXT </w:instrText>
      </w:r>
      <w:r w:rsidR="00AC6628">
        <w:fldChar w:fldCharType="separate"/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BA1674">
        <w:rPr>
          <w:noProof/>
        </w:rPr>
        <w:t> </w:t>
      </w:r>
      <w:r w:rsidR="00AC6628">
        <w:fldChar w:fldCharType="end"/>
      </w:r>
      <w:bookmarkEnd w:id="2"/>
    </w:p>
    <w:p w:rsidR="00BA1674" w:rsidRPr="00A202F8" w:rsidRDefault="00BA1674" w:rsidP="00BA1674">
      <w:pPr>
        <w:pStyle w:val="06atexteprincipal"/>
        <w:tabs>
          <w:tab w:val="left" w:pos="4536"/>
        </w:tabs>
        <w:rPr>
          <w:lang w:val="de-DE"/>
        </w:rPr>
      </w:pPr>
      <w:r w:rsidRPr="00A202F8">
        <w:rPr>
          <w:lang w:val="de-DE"/>
        </w:rPr>
        <w:t>Adresse :</w:t>
      </w:r>
      <w:r w:rsidRPr="00A202F8">
        <w:rPr>
          <w:lang w:val="de-DE"/>
        </w:rPr>
        <w:tab/>
      </w:r>
      <w:r w:rsidR="00AC662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A202F8">
        <w:rPr>
          <w:lang w:val="de-DE"/>
        </w:rPr>
        <w:instrText xml:space="preserve"> FORMTEXT </w:instrText>
      </w:r>
      <w:r w:rsidR="00AC66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C6628">
        <w:fldChar w:fldCharType="end"/>
      </w:r>
      <w:bookmarkEnd w:id="3"/>
    </w:p>
    <w:p w:rsidR="00181B20" w:rsidRPr="00A202F8" w:rsidRDefault="00181B20" w:rsidP="00BA1674">
      <w:pPr>
        <w:pStyle w:val="06atexteprincipal"/>
        <w:tabs>
          <w:tab w:val="left" w:pos="4536"/>
        </w:tabs>
        <w:rPr>
          <w:lang w:val="de-DE"/>
        </w:rPr>
      </w:pPr>
    </w:p>
    <w:p w:rsidR="00BA1674" w:rsidRPr="00EE29E6" w:rsidRDefault="007E2249" w:rsidP="00266404">
      <w:pPr>
        <w:pStyle w:val="10bnumrotation2eniveau"/>
        <w:ind w:hanging="453"/>
        <w:rPr>
          <w:lang w:val="de-DE"/>
        </w:rPr>
      </w:pPr>
      <w:bookmarkStart w:id="4" w:name="EtendueAccesR"/>
      <w:bookmarkEnd w:id="4"/>
      <w:r w:rsidRPr="007E2249">
        <w:rPr>
          <w:b/>
          <w:lang w:val="de-DE"/>
        </w:rPr>
        <w:t>Umfang des Zugriffsrechts</w:t>
      </w:r>
      <w:r w:rsidR="00BA1674" w:rsidRPr="007E2249">
        <w:rPr>
          <w:b/>
          <w:lang w:val="de-DE"/>
        </w:rPr>
        <w:br/>
      </w:r>
      <w:r w:rsidR="00BA1674" w:rsidRPr="007E2249">
        <w:rPr>
          <w:lang w:val="de-DE"/>
        </w:rPr>
        <w:br/>
      </w:r>
      <w:r w:rsidRPr="00EE29E6">
        <w:rPr>
          <w:lang w:val="de-DE"/>
        </w:rPr>
        <w:t xml:space="preserve">Der Umfang des Zugriffsrechts ist in Art. </w:t>
      </w:r>
      <w:r w:rsidR="00EE29E6" w:rsidRPr="00EE29E6">
        <w:rPr>
          <w:lang w:val="de-DE"/>
        </w:rPr>
        <w:t>29</w:t>
      </w:r>
      <w:r w:rsidRPr="00EE29E6">
        <w:rPr>
          <w:lang w:val="de-DE"/>
        </w:rPr>
        <w:t xml:space="preserve"> der </w:t>
      </w:r>
      <w:r w:rsidR="00EE29E6" w:rsidRPr="00EE29E6">
        <w:rPr>
          <w:lang w:val="de-CH"/>
        </w:rPr>
        <w:t>eidgenössischen Verordnung</w:t>
      </w:r>
      <w:r w:rsidRPr="00EE29E6">
        <w:rPr>
          <w:lang w:val="de-DE"/>
        </w:rPr>
        <w:t xml:space="preserve"> geregelt.</w:t>
      </w:r>
    </w:p>
    <w:p w:rsidR="00BA1674" w:rsidRPr="007E2249" w:rsidRDefault="00BA1674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  <w:rPr>
          <w:lang w:val="de-DE"/>
        </w:rPr>
      </w:pPr>
    </w:p>
    <w:p w:rsidR="00181B20" w:rsidRPr="007E2249" w:rsidRDefault="00181B20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  <w:rPr>
          <w:lang w:val="de-DE"/>
        </w:rPr>
      </w:pPr>
    </w:p>
    <w:p w:rsidR="00BA1674" w:rsidRPr="007E2249" w:rsidRDefault="007E2249" w:rsidP="00266404">
      <w:pPr>
        <w:pStyle w:val="10bnumrotation2eniveau"/>
        <w:ind w:hanging="453"/>
        <w:rPr>
          <w:lang w:val="de-DE"/>
        </w:rPr>
      </w:pPr>
      <w:bookmarkStart w:id="5" w:name="EtendueAccesE"/>
      <w:bookmarkEnd w:id="5"/>
      <w:r w:rsidRPr="007E2249">
        <w:rPr>
          <w:b/>
          <w:lang w:val="de-DE"/>
        </w:rPr>
        <w:t>Verwendungszweck</w:t>
      </w:r>
      <w:r w:rsidR="00266404" w:rsidRPr="007E2249">
        <w:rPr>
          <w:b/>
          <w:lang w:val="de-DE"/>
        </w:rPr>
        <w:br/>
      </w:r>
      <w:r w:rsidR="00BA1674" w:rsidRPr="007E2249">
        <w:rPr>
          <w:lang w:val="de-DE"/>
        </w:rPr>
        <w:br/>
      </w:r>
      <w:r w:rsidRPr="007E2249">
        <w:rPr>
          <w:noProof/>
          <w:lang w:val="de-DE"/>
        </w:rPr>
        <w:t>Der Zugriff wird für folgende Zwecke beantragt:</w:t>
      </w:r>
      <w:r w:rsidR="00BA1674" w:rsidRPr="007E2249">
        <w:rPr>
          <w:lang w:val="de-DE"/>
        </w:rPr>
        <w:br/>
      </w:r>
      <w:r w:rsidR="00BA1674" w:rsidRPr="007E2249">
        <w:rPr>
          <w:lang w:val="de-DE"/>
        </w:rPr>
        <w:br/>
      </w:r>
      <w:bookmarkStart w:id="6" w:name="Finalite"/>
      <w:bookmarkStart w:id="7" w:name="FinaliteDesc"/>
      <w:bookmarkEnd w:id="6"/>
      <w:bookmarkEnd w:id="7"/>
      <w:r w:rsidR="00AC6628" w:rsidRPr="00BA1674">
        <w:fldChar w:fldCharType="begin">
          <w:ffData>
            <w:name w:val="Texte2"/>
            <w:enabled/>
            <w:calcOnExit w:val="0"/>
            <w:textInput/>
          </w:ffData>
        </w:fldChar>
      </w:r>
      <w:r w:rsidR="00BA1674" w:rsidRPr="007E2249">
        <w:rPr>
          <w:lang w:val="de-DE"/>
        </w:rPr>
        <w:instrText xml:space="preserve"> FORMTEXT </w:instrText>
      </w:r>
      <w:r w:rsidR="00AC6628" w:rsidRPr="00BA1674">
        <w:fldChar w:fldCharType="separate"/>
      </w:r>
      <w:r w:rsidR="00BA1674" w:rsidRPr="00BA1674">
        <w:rPr>
          <w:noProof/>
        </w:rPr>
        <w:t> </w:t>
      </w:r>
      <w:r w:rsidR="00BA1674" w:rsidRPr="00BA1674">
        <w:rPr>
          <w:noProof/>
        </w:rPr>
        <w:t> </w:t>
      </w:r>
      <w:r w:rsidR="00BA1674" w:rsidRPr="00BA1674">
        <w:rPr>
          <w:noProof/>
        </w:rPr>
        <w:t> </w:t>
      </w:r>
      <w:r w:rsidR="00BA1674" w:rsidRPr="00BA1674">
        <w:rPr>
          <w:noProof/>
        </w:rPr>
        <w:t> </w:t>
      </w:r>
      <w:r w:rsidR="00BA1674" w:rsidRPr="00BA1674">
        <w:rPr>
          <w:noProof/>
        </w:rPr>
        <w:t> </w:t>
      </w:r>
      <w:r w:rsidR="00AC6628" w:rsidRPr="00BA1674">
        <w:fldChar w:fldCharType="end"/>
      </w:r>
      <w:r w:rsidR="00BA1674" w:rsidRPr="007E2249">
        <w:rPr>
          <w:lang w:val="de-DE"/>
        </w:rPr>
        <w:br/>
      </w:r>
      <w:r w:rsidR="00BA1674" w:rsidRPr="007E2249">
        <w:rPr>
          <w:lang w:val="de-DE"/>
        </w:rPr>
        <w:br/>
      </w:r>
      <w:r>
        <w:rPr>
          <w:lang w:val="de-CH"/>
        </w:rPr>
        <w:t>Die z</w:t>
      </w:r>
      <w:r w:rsidRPr="00FA25FC">
        <w:rPr>
          <w:lang w:val="de-CH"/>
        </w:rPr>
        <w:t>ugriffsberechtigte Person verpflichtet sich, die Daten ausschliesslich im Rahmen der angegebenen Zwecke zu verwenden</w:t>
      </w:r>
      <w:r w:rsidRPr="00A912AD">
        <w:rPr>
          <w:lang w:val="de-CH"/>
        </w:rPr>
        <w:t>.</w:t>
      </w:r>
    </w:p>
    <w:p w:rsidR="00BA1674" w:rsidRPr="007E2249" w:rsidRDefault="00BA1674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  <w:rPr>
          <w:lang w:val="de-DE"/>
        </w:rPr>
      </w:pPr>
    </w:p>
    <w:p w:rsidR="00181B20" w:rsidRPr="007E2249" w:rsidRDefault="00181B20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  <w:rPr>
          <w:lang w:val="de-DE"/>
        </w:rPr>
      </w:pPr>
    </w:p>
    <w:p w:rsidR="00BA1674" w:rsidRPr="007E2249" w:rsidRDefault="007E2249" w:rsidP="00266404">
      <w:pPr>
        <w:pStyle w:val="10bnumrotation2eniveau"/>
        <w:tabs>
          <w:tab w:val="left" w:pos="1134"/>
        </w:tabs>
        <w:ind w:left="709" w:hanging="453"/>
        <w:rPr>
          <w:b/>
        </w:rPr>
      </w:pPr>
      <w:r w:rsidRPr="007E2249">
        <w:rPr>
          <w:b/>
        </w:rPr>
        <w:t>Schutz vor unbefugtem Zugang</w:t>
      </w:r>
      <w:r w:rsidR="00BA1674" w:rsidRPr="007E2249">
        <w:rPr>
          <w:b/>
        </w:rPr>
        <w:br/>
      </w:r>
    </w:p>
    <w:p w:rsidR="00BA1674" w:rsidRPr="007E2249" w:rsidRDefault="007E2249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Der Benutzername und das Passwort dürfen nur persönlich genutzt und nicht weitergegeben werden.</w:t>
      </w:r>
    </w:p>
    <w:p w:rsidR="00BA1674" w:rsidRPr="007E2249" w:rsidRDefault="007E2249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Der Benutzername darf nicht geändert werden. Es ist nicht gestattet, dass zwei Personen unter dem gleichen Namen arbeiten.</w:t>
      </w:r>
    </w:p>
    <w:p w:rsidR="00817948" w:rsidRPr="007E2249" w:rsidRDefault="007E2249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Das Passwort ist vertraulich zu behandeln.</w:t>
      </w:r>
    </w:p>
    <w:p w:rsidR="00BA1674" w:rsidRDefault="007E2249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FA25FC">
        <w:rPr>
          <w:lang w:val="de-CH"/>
        </w:rPr>
        <w:t>Die zugriffsberechtigte Person verpflichtet sich, sämtliche Massnahmen zur Einhaltung des Datenschutzes zu treffen. Namentlich hat sie:</w:t>
      </w:r>
    </w:p>
    <w:p w:rsidR="00BA1674" w:rsidRPr="007E2249" w:rsidRDefault="007E2249" w:rsidP="00266404">
      <w:pPr>
        <w:pStyle w:val="10bnumrotation2eniveau"/>
        <w:numPr>
          <w:ilvl w:val="2"/>
          <w:numId w:val="21"/>
        </w:numPr>
        <w:tabs>
          <w:tab w:val="num" w:pos="737"/>
          <w:tab w:val="left" w:pos="1134"/>
        </w:tabs>
        <w:ind w:left="1701" w:hanging="141"/>
        <w:rPr>
          <w:lang w:val="de-DE"/>
        </w:rPr>
      </w:pPr>
      <w:r w:rsidRPr="00FA25FC">
        <w:rPr>
          <w:lang w:val="de-CH"/>
        </w:rPr>
        <w:t>durch adäquaten Schutz ihrer Systeme zu verhindern, dass diese als Plattform zu Angriffen auf die Systeme des Grundbuchs missbraucht werden können oder die Daten unbefugten Dritten zugänglich werden;</w:t>
      </w:r>
    </w:p>
    <w:p w:rsidR="00BA1674" w:rsidRPr="007E2249" w:rsidRDefault="007E2249" w:rsidP="00266404">
      <w:pPr>
        <w:pStyle w:val="10bnumrotation2eniveau"/>
        <w:numPr>
          <w:ilvl w:val="2"/>
          <w:numId w:val="21"/>
        </w:numPr>
        <w:tabs>
          <w:tab w:val="num" w:pos="737"/>
          <w:tab w:val="left" w:pos="1134"/>
        </w:tabs>
        <w:ind w:left="1701" w:hanging="141"/>
        <w:rPr>
          <w:lang w:val="de-DE"/>
        </w:rPr>
      </w:pPr>
      <w:r w:rsidRPr="00FA25FC">
        <w:rPr>
          <w:lang w:val="de-CH"/>
        </w:rPr>
        <w:t>dafür besorgt zu sein, dass nur berechtigte Datenbezüge erfolgen und die Daten zweckgemäss verwendet werden.</w:t>
      </w:r>
    </w:p>
    <w:p w:rsidR="00266404" w:rsidRPr="007E2249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  <w:rPr>
          <w:lang w:val="de-DE"/>
        </w:rPr>
      </w:pPr>
    </w:p>
    <w:p w:rsidR="00181B20" w:rsidRPr="007E2249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  <w:rPr>
          <w:lang w:val="de-DE"/>
        </w:rPr>
      </w:pPr>
    </w:p>
    <w:p w:rsidR="00266404" w:rsidRPr="00AF1DC3" w:rsidRDefault="00AF1DC3" w:rsidP="00266404">
      <w:pPr>
        <w:pStyle w:val="10bnumrotation2eniveau"/>
        <w:tabs>
          <w:tab w:val="left" w:pos="1134"/>
        </w:tabs>
        <w:ind w:left="709" w:hanging="453"/>
        <w:rPr>
          <w:b/>
          <w:lang w:val="de-DE"/>
        </w:rPr>
      </w:pPr>
      <w:r w:rsidRPr="00AF1DC3">
        <w:rPr>
          <w:b/>
          <w:lang w:val="de-DE"/>
        </w:rPr>
        <w:lastRenderedPageBreak/>
        <w:t>Einschränkungen betreffend Weitergabe der elektronischen Daten an Dritte</w:t>
      </w:r>
      <w:r w:rsidR="00266404" w:rsidRPr="00AF1DC3">
        <w:rPr>
          <w:b/>
          <w:lang w:val="de-DE"/>
        </w:rPr>
        <w:br/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Die Weitergabe der elektronischen Daten an Dritte ist nicht gestattet</w:t>
      </w:r>
      <w:r w:rsidR="00BA1674" w:rsidRPr="00AF1DC3">
        <w:rPr>
          <w:lang w:val="de-DE"/>
        </w:rPr>
        <w:t>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Die zugriffsberechtigte Person verpflichtet sich, die bezogenen Daten namentlich gegen Verlust, Diebstahl, unerlaubte Bearbeitung und Verwendung seitens unberechtigter Personen zu schützen.</w:t>
      </w:r>
    </w:p>
    <w:p w:rsidR="00266404" w:rsidRPr="00AF1DC3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  <w:rPr>
          <w:lang w:val="de-DE"/>
        </w:rPr>
      </w:pPr>
    </w:p>
    <w:p w:rsidR="00181B20" w:rsidRPr="00AF1DC3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  <w:rPr>
          <w:lang w:val="de-DE"/>
        </w:rPr>
      </w:pPr>
    </w:p>
    <w:p w:rsidR="00266404" w:rsidRPr="00AF1DC3" w:rsidRDefault="00AF1DC3" w:rsidP="00266404">
      <w:pPr>
        <w:pStyle w:val="10bnumrotation2eniveau"/>
        <w:tabs>
          <w:tab w:val="left" w:pos="1134"/>
        </w:tabs>
        <w:ind w:left="709" w:hanging="453"/>
        <w:rPr>
          <w:b/>
        </w:rPr>
      </w:pPr>
      <w:r w:rsidRPr="00AF1DC3">
        <w:rPr>
          <w:b/>
        </w:rPr>
        <w:t>Kontrolle von Datenzugriffen</w:t>
      </w:r>
      <w:r w:rsidR="00266404" w:rsidRPr="00AF1DC3">
        <w:rPr>
          <w:b/>
        </w:rPr>
        <w:br/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Sämtliche Abfragen werden vom Kanton protokolliert. Die Zugriffsprotokolle werden während zwei Jahren aufbewahrt und periodisch kontrolliert.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Die zugriffsberechtigte Person verpflichtet sich, dem Kanton auf Verlangen die Zweckmässigkeit der erfolgten Datenzugriffe nachzuweisen.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Sämtliche Informationen über den Geschäftsbetrieb der zugriffsberechtigten Personen, welche dem Kanton oder dessen Beauftragten zur Kenntnis gelangen, werden vertraulich behandelt</w:t>
      </w:r>
      <w:r>
        <w:rPr>
          <w:lang w:val="de-DE"/>
        </w:rPr>
        <w:t>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Die Protokolle sind ausschliesslich der Informatikabteilung der Grundbuchämter zugänglich</w:t>
      </w:r>
      <w:r>
        <w:rPr>
          <w:lang w:val="de-DE"/>
        </w:rPr>
        <w:t>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>
        <w:rPr>
          <w:lang w:val="de-CH"/>
        </w:rPr>
        <w:t xml:space="preserve">Erfolgt länger als 90 Tage kein Datenzugriff, so wird der Zugriff automatisch gesperrt. </w:t>
      </w:r>
      <w:r w:rsidRPr="00821F4A">
        <w:rPr>
          <w:lang w:val="de-CH"/>
        </w:rPr>
        <w:t>Die entsprechende Grundgebühr wird jedoch weiter erhoben, solange keine Löschung des Kontos beantragt wird</w:t>
      </w:r>
      <w:r w:rsidR="00BA1674" w:rsidRPr="00AF1DC3">
        <w:rPr>
          <w:lang w:val="de-DE"/>
        </w:rPr>
        <w:t>.</w:t>
      </w:r>
    </w:p>
    <w:p w:rsidR="00266404" w:rsidRPr="00AF1DC3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  <w:rPr>
          <w:lang w:val="de-DE"/>
        </w:rPr>
      </w:pPr>
    </w:p>
    <w:p w:rsidR="00181B20" w:rsidRPr="00AF1DC3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  <w:rPr>
          <w:lang w:val="de-DE"/>
        </w:rPr>
      </w:pPr>
    </w:p>
    <w:p w:rsidR="00BA1674" w:rsidRPr="00AF1DC3" w:rsidRDefault="00AF1DC3" w:rsidP="00266404">
      <w:pPr>
        <w:pStyle w:val="10bnumrotation2eniveau"/>
        <w:tabs>
          <w:tab w:val="left" w:pos="1134"/>
        </w:tabs>
        <w:ind w:left="709" w:hanging="453"/>
        <w:rPr>
          <w:b/>
        </w:rPr>
      </w:pPr>
      <w:r w:rsidRPr="00AF1DC3">
        <w:rPr>
          <w:b/>
        </w:rPr>
        <w:t>Verstösse und Sanktionen</w:t>
      </w:r>
      <w:r w:rsidR="00266404" w:rsidRPr="00AF1DC3">
        <w:rPr>
          <w:b/>
        </w:rPr>
        <w:br/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Der Kanton kann die Zugriffsberechtigung bei Verletzung von gesetzlichen Vorschriften oder dieser Vereinbarung einschränken und bei missbräuchlicher Bearbeitung oder Verwendung der Daten unverzüglich entziehen</w:t>
      </w:r>
      <w:r w:rsidR="00BA1674" w:rsidRPr="00AF1DC3">
        <w:rPr>
          <w:lang w:val="de-DE"/>
        </w:rPr>
        <w:t>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Die Einschränkung und der Entzug der Zugriffsberechtigung erfolgen mittels beschwerde</w:t>
      </w:r>
      <w:r>
        <w:rPr>
          <w:lang w:val="de-CH"/>
        </w:rPr>
        <w:softHyphen/>
      </w:r>
      <w:r w:rsidRPr="00FA25FC">
        <w:rPr>
          <w:lang w:val="de-CH"/>
        </w:rPr>
        <w:t>fähiger Verfügung</w:t>
      </w:r>
      <w:r w:rsidR="00BA1674" w:rsidRPr="00AF1DC3">
        <w:rPr>
          <w:lang w:val="de-DE"/>
        </w:rPr>
        <w:t>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Eine erneute Zugriffberechtigung darf erst erteilt werden, sobald die zugriffsberechtigte Person nachweist, dass sie ausreichende Vorkehrungen getroffen hat um den gesetzlichen Verpflichtungen künftig nachzukommen</w:t>
      </w:r>
      <w:r w:rsidR="00BA1674" w:rsidRPr="00AF1DC3">
        <w:rPr>
          <w:lang w:val="de-DE"/>
        </w:rPr>
        <w:t>.</w:t>
      </w:r>
    </w:p>
    <w:p w:rsidR="00266404" w:rsidRPr="00AF1DC3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hanging="453"/>
        <w:rPr>
          <w:lang w:val="de-DE"/>
        </w:rPr>
      </w:pPr>
    </w:p>
    <w:p w:rsidR="00181B20" w:rsidRPr="00AF1DC3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hanging="453"/>
        <w:rPr>
          <w:lang w:val="de-DE"/>
        </w:rPr>
      </w:pPr>
    </w:p>
    <w:p w:rsidR="00BA1674" w:rsidRPr="00AF1DC3" w:rsidRDefault="00AF1DC3" w:rsidP="00266404">
      <w:pPr>
        <w:pStyle w:val="10bnumrotation2eniveau"/>
        <w:ind w:left="709" w:hanging="453"/>
        <w:rPr>
          <w:lang w:val="de-DE"/>
        </w:rPr>
      </w:pPr>
      <w:r w:rsidRPr="00AF1DC3">
        <w:rPr>
          <w:b/>
          <w:lang w:val="de-DE"/>
        </w:rPr>
        <w:t>Rechtswirkungen</w:t>
      </w:r>
      <w:r w:rsidR="00266404" w:rsidRPr="00AF1DC3">
        <w:rPr>
          <w:b/>
          <w:lang w:val="de-DE"/>
        </w:rPr>
        <w:br/>
      </w:r>
      <w:r w:rsidR="00266404" w:rsidRPr="00AF1DC3">
        <w:rPr>
          <w:b/>
          <w:lang w:val="de-DE"/>
        </w:rPr>
        <w:br/>
      </w:r>
      <w:r w:rsidRPr="00FA25FC">
        <w:rPr>
          <w:lang w:val="de-CH"/>
        </w:rPr>
        <w:t>Die im Abrufverfahren bezogenen Grundbuchdaten stellen ein reines Informationsmittel dar. Rechtswirkungen entfalten einzig die durch das Grundbuchamt beglaubigten Auszüge</w:t>
      </w:r>
      <w:r w:rsidR="00BA1674" w:rsidRPr="00AF1DC3">
        <w:rPr>
          <w:lang w:val="de-DE"/>
        </w:rPr>
        <w:t>.</w:t>
      </w:r>
    </w:p>
    <w:p w:rsidR="00266404" w:rsidRPr="00AF1DC3" w:rsidRDefault="00266404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426" w:hanging="453"/>
        <w:rPr>
          <w:lang w:val="de-DE"/>
        </w:rPr>
      </w:pPr>
    </w:p>
    <w:p w:rsidR="00181B20" w:rsidRPr="00AF1DC3" w:rsidRDefault="00181B20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426" w:hanging="453"/>
        <w:rPr>
          <w:lang w:val="de-DE"/>
        </w:rPr>
      </w:pPr>
    </w:p>
    <w:p w:rsidR="00BA1674" w:rsidRPr="00AF1DC3" w:rsidRDefault="00AF1DC3" w:rsidP="00AF1DC3">
      <w:pPr>
        <w:pStyle w:val="10bnumrotation2eniveau"/>
        <w:ind w:left="709" w:hanging="425"/>
        <w:rPr>
          <w:lang w:val="de-DE"/>
        </w:rPr>
      </w:pPr>
      <w:r w:rsidRPr="00AF1DC3">
        <w:rPr>
          <w:b/>
          <w:lang w:val="de-DE"/>
        </w:rPr>
        <w:t>Entschädigung und Kosten</w:t>
      </w:r>
      <w:r w:rsidR="00266404" w:rsidRPr="00AF1DC3">
        <w:rPr>
          <w:b/>
          <w:lang w:val="de-DE"/>
        </w:rPr>
        <w:br/>
      </w:r>
      <w:r w:rsidR="00266404" w:rsidRPr="00AF1DC3">
        <w:rPr>
          <w:lang w:val="de-DE"/>
        </w:rPr>
        <w:br/>
      </w:r>
      <w:r w:rsidRPr="00FA25FC">
        <w:rPr>
          <w:lang w:val="de-CH"/>
        </w:rPr>
        <w:t xml:space="preserve">Der Datenbezug im Abrufverfahren wird halbjährlich in Rechnung gestellt, gemäss </w:t>
      </w:r>
      <w:r w:rsidR="00A202F8" w:rsidRPr="00D242F5">
        <w:rPr>
          <w:lang w:val="de-DE"/>
        </w:rPr>
        <w:t xml:space="preserve">Art. 2 Ziffer 17 des Tarifs vom 26. Oktober 2010 der festen </w:t>
      </w:r>
      <w:r w:rsidR="00D242F5" w:rsidRPr="00FA25FC">
        <w:rPr>
          <w:lang w:val="de-CH"/>
        </w:rPr>
        <w:t xml:space="preserve">Grundbuchgebühren </w:t>
      </w:r>
      <w:r w:rsidRPr="00FA25FC">
        <w:rPr>
          <w:lang w:val="de-CH"/>
        </w:rPr>
        <w:t>(SGF 214.5.16)</w:t>
      </w:r>
      <w:r w:rsidR="00266404" w:rsidRPr="00AF1DC3">
        <w:rPr>
          <w:lang w:val="de-DE"/>
        </w:rPr>
        <w:t>.</w:t>
      </w:r>
      <w:r>
        <w:rPr>
          <w:lang w:val="de-DE"/>
        </w:rPr>
        <w:br/>
      </w:r>
    </w:p>
    <w:p w:rsidR="00BA1674" w:rsidRPr="00AF1DC3" w:rsidRDefault="00AF1DC3" w:rsidP="00AF1DC3">
      <w:pPr>
        <w:pStyle w:val="10bnumrotation2eniveau"/>
        <w:ind w:left="426" w:hanging="142"/>
        <w:rPr>
          <w:b/>
        </w:rPr>
      </w:pPr>
      <w:r w:rsidRPr="00AF1DC3">
        <w:rPr>
          <w:b/>
        </w:rPr>
        <w:lastRenderedPageBreak/>
        <w:t>Gültigkeitsdauer und Kündigung</w:t>
      </w:r>
      <w:r w:rsidR="00266404" w:rsidRPr="00AF1DC3">
        <w:rPr>
          <w:b/>
        </w:rPr>
        <w:br/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Die zugriffsberechtigte Person kann unter Einhaltung einer einmonatigen Kündigungsfrist jederzeit auf das Zugriffsrecht verzichten</w:t>
      </w:r>
      <w:r w:rsidR="00BA1674" w:rsidRPr="00AF1DC3">
        <w:rPr>
          <w:lang w:val="de-DE"/>
        </w:rPr>
        <w:t>.</w:t>
      </w:r>
    </w:p>
    <w:p w:rsidR="00BA1674" w:rsidRPr="00AF1DC3" w:rsidRDefault="00AF1DC3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  <w:rPr>
          <w:lang w:val="de-DE"/>
        </w:rPr>
      </w:pPr>
      <w:r w:rsidRPr="00FA25FC">
        <w:rPr>
          <w:lang w:val="de-CH"/>
        </w:rPr>
        <w:t>Der Kanton kann diese Vereinbarung aus wichtigen Gründen kündigen; er eröffnet die Kündigung mittels Verfügung</w:t>
      </w:r>
      <w:r w:rsidR="00BA1674" w:rsidRPr="00AF1DC3">
        <w:rPr>
          <w:lang w:val="de-DE"/>
        </w:rPr>
        <w:t>.</w:t>
      </w:r>
    </w:p>
    <w:p w:rsidR="00181B20" w:rsidRPr="00AF1DC3" w:rsidRDefault="00181B20" w:rsidP="00181B20">
      <w:pPr>
        <w:pStyle w:val="10bnumrotation2eniveau"/>
        <w:numPr>
          <w:ilvl w:val="0"/>
          <w:numId w:val="0"/>
        </w:numPr>
        <w:ind w:left="737" w:hanging="368"/>
        <w:rPr>
          <w:lang w:val="de-DE"/>
        </w:rPr>
      </w:pPr>
    </w:p>
    <w:p w:rsidR="00181B20" w:rsidRPr="00AF1DC3" w:rsidRDefault="00181B20" w:rsidP="00181B20">
      <w:pPr>
        <w:pStyle w:val="10bnumrotation2eniveau"/>
        <w:numPr>
          <w:ilvl w:val="0"/>
          <w:numId w:val="0"/>
        </w:numPr>
        <w:ind w:left="737" w:hanging="368"/>
        <w:rPr>
          <w:lang w:val="de-DE"/>
        </w:rPr>
      </w:pPr>
    </w:p>
    <w:p w:rsidR="00BA1674" w:rsidRPr="00520520" w:rsidRDefault="00AF1DC3" w:rsidP="00AF1DC3">
      <w:pPr>
        <w:pStyle w:val="10bnumrotation2eniveau"/>
        <w:tabs>
          <w:tab w:val="clear" w:pos="737"/>
        </w:tabs>
        <w:spacing w:before="120" w:after="120"/>
        <w:ind w:left="426" w:hanging="142"/>
        <w:rPr>
          <w:lang w:val="de-DE"/>
        </w:rPr>
      </w:pPr>
      <w:bookmarkStart w:id="8" w:name="icapiUsers"/>
      <w:bookmarkEnd w:id="8"/>
      <w:r w:rsidRPr="00520520">
        <w:rPr>
          <w:b/>
          <w:lang w:val="de-DE"/>
        </w:rPr>
        <w:t>Zugriffsrecht</w:t>
      </w:r>
      <w:r w:rsidR="00266404" w:rsidRPr="00520520">
        <w:rPr>
          <w:b/>
          <w:lang w:val="de-DE"/>
        </w:rPr>
        <w:br/>
      </w:r>
      <w:r w:rsidR="00266404" w:rsidRPr="00520520">
        <w:rPr>
          <w:lang w:val="de-DE"/>
        </w:rPr>
        <w:br/>
      </w:r>
      <w:r w:rsidR="00520520" w:rsidRPr="00FA25FC">
        <w:rPr>
          <w:lang w:val="de-CH"/>
        </w:rPr>
        <w:t>Die für die Kontoinhaber/innen verantwortliche Person ist verpflichtet, jeden Benutzerwechsel mit dem Antragsformular zur Löschung eines Kontos zu melden</w:t>
      </w:r>
      <w:r w:rsidR="00520520">
        <w:rPr>
          <w:lang w:val="de-CH"/>
        </w:rPr>
        <w:t>.</w:t>
      </w:r>
      <w:r w:rsidR="00C96511" w:rsidRPr="00520520">
        <w:rPr>
          <w:lang w:val="de-DE"/>
        </w:rPr>
        <w:br/>
      </w:r>
    </w:p>
    <w:p w:rsidR="00C96511" w:rsidRPr="00520520" w:rsidRDefault="00520520" w:rsidP="00C96511">
      <w:pPr>
        <w:pStyle w:val="10bnumrotation2eniveau"/>
        <w:numPr>
          <w:ilvl w:val="0"/>
          <w:numId w:val="0"/>
        </w:numPr>
        <w:rPr>
          <w:lang w:val="de-DE"/>
        </w:rPr>
      </w:pPr>
      <w:r w:rsidRPr="00520520">
        <w:rPr>
          <w:lang w:val="de-CH"/>
        </w:rPr>
        <w:t>Die hienach aufgeführten Personen beantragen den Zugriff auf die Grundbuchdaten und akzeptieren die Nutzungsbedingungen durch ihre Unterschrift</w:t>
      </w:r>
      <w:r w:rsidR="00C96511" w:rsidRPr="00520520">
        <w:rPr>
          <w:lang w:val="de-DE"/>
        </w:rPr>
        <w:t>.</w:t>
      </w:r>
    </w:p>
    <w:p w:rsidR="00181B20" w:rsidRPr="00520520" w:rsidRDefault="00181B20" w:rsidP="00C96511">
      <w:pPr>
        <w:pStyle w:val="10bnumrotation2eniveau"/>
        <w:numPr>
          <w:ilvl w:val="0"/>
          <w:numId w:val="0"/>
        </w:numPr>
        <w:rPr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8"/>
        <w:gridCol w:w="1571"/>
        <w:gridCol w:w="970"/>
        <w:gridCol w:w="1414"/>
        <w:gridCol w:w="2436"/>
        <w:gridCol w:w="106"/>
      </w:tblGrid>
      <w:tr w:rsidR="00520520" w:rsidRPr="00DE145B" w:rsidTr="003E08B4">
        <w:tc>
          <w:tcPr>
            <w:tcW w:w="3248" w:type="dxa"/>
          </w:tcPr>
          <w:p w:rsidR="00520520" w:rsidRPr="00520520" w:rsidRDefault="00520520" w:rsidP="00431CC9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</w:pPr>
            <w:r w:rsidRPr="00520520"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  <w:t>Name Vorname</w:t>
            </w:r>
          </w:p>
        </w:tc>
        <w:tc>
          <w:tcPr>
            <w:tcW w:w="2541" w:type="dxa"/>
            <w:gridSpan w:val="2"/>
          </w:tcPr>
          <w:p w:rsidR="00520520" w:rsidRPr="00520520" w:rsidRDefault="00520520" w:rsidP="00431CC9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</w:pPr>
            <w:r w:rsidRPr="00520520"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  <w:t>Function</w:t>
            </w:r>
          </w:p>
        </w:tc>
        <w:tc>
          <w:tcPr>
            <w:tcW w:w="1414" w:type="dxa"/>
          </w:tcPr>
          <w:p w:rsidR="00520520" w:rsidRPr="00520520" w:rsidRDefault="00520520" w:rsidP="00431CC9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</w:pPr>
            <w:r w:rsidRPr="00520520"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  <w:t>Datum</w:t>
            </w:r>
          </w:p>
        </w:tc>
        <w:tc>
          <w:tcPr>
            <w:tcW w:w="2542" w:type="dxa"/>
            <w:gridSpan w:val="2"/>
          </w:tcPr>
          <w:p w:rsidR="00520520" w:rsidRPr="00520520" w:rsidRDefault="00520520" w:rsidP="00431CC9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</w:pPr>
            <w:r w:rsidRPr="00520520">
              <w:rPr>
                <w:rFonts w:ascii="Times New Roman" w:hAnsi="Times New Roman"/>
                <w:b/>
                <w:sz w:val="24"/>
                <w:szCs w:val="24"/>
                <w:lang w:val="de-CH" w:eastAsia="fr-FR"/>
              </w:rPr>
              <w:t>Unterschrift</w:t>
            </w:r>
          </w:p>
        </w:tc>
      </w:tr>
      <w:tr w:rsidR="00C96511" w:rsidTr="003E08B4">
        <w:tc>
          <w:tcPr>
            <w:tcW w:w="3248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3E08B4">
        <w:tc>
          <w:tcPr>
            <w:tcW w:w="3248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3E08B4">
        <w:tc>
          <w:tcPr>
            <w:tcW w:w="3248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3E08B4">
        <w:tc>
          <w:tcPr>
            <w:tcW w:w="3248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3E08B4">
        <w:tc>
          <w:tcPr>
            <w:tcW w:w="3248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3E08B4">
        <w:tc>
          <w:tcPr>
            <w:tcW w:w="3248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AC6628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bookmarkStart w:id="9" w:name="Ort"/>
      <w:tr w:rsidR="00FE3485" w:rsidTr="003E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69" w:type="dxa"/>
            <w:left w:w="340" w:type="dxa"/>
            <w:right w:w="0" w:type="dxa"/>
          </w:tblCellMar>
        </w:tblPrEx>
        <w:trPr>
          <w:gridAfter w:val="1"/>
          <w:wAfter w:w="106" w:type="dxa"/>
          <w:trHeight w:val="134"/>
        </w:trPr>
        <w:tc>
          <w:tcPr>
            <w:tcW w:w="9639" w:type="dxa"/>
            <w:gridSpan w:val="5"/>
            <w:tcMar>
              <w:left w:w="0" w:type="dxa"/>
              <w:bottom w:w="0" w:type="dxa"/>
              <w:right w:w="0" w:type="dxa"/>
            </w:tcMar>
          </w:tcPr>
          <w:p w:rsidR="003E08B4" w:rsidRPr="00BA1674" w:rsidRDefault="00B4190C" w:rsidP="003E08B4">
            <w:pPr>
              <w:pStyle w:val="06atexteprincipal"/>
            </w:pPr>
            <w:r>
              <w:fldChar w:fldCharType="begin">
                <w:ffData>
                  <w:name w:val="Ort"/>
                  <w:enabled/>
                  <w:calcOnExit w:val="0"/>
                  <w:textInput>
                    <w:default w:val="Ort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Ort    </w:t>
            </w:r>
            <w:r>
              <w:fldChar w:fldCharType="end"/>
            </w:r>
            <w:bookmarkEnd w:id="9"/>
            <w:r w:rsidR="00FE3485">
              <w:t xml:space="preserve">, </w:t>
            </w:r>
            <w:r w:rsidR="006622A3">
              <w:t>den</w:t>
            </w:r>
            <w:r w:rsidR="00FE3485">
              <w:t xml:space="preserve"> </w:t>
            </w:r>
            <w:bookmarkStart w:id="10" w:name="Texte6"/>
            <w:r w:rsidR="00AC6628">
              <w:fldChar w:fldCharType="begin"/>
            </w:r>
            <w:r w:rsidR="003E08B4">
              <w:instrText xml:space="preserve"> DATE  \@ "dd.MM.yyyy"  \* MERGEFORMAT </w:instrText>
            </w:r>
            <w:r w:rsidR="00AC6628">
              <w:fldChar w:fldCharType="separate"/>
            </w:r>
            <w:r>
              <w:rPr>
                <w:noProof/>
              </w:rPr>
              <w:t>16.05.2012</w:t>
            </w:r>
            <w:r w:rsidR="00AC6628">
              <w:fldChar w:fldCharType="end"/>
            </w:r>
          </w:p>
          <w:p w:rsidR="00FE3485" w:rsidRDefault="00AC6628" w:rsidP="003E08B4">
            <w:pPr>
              <w:pStyle w:val="04date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FE3485">
              <w:instrText xml:space="preserve"> FORMTEXT </w:instrText>
            </w:r>
            <w:r>
              <w:fldChar w:fldCharType="end"/>
            </w:r>
            <w:bookmarkEnd w:id="10"/>
          </w:p>
        </w:tc>
      </w:tr>
      <w:bookmarkStart w:id="11" w:name="Texte18"/>
      <w:tr w:rsidR="00207B0B" w:rsidRPr="00B4190C" w:rsidTr="003E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4" w:type="dxa"/>
            <w:left w:w="0" w:type="dxa"/>
          </w:tblCellMar>
          <w:tblLook w:val="00BF"/>
        </w:tblPrEx>
        <w:trPr>
          <w:gridAfter w:val="1"/>
          <w:wAfter w:w="106" w:type="dxa"/>
          <w:trHeight w:val="455"/>
        </w:trPr>
        <w:tc>
          <w:tcPr>
            <w:tcW w:w="4819" w:type="dxa"/>
            <w:gridSpan w:val="2"/>
            <w:tcMar>
              <w:top w:w="851" w:type="dxa"/>
            </w:tcMar>
          </w:tcPr>
          <w:p w:rsidR="00C96511" w:rsidRPr="00B4190C" w:rsidRDefault="00B4190C" w:rsidP="00C96511">
            <w:pPr>
              <w:pStyle w:val="06btexteprincipalsansespacebloc"/>
              <w:rPr>
                <w:i/>
                <w:sz w:val="18"/>
                <w:szCs w:val="18"/>
                <w:lang w:val="fr-CH"/>
              </w:rPr>
            </w:pPr>
            <w:r w:rsidRPr="00B4190C">
              <w:rPr>
                <w:i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(Stempel und Unterschrift)"/>
                  </w:textInput>
                </w:ffData>
              </w:fldChar>
            </w:r>
            <w:r w:rsidRPr="00B4190C">
              <w:rPr>
                <w:i/>
                <w:sz w:val="18"/>
                <w:szCs w:val="18"/>
                <w:lang w:val="fr-CH"/>
              </w:rPr>
              <w:instrText xml:space="preserve"> FORMTEXT </w:instrText>
            </w:r>
            <w:r w:rsidRPr="00B4190C">
              <w:rPr>
                <w:i/>
                <w:sz w:val="18"/>
                <w:szCs w:val="18"/>
                <w:lang w:val="fr-CH"/>
              </w:rPr>
            </w:r>
            <w:r w:rsidRPr="00B4190C">
              <w:rPr>
                <w:i/>
                <w:sz w:val="18"/>
                <w:szCs w:val="18"/>
                <w:lang w:val="fr-CH"/>
              </w:rPr>
              <w:fldChar w:fldCharType="separate"/>
            </w:r>
            <w:r w:rsidRPr="00B4190C">
              <w:rPr>
                <w:i/>
                <w:noProof/>
                <w:sz w:val="18"/>
                <w:szCs w:val="18"/>
                <w:lang w:val="fr-CH"/>
              </w:rPr>
              <w:t>(Stempel und Unterschrift)</w:t>
            </w:r>
            <w:r w:rsidRPr="00B4190C">
              <w:rPr>
                <w:i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  <w:tc>
          <w:tcPr>
            <w:tcW w:w="4820" w:type="dxa"/>
            <w:gridSpan w:val="3"/>
            <w:tcMar>
              <w:top w:w="851" w:type="dxa"/>
            </w:tcMar>
          </w:tcPr>
          <w:p w:rsidR="00207B0B" w:rsidRPr="00B4190C" w:rsidRDefault="00207B0B" w:rsidP="00181B20">
            <w:pPr>
              <w:pStyle w:val="06btexteprincipalsansespacebloc"/>
              <w:rPr>
                <w:i/>
                <w:sz w:val="18"/>
                <w:szCs w:val="18"/>
              </w:rPr>
            </w:pPr>
          </w:p>
        </w:tc>
      </w:tr>
      <w:tr w:rsidR="00207B0B" w:rsidRPr="00B4190C" w:rsidTr="003E0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4" w:type="dxa"/>
            <w:left w:w="0" w:type="dxa"/>
          </w:tblCellMar>
          <w:tblLook w:val="00BF"/>
        </w:tblPrEx>
        <w:trPr>
          <w:gridAfter w:val="1"/>
          <w:wAfter w:w="106" w:type="dxa"/>
        </w:trPr>
        <w:tc>
          <w:tcPr>
            <w:tcW w:w="9639" w:type="dxa"/>
            <w:gridSpan w:val="5"/>
            <w:tcMar>
              <w:top w:w="851" w:type="dxa"/>
            </w:tcMar>
          </w:tcPr>
          <w:p w:rsidR="00BA1674" w:rsidRPr="006622A3" w:rsidRDefault="006622A3" w:rsidP="00BA1674">
            <w:pPr>
              <w:pStyle w:val="08annexecontactrenseignementsetc"/>
              <w:rPr>
                <w:lang w:val="de-DE"/>
              </w:rPr>
            </w:pPr>
            <w:r w:rsidRPr="00FA25FC">
              <w:rPr>
                <w:sz w:val="15"/>
                <w:lang w:val="de-CH"/>
              </w:rPr>
              <w:t>Art. 949a des Schweizerischen Zivilgesetzbuchs vom 10. Dezember 1907 (SR 210)</w:t>
            </w:r>
          </w:p>
          <w:p w:rsidR="00BA1674" w:rsidRPr="006622A3" w:rsidRDefault="00BA1674" w:rsidP="00BA1674">
            <w:pPr>
              <w:pStyle w:val="08annexecontactrenseignementsetc"/>
              <w:rPr>
                <w:lang w:val="de-DE"/>
              </w:rPr>
            </w:pPr>
            <w:r w:rsidRPr="006622A3">
              <w:rPr>
                <w:lang w:val="de-DE"/>
              </w:rPr>
              <w:t xml:space="preserve">Art. 28, 29, 30 </w:t>
            </w:r>
            <w:r w:rsidR="006622A3" w:rsidRPr="00FA25FC">
              <w:rPr>
                <w:sz w:val="15"/>
                <w:lang w:val="de-CH"/>
              </w:rPr>
              <w:t>der eidgenössischen Verordnung vom 2</w:t>
            </w:r>
            <w:r w:rsidR="006622A3">
              <w:rPr>
                <w:sz w:val="15"/>
                <w:lang w:val="de-CH"/>
              </w:rPr>
              <w:t>3</w:t>
            </w:r>
            <w:r w:rsidR="006622A3" w:rsidRPr="00FA25FC">
              <w:rPr>
                <w:sz w:val="15"/>
                <w:lang w:val="de-CH"/>
              </w:rPr>
              <w:t xml:space="preserve">. </w:t>
            </w:r>
            <w:r w:rsidR="006622A3">
              <w:rPr>
                <w:rStyle w:val="hps"/>
                <w:rFonts w:cs="Arial"/>
                <w:color w:val="333333"/>
                <w:sz w:val="17"/>
                <w:szCs w:val="17"/>
                <w:lang w:val="de-DE"/>
              </w:rPr>
              <w:t>September 2011</w:t>
            </w:r>
            <w:r w:rsidR="006622A3" w:rsidRPr="00FA25FC">
              <w:rPr>
                <w:sz w:val="15"/>
                <w:lang w:val="de-CH"/>
              </w:rPr>
              <w:t xml:space="preserve"> betreffend das Grundbuch (GBV, SR 211.432.1)</w:t>
            </w:r>
          </w:p>
          <w:p w:rsidR="00BA1674" w:rsidRPr="006622A3" w:rsidRDefault="00BA1674" w:rsidP="00BA1674">
            <w:pPr>
              <w:pStyle w:val="08annexecontactrenseignementsetc"/>
              <w:rPr>
                <w:lang w:val="de-DE"/>
              </w:rPr>
            </w:pPr>
            <w:r w:rsidRPr="006622A3">
              <w:rPr>
                <w:lang w:val="de-DE"/>
              </w:rPr>
              <w:t xml:space="preserve">Art. 54g à 54i </w:t>
            </w:r>
            <w:r w:rsidR="006622A3" w:rsidRPr="00FA25FC">
              <w:rPr>
                <w:sz w:val="15"/>
                <w:lang w:val="de-CH"/>
              </w:rPr>
              <w:t>des Ausführungsreglements vom 9. Dezember 1986 zum Gesetz über das Grundbuch (SGF 214.5.11)</w:t>
            </w:r>
          </w:p>
          <w:p w:rsidR="00207B0B" w:rsidRPr="006622A3" w:rsidRDefault="00BA1674" w:rsidP="006622A3">
            <w:pPr>
              <w:pStyle w:val="08annexecontactrenseignementsetc"/>
              <w:rPr>
                <w:lang w:val="de-DE"/>
              </w:rPr>
            </w:pPr>
            <w:r w:rsidRPr="006622A3">
              <w:rPr>
                <w:lang w:val="de-DE"/>
              </w:rPr>
              <w:t xml:space="preserve">Art. 2 </w:t>
            </w:r>
            <w:r w:rsidR="006622A3" w:rsidRPr="006622A3">
              <w:rPr>
                <w:lang w:val="de-DE"/>
              </w:rPr>
              <w:t>Ziffer</w:t>
            </w:r>
            <w:r w:rsidRPr="006622A3">
              <w:rPr>
                <w:lang w:val="de-DE"/>
              </w:rPr>
              <w:t xml:space="preserve"> 17 </w:t>
            </w:r>
            <w:r w:rsidR="006622A3" w:rsidRPr="006622A3">
              <w:rPr>
                <w:lang w:val="de-DE"/>
              </w:rPr>
              <w:t>de</w:t>
            </w:r>
            <w:r w:rsidR="006622A3">
              <w:rPr>
                <w:lang w:val="de-DE"/>
              </w:rPr>
              <w:t>s</w:t>
            </w:r>
            <w:r w:rsidR="006622A3" w:rsidRPr="006622A3">
              <w:rPr>
                <w:lang w:val="de-DE"/>
              </w:rPr>
              <w:t xml:space="preserve"> Tarif</w:t>
            </w:r>
            <w:r w:rsidR="006622A3">
              <w:rPr>
                <w:lang w:val="de-DE"/>
              </w:rPr>
              <w:t>s</w:t>
            </w:r>
            <w:r w:rsidR="006622A3" w:rsidRPr="006622A3">
              <w:rPr>
                <w:lang w:val="de-DE"/>
              </w:rPr>
              <w:t xml:space="preserve"> vom</w:t>
            </w:r>
            <w:r w:rsidRPr="006622A3">
              <w:rPr>
                <w:lang w:val="de-DE"/>
              </w:rPr>
              <w:t xml:space="preserve"> 26</w:t>
            </w:r>
            <w:r w:rsidR="006622A3">
              <w:rPr>
                <w:lang w:val="de-DE"/>
              </w:rPr>
              <w:t>.</w:t>
            </w:r>
            <w:r w:rsidRPr="006622A3">
              <w:rPr>
                <w:lang w:val="de-DE"/>
              </w:rPr>
              <w:t xml:space="preserve"> </w:t>
            </w:r>
            <w:r w:rsidR="006622A3" w:rsidRPr="006622A3">
              <w:rPr>
                <w:lang w:val="de-DE"/>
              </w:rPr>
              <w:t>Oktober</w:t>
            </w:r>
            <w:r w:rsidRPr="006622A3">
              <w:rPr>
                <w:lang w:val="de-DE"/>
              </w:rPr>
              <w:t xml:space="preserve"> 2010 </w:t>
            </w:r>
            <w:r w:rsidR="00817948" w:rsidRPr="006622A3">
              <w:rPr>
                <w:lang w:val="de-DE"/>
              </w:rPr>
              <w:t>d</w:t>
            </w:r>
            <w:r w:rsidR="006622A3">
              <w:rPr>
                <w:lang w:val="de-DE"/>
              </w:rPr>
              <w:t>er</w:t>
            </w:r>
            <w:r w:rsidRPr="006622A3">
              <w:rPr>
                <w:lang w:val="de-DE"/>
              </w:rPr>
              <w:t xml:space="preserve"> </w:t>
            </w:r>
            <w:r w:rsidR="006622A3">
              <w:rPr>
                <w:lang w:val="de-DE"/>
              </w:rPr>
              <w:t>festen</w:t>
            </w:r>
            <w:r w:rsidRPr="006622A3">
              <w:rPr>
                <w:lang w:val="de-DE"/>
              </w:rPr>
              <w:t xml:space="preserve"> </w:t>
            </w:r>
            <w:r w:rsidR="00D242F5" w:rsidRPr="00FA25FC">
              <w:rPr>
                <w:lang w:val="de-CH"/>
              </w:rPr>
              <w:t xml:space="preserve">Grundbuchgebühren </w:t>
            </w:r>
            <w:r w:rsidRPr="006622A3">
              <w:rPr>
                <w:lang w:val="de-DE"/>
              </w:rPr>
              <w:t>(RSF 214.5.16)</w:t>
            </w:r>
          </w:p>
        </w:tc>
      </w:tr>
    </w:tbl>
    <w:p w:rsidR="0035478D" w:rsidRPr="006622A3" w:rsidRDefault="0035478D" w:rsidP="0036371F">
      <w:pPr>
        <w:pStyle w:val="10numrotation"/>
        <w:numPr>
          <w:ilvl w:val="0"/>
          <w:numId w:val="0"/>
        </w:numPr>
        <w:tabs>
          <w:tab w:val="left" w:pos="3686"/>
        </w:tabs>
        <w:rPr>
          <w:lang w:val="de-DE"/>
        </w:rPr>
      </w:pPr>
    </w:p>
    <w:sectPr w:rsidR="0035478D" w:rsidRPr="006622A3" w:rsidSect="00EF7124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55C" w:rsidRDefault="00CD355C" w:rsidP="00181B20">
      <w:r>
        <w:separator/>
      </w:r>
    </w:p>
  </w:endnote>
  <w:endnote w:type="continuationSeparator" w:id="0">
    <w:p w:rsidR="00CD355C" w:rsidRDefault="00CD355C" w:rsidP="0018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5C" w:rsidRPr="00BF50CB" w:rsidRDefault="00CD355C" w:rsidP="00181B20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7E2249" w:rsidRDefault="007E2249" w:rsidP="007E2249">
    <w:pPr>
      <w:pStyle w:val="01entteetbasdepage"/>
    </w:pPr>
    <w:r>
      <w:t xml:space="preserve">Finanzdirektion </w:t>
    </w:r>
    <w:r w:rsidRPr="00387A4C">
      <w:rPr>
        <w:b/>
      </w:rPr>
      <w:t>FIND</w:t>
    </w:r>
  </w:p>
  <w:p w:rsidR="00CD355C" w:rsidRPr="00BF50CB" w:rsidRDefault="00CD355C" w:rsidP="00181B20">
    <w:pPr>
      <w:pStyle w:val="01entteetbasdepage"/>
      <w:rPr>
        <w:b/>
        <w:lang w:val="fr-CH"/>
      </w:rPr>
    </w:pPr>
    <w:r>
      <w:t>Direction des finances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55C" w:rsidRDefault="00CD355C" w:rsidP="00181B20">
      <w:r>
        <w:separator/>
      </w:r>
    </w:p>
  </w:footnote>
  <w:footnote w:type="continuationSeparator" w:id="0">
    <w:p w:rsidR="00CD355C" w:rsidRDefault="00CD355C" w:rsidP="00181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CD355C" w:rsidRPr="0064336A" w:rsidTr="00181B20">
      <w:trPr>
        <w:trHeight w:val="567"/>
      </w:trPr>
      <w:tc>
        <w:tcPr>
          <w:tcW w:w="9298" w:type="dxa"/>
        </w:tcPr>
        <w:p w:rsidR="00CD355C" w:rsidRDefault="005B43F6" w:rsidP="00181B20">
          <w:pPr>
            <w:pStyle w:val="09enttepage2"/>
          </w:pPr>
          <w:r w:rsidRPr="003B17C4">
            <w:rPr>
              <w:lang w:val="fr-CH"/>
            </w:rPr>
            <w:t>Grundbuch</w:t>
          </w:r>
          <w:r w:rsidR="00D242F5">
            <w:rPr>
              <w:lang w:val="fr-CH"/>
            </w:rPr>
            <w:t>ä</w:t>
          </w:r>
          <w:r w:rsidRPr="003B17C4">
            <w:rPr>
              <w:lang w:val="fr-CH"/>
            </w:rPr>
            <w:t>mt</w:t>
          </w:r>
          <w:r w:rsidR="00D242F5">
            <w:rPr>
              <w:lang w:val="fr-CH"/>
            </w:rPr>
            <w:t>er</w:t>
          </w:r>
          <w:r w:rsidRPr="003B17C4">
            <w:rPr>
              <w:lang w:val="fr-CH"/>
            </w:rPr>
            <w:t xml:space="preserve">  GB</w:t>
          </w:r>
          <w:r w:rsidR="00D242F5">
            <w:rPr>
              <w:lang w:val="fr-CH"/>
            </w:rPr>
            <w:t>A</w:t>
          </w:r>
        </w:p>
        <w:p w:rsidR="00CD355C" w:rsidRPr="0064336A" w:rsidRDefault="005B43F6" w:rsidP="005B43F6">
          <w:pPr>
            <w:pStyle w:val="09enttepage2"/>
            <w:rPr>
              <w:rStyle w:val="Numrodepage"/>
            </w:rPr>
          </w:pPr>
          <w:r>
            <w:rPr>
              <w:b w:val="0"/>
              <w:lang w:val="fr-CH"/>
            </w:rPr>
            <w:t>Seite</w:t>
          </w:r>
          <w:r w:rsidR="00CD355C" w:rsidRPr="00B24B8E">
            <w:rPr>
              <w:b w:val="0"/>
              <w:lang w:val="fr-CH"/>
            </w:rPr>
            <w:t xml:space="preserve"> </w:t>
          </w:r>
          <w:r w:rsidR="00AC6628" w:rsidRPr="0064336A">
            <w:rPr>
              <w:b w:val="0"/>
              <w:lang w:val="de-DE"/>
            </w:rPr>
            <w:fldChar w:fldCharType="begin"/>
          </w:r>
          <w:r w:rsidR="00CD355C" w:rsidRPr="00B24B8E">
            <w:rPr>
              <w:b w:val="0"/>
              <w:lang w:val="fr-CH"/>
            </w:rPr>
            <w:instrText xml:space="preserve"> PAGE </w:instrText>
          </w:r>
          <w:r w:rsidR="00AC6628" w:rsidRPr="0064336A">
            <w:rPr>
              <w:b w:val="0"/>
              <w:lang w:val="de-DE"/>
            </w:rPr>
            <w:fldChar w:fldCharType="separate"/>
          </w:r>
          <w:r w:rsidR="00B4190C">
            <w:rPr>
              <w:b w:val="0"/>
              <w:noProof/>
              <w:lang w:val="fr-CH"/>
            </w:rPr>
            <w:t>3</w:t>
          </w:r>
          <w:r w:rsidR="00AC6628" w:rsidRPr="0064336A">
            <w:rPr>
              <w:b w:val="0"/>
              <w:lang w:val="de-DE"/>
            </w:rPr>
            <w:fldChar w:fldCharType="end"/>
          </w:r>
          <w:r w:rsidR="00CD355C" w:rsidRPr="00B24B8E">
            <w:rPr>
              <w:b w:val="0"/>
              <w:lang w:val="fr-CH"/>
            </w:rPr>
            <w:t xml:space="preserve"> </w:t>
          </w:r>
          <w:r>
            <w:rPr>
              <w:b w:val="0"/>
              <w:lang w:val="fr-CH"/>
            </w:rPr>
            <w:t>von</w:t>
          </w:r>
          <w:r w:rsidR="00CD355C" w:rsidRPr="00B24B8E">
            <w:rPr>
              <w:b w:val="0"/>
              <w:lang w:val="fr-CH"/>
            </w:rPr>
            <w:t xml:space="preserve"> </w:t>
          </w:r>
          <w:r w:rsidR="00AC6628" w:rsidRPr="0064336A">
            <w:rPr>
              <w:b w:val="0"/>
              <w:lang w:val="de-DE"/>
            </w:rPr>
            <w:fldChar w:fldCharType="begin"/>
          </w:r>
          <w:r w:rsidR="00CD355C" w:rsidRPr="00B24B8E">
            <w:rPr>
              <w:b w:val="0"/>
              <w:lang w:val="fr-CH"/>
            </w:rPr>
            <w:instrText xml:space="preserve"> NUMPAGES  </w:instrText>
          </w:r>
          <w:r w:rsidR="00AC6628" w:rsidRPr="0064336A">
            <w:rPr>
              <w:b w:val="0"/>
              <w:lang w:val="de-DE"/>
            </w:rPr>
            <w:fldChar w:fldCharType="separate"/>
          </w:r>
          <w:r w:rsidR="00B4190C">
            <w:rPr>
              <w:b w:val="0"/>
              <w:noProof/>
              <w:lang w:val="fr-CH"/>
            </w:rPr>
            <w:t>3</w:t>
          </w:r>
          <w:r w:rsidR="00AC6628" w:rsidRPr="0064336A">
            <w:rPr>
              <w:b w:val="0"/>
              <w:lang w:val="de-DE"/>
            </w:rPr>
            <w:fldChar w:fldCharType="end"/>
          </w:r>
          <w:r w:rsidR="00CD355C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D355C" w:rsidRDefault="00CD355C" w:rsidP="005A5BC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9631"/>
      <w:gridCol w:w="63"/>
    </w:tblGrid>
    <w:tr w:rsidR="00CD355C" w:rsidRPr="004A0F2D" w:rsidTr="00181B20">
      <w:trPr>
        <w:trHeight w:val="1701"/>
      </w:trPr>
      <w:tc>
        <w:tcPr>
          <w:tcW w:w="5500" w:type="dxa"/>
        </w:tcPr>
        <w:tbl>
          <w:tblPr>
            <w:tblW w:w="9639" w:type="dxa"/>
            <w:tblCellMar>
              <w:left w:w="0" w:type="dxa"/>
              <w:right w:w="57" w:type="dxa"/>
            </w:tblCellMar>
            <w:tblLook w:val="01E0"/>
          </w:tblPr>
          <w:tblGrid>
            <w:gridCol w:w="5500"/>
            <w:gridCol w:w="4139"/>
          </w:tblGrid>
          <w:tr w:rsidR="00D242F5" w:rsidTr="00D242F5">
            <w:trPr>
              <w:trHeight w:val="1701"/>
            </w:trPr>
            <w:tc>
              <w:tcPr>
                <w:tcW w:w="5500" w:type="dxa"/>
                <w:hideMark/>
              </w:tcPr>
              <w:p w:rsidR="00D242F5" w:rsidRDefault="00D242F5">
                <w:pPr>
                  <w:pStyle w:val="TM1"/>
                  <w:rPr>
                    <w:noProof/>
                  </w:rPr>
                </w:pPr>
                <w:r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-3175</wp:posOffset>
                      </wp:positionH>
                      <wp:positionV relativeFrom="page">
                        <wp:posOffset>635</wp:posOffset>
                      </wp:positionV>
                      <wp:extent cx="935990" cy="795655"/>
                      <wp:effectExtent l="19050" t="0" r="0" b="0"/>
                      <wp:wrapNone/>
                      <wp:docPr id="3" name="Image 2" descr="logo_fr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_fr_30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990" cy="7956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139" w:type="dxa"/>
              </w:tcPr>
              <w:p w:rsidR="00D242F5" w:rsidRDefault="00D242F5">
                <w:pPr>
                  <w:pStyle w:val="01entteetbasdepage"/>
                  <w:rPr>
                    <w:b/>
                    <w:lang w:val="fr-CH"/>
                  </w:rPr>
                </w:pPr>
                <w:r>
                  <w:rPr>
                    <w:b/>
                    <w:lang w:val="fr-CH"/>
                  </w:rPr>
                  <w:t xml:space="preserve">Registres fonciers  </w:t>
                </w:r>
                <w:r>
                  <w:rPr>
                    <w:lang w:val="fr-CH"/>
                  </w:rPr>
                  <w:t>RF</w:t>
                </w:r>
              </w:p>
              <w:p w:rsidR="00D242F5" w:rsidRDefault="00D242F5">
                <w:pPr>
                  <w:pStyle w:val="01entteetbasdepage"/>
                  <w:rPr>
                    <w:lang w:val="fr-CH"/>
                  </w:rPr>
                </w:pPr>
                <w:r>
                  <w:rPr>
                    <w:b/>
                    <w:lang w:val="fr-CH"/>
                  </w:rPr>
                  <w:t xml:space="preserve">Grundbuchämter  </w:t>
                </w:r>
                <w:r>
                  <w:rPr>
                    <w:lang w:val="fr-CH"/>
                  </w:rPr>
                  <w:t>GBA</w:t>
                </w:r>
              </w:p>
              <w:p w:rsidR="00D242F5" w:rsidRDefault="00D242F5">
                <w:pPr>
                  <w:pStyle w:val="01entteetbasdepage"/>
                  <w:rPr>
                    <w:lang w:val="fr-CH"/>
                  </w:rPr>
                </w:pPr>
              </w:p>
              <w:p w:rsidR="00D242F5" w:rsidRDefault="00D242F5">
                <w:pPr>
                  <w:pStyle w:val="01entteetbasdepage"/>
                  <w:rPr>
                    <w:lang w:val="fr-CH"/>
                  </w:rPr>
                </w:pPr>
                <w:r>
                  <w:rPr>
                    <w:szCs w:val="12"/>
                    <w:lang w:val="fr-CH"/>
                  </w:rPr>
                  <w:t>Rue Joseph-Piller 13, Case postale, 1701 Fribourg</w:t>
                </w:r>
              </w:p>
              <w:p w:rsidR="00D242F5" w:rsidRDefault="00D242F5">
                <w:pPr>
                  <w:pStyle w:val="01entteetbasdepage"/>
                  <w:rPr>
                    <w:lang w:val="fr-CH"/>
                  </w:rPr>
                </w:pPr>
              </w:p>
              <w:p w:rsidR="00D242F5" w:rsidRDefault="00D242F5">
                <w:pPr>
                  <w:pStyle w:val="01entteetbasdepage"/>
                </w:pPr>
                <w:r>
                  <w:t>T +41 26 305 35 82, F +41 26 305 35 79</w:t>
                </w:r>
              </w:p>
              <w:p w:rsidR="00D242F5" w:rsidRDefault="0045671E">
                <w:pPr>
                  <w:pStyle w:val="01entteetbasdepage"/>
                  <w:rPr>
                    <w:rStyle w:val="Lienhypertexte"/>
                    <w:color w:val="auto"/>
                    <w:u w:val="none"/>
                  </w:rPr>
                </w:pPr>
                <w:r>
                  <w:t xml:space="preserve">rfsarine@fr.ch, </w:t>
                </w:r>
                <w:r w:rsidR="00D242F5">
                  <w:t>www.fr.ch/rf</w:t>
                </w:r>
              </w:p>
            </w:tc>
          </w:tr>
        </w:tbl>
        <w:p w:rsidR="00CD355C" w:rsidRPr="00AA545D" w:rsidRDefault="00CD355C" w:rsidP="00181B20">
          <w:pPr>
            <w:pStyle w:val="TM1"/>
            <w:rPr>
              <w:noProof/>
            </w:rPr>
          </w:pPr>
        </w:p>
      </w:tc>
      <w:tc>
        <w:tcPr>
          <w:tcW w:w="4139" w:type="dxa"/>
        </w:tcPr>
        <w:p w:rsidR="00CD355C" w:rsidRPr="005A5BC0" w:rsidRDefault="00CD355C" w:rsidP="005A5BC0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:rsidR="00CD355C" w:rsidRDefault="00CD35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>
    <w:nsid w:val="FFFFFFFE"/>
    <w:multiLevelType w:val="singleLevel"/>
    <w:tmpl w:val="391AFDD4"/>
    <w:lvl w:ilvl="0">
      <w:numFmt w:val="bullet"/>
      <w:lvlText w:val="*"/>
      <w:lvlJc w:val="left"/>
    </w:lvl>
  </w:abstractNum>
  <w:abstractNum w:abstractNumId="1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973E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604989"/>
    <w:multiLevelType w:val="hybridMultilevel"/>
    <w:tmpl w:val="E07A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1450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4DEA6FD0"/>
    <w:lvl w:ilvl="0" w:tplc="ED661770">
      <w:start w:val="1"/>
      <w:numFmt w:val="decimal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857AE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8"/>
  </w:num>
  <w:num w:numId="4">
    <w:abstractNumId w:val="25"/>
  </w:num>
  <w:num w:numId="5">
    <w:abstractNumId w:val="20"/>
  </w:num>
  <w:num w:numId="6">
    <w:abstractNumId w:val="9"/>
  </w:num>
  <w:num w:numId="7">
    <w:abstractNumId w:val="30"/>
  </w:num>
  <w:num w:numId="8">
    <w:abstractNumId w:val="21"/>
  </w:num>
  <w:num w:numId="9">
    <w:abstractNumId w:val="3"/>
  </w:num>
  <w:num w:numId="10">
    <w:abstractNumId w:val="15"/>
  </w:num>
  <w:num w:numId="11">
    <w:abstractNumId w:val="27"/>
  </w:num>
  <w:num w:numId="12">
    <w:abstractNumId w:val="16"/>
  </w:num>
  <w:num w:numId="13">
    <w:abstractNumId w:val="22"/>
  </w:num>
  <w:num w:numId="14">
    <w:abstractNumId w:val="23"/>
  </w:num>
  <w:num w:numId="15">
    <w:abstractNumId w:val="7"/>
  </w:num>
  <w:num w:numId="16">
    <w:abstractNumId w:val="8"/>
  </w:num>
  <w:num w:numId="17">
    <w:abstractNumId w:val="11"/>
  </w:num>
  <w:num w:numId="18">
    <w:abstractNumId w:val="29"/>
  </w:num>
  <w:num w:numId="19">
    <w:abstractNumId w:val="19"/>
  </w:num>
  <w:num w:numId="20">
    <w:abstractNumId w:val="5"/>
  </w:num>
  <w:num w:numId="21">
    <w:abstractNumId w:val="14"/>
  </w:num>
  <w:num w:numId="22">
    <w:abstractNumId w:val="13"/>
  </w:num>
  <w:num w:numId="23">
    <w:abstractNumId w:val="2"/>
  </w:num>
  <w:num w:numId="24">
    <w:abstractNumId w:val="1"/>
  </w:num>
  <w:num w:numId="25">
    <w:abstractNumId w:val="10"/>
  </w:num>
  <w:num w:numId="26">
    <w:abstractNumId w:val="17"/>
  </w:num>
  <w:num w:numId="27">
    <w:abstractNumId w:val="0"/>
  </w:num>
  <w:num w:numId="28">
    <w:abstractNumId w:val="6"/>
  </w:num>
  <w:num w:numId="29">
    <w:abstractNumId w:val="4"/>
  </w:num>
  <w:num w:numId="30">
    <w:abstractNumId w:val="12"/>
  </w:num>
  <w:num w:numId="31">
    <w:abstractNumId w:val="14"/>
  </w:num>
  <w:num w:numId="32">
    <w:abstractNumId w:val="14"/>
  </w:num>
  <w:num w:numId="33">
    <w:abstractNumId w:val="26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1021"/>
  <w:doNotTrackMoves/>
  <w:documentProtection w:edit="forms" w:formatting="1" w:enforcement="1" w:cryptProviderType="rsaFull" w:cryptAlgorithmClass="hash" w:cryptAlgorithmType="typeAny" w:cryptAlgorithmSid="4" w:cryptSpinCount="100000" w:hash="C6CXKmWvCzU9OGUfQsuNSDhbbZw=" w:salt="hzRbkawR9GhQCfjd/6PBBw==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13BD"/>
    <w:rsid w:val="00001EC0"/>
    <w:rsid w:val="0002087B"/>
    <w:rsid w:val="00050535"/>
    <w:rsid w:val="000533F0"/>
    <w:rsid w:val="00065BAC"/>
    <w:rsid w:val="00076375"/>
    <w:rsid w:val="000A1291"/>
    <w:rsid w:val="000B2144"/>
    <w:rsid w:val="0011484A"/>
    <w:rsid w:val="00140DA1"/>
    <w:rsid w:val="00151AC6"/>
    <w:rsid w:val="001573D5"/>
    <w:rsid w:val="00164C2E"/>
    <w:rsid w:val="00181B20"/>
    <w:rsid w:val="00207B0B"/>
    <w:rsid w:val="00210A44"/>
    <w:rsid w:val="00232F7D"/>
    <w:rsid w:val="002440A4"/>
    <w:rsid w:val="00246D56"/>
    <w:rsid w:val="00266404"/>
    <w:rsid w:val="003127F1"/>
    <w:rsid w:val="0035478D"/>
    <w:rsid w:val="0036371F"/>
    <w:rsid w:val="00387A4C"/>
    <w:rsid w:val="003B17C4"/>
    <w:rsid w:val="003C0B53"/>
    <w:rsid w:val="003C1688"/>
    <w:rsid w:val="003D0A86"/>
    <w:rsid w:val="003E08B4"/>
    <w:rsid w:val="00411169"/>
    <w:rsid w:val="004157D7"/>
    <w:rsid w:val="004261CA"/>
    <w:rsid w:val="0045671E"/>
    <w:rsid w:val="0047384B"/>
    <w:rsid w:val="004A0A68"/>
    <w:rsid w:val="004C40DF"/>
    <w:rsid w:val="004D5C7D"/>
    <w:rsid w:val="004D7207"/>
    <w:rsid w:val="004E109E"/>
    <w:rsid w:val="004E4E8A"/>
    <w:rsid w:val="00520520"/>
    <w:rsid w:val="00526008"/>
    <w:rsid w:val="00555E60"/>
    <w:rsid w:val="005A5BC0"/>
    <w:rsid w:val="005B43F6"/>
    <w:rsid w:val="00601C84"/>
    <w:rsid w:val="00633C74"/>
    <w:rsid w:val="006622A3"/>
    <w:rsid w:val="00665993"/>
    <w:rsid w:val="006913BD"/>
    <w:rsid w:val="006D4241"/>
    <w:rsid w:val="006D67A7"/>
    <w:rsid w:val="007947A5"/>
    <w:rsid w:val="007C789C"/>
    <w:rsid w:val="007E2249"/>
    <w:rsid w:val="00817948"/>
    <w:rsid w:val="0083317D"/>
    <w:rsid w:val="00870703"/>
    <w:rsid w:val="00885B72"/>
    <w:rsid w:val="008A1428"/>
    <w:rsid w:val="00904277"/>
    <w:rsid w:val="009263F0"/>
    <w:rsid w:val="00927747"/>
    <w:rsid w:val="0094693B"/>
    <w:rsid w:val="00977180"/>
    <w:rsid w:val="00981BD3"/>
    <w:rsid w:val="0099165E"/>
    <w:rsid w:val="009956B1"/>
    <w:rsid w:val="00996575"/>
    <w:rsid w:val="009A1D81"/>
    <w:rsid w:val="009A6A54"/>
    <w:rsid w:val="009D3A59"/>
    <w:rsid w:val="00A012B0"/>
    <w:rsid w:val="00A202F8"/>
    <w:rsid w:val="00A62CC6"/>
    <w:rsid w:val="00A747BC"/>
    <w:rsid w:val="00A871DB"/>
    <w:rsid w:val="00A92542"/>
    <w:rsid w:val="00A95B16"/>
    <w:rsid w:val="00AC6628"/>
    <w:rsid w:val="00AD0DF1"/>
    <w:rsid w:val="00AD721D"/>
    <w:rsid w:val="00AF1DC3"/>
    <w:rsid w:val="00B1195A"/>
    <w:rsid w:val="00B2276E"/>
    <w:rsid w:val="00B24B8E"/>
    <w:rsid w:val="00B40631"/>
    <w:rsid w:val="00B4190C"/>
    <w:rsid w:val="00B47676"/>
    <w:rsid w:val="00B807DD"/>
    <w:rsid w:val="00B80FE9"/>
    <w:rsid w:val="00BA1674"/>
    <w:rsid w:val="00BD26AD"/>
    <w:rsid w:val="00BF50CB"/>
    <w:rsid w:val="00C04BE0"/>
    <w:rsid w:val="00C23E05"/>
    <w:rsid w:val="00C2660B"/>
    <w:rsid w:val="00C557C5"/>
    <w:rsid w:val="00C61277"/>
    <w:rsid w:val="00C65027"/>
    <w:rsid w:val="00C96511"/>
    <w:rsid w:val="00CB28D2"/>
    <w:rsid w:val="00CB4E37"/>
    <w:rsid w:val="00CD355C"/>
    <w:rsid w:val="00D22071"/>
    <w:rsid w:val="00D242F5"/>
    <w:rsid w:val="00D31417"/>
    <w:rsid w:val="00D33946"/>
    <w:rsid w:val="00D62D51"/>
    <w:rsid w:val="00DE2322"/>
    <w:rsid w:val="00DE48B9"/>
    <w:rsid w:val="00E62F49"/>
    <w:rsid w:val="00EB6284"/>
    <w:rsid w:val="00EC122D"/>
    <w:rsid w:val="00EC491B"/>
    <w:rsid w:val="00EC6D6D"/>
    <w:rsid w:val="00EE29E6"/>
    <w:rsid w:val="00EF6819"/>
    <w:rsid w:val="00EF7124"/>
    <w:rsid w:val="00EF7262"/>
    <w:rsid w:val="00F0461A"/>
    <w:rsid w:val="00F0526C"/>
    <w:rsid w:val="00F31BA4"/>
    <w:rsid w:val="00FC460E"/>
    <w:rsid w:val="00FE34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674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11484A"/>
    <w:rPr>
      <w:color w:val="808080"/>
    </w:rPr>
  </w:style>
  <w:style w:type="paragraph" w:styleId="Textedebulles">
    <w:name w:val="Balloon Text"/>
    <w:basedOn w:val="Normal"/>
    <w:link w:val="TextedebullesCar"/>
    <w:rsid w:val="001148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484A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547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07B0B"/>
    <w:pPr>
      <w:spacing w:before="100" w:beforeAutospacing="1" w:after="100" w:afterAutospacing="1"/>
    </w:pPr>
    <w:rPr>
      <w:lang w:val="en-US"/>
    </w:rPr>
  </w:style>
  <w:style w:type="paragraph" w:styleId="Paragraphedeliste">
    <w:name w:val="List Paragraph"/>
    <w:basedOn w:val="Normal"/>
    <w:rsid w:val="00BA1674"/>
    <w:pPr>
      <w:ind w:left="720"/>
      <w:contextualSpacing/>
    </w:pPr>
  </w:style>
  <w:style w:type="character" w:customStyle="1" w:styleId="hps">
    <w:name w:val="hps"/>
    <w:basedOn w:val="Policepardfaut"/>
    <w:rsid w:val="00662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9947-E913-4EB4-9B23-3D13A3C7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5021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Devise Nathalie</dc:creator>
  <cp:keywords/>
  <dc:description/>
  <cp:lastModifiedBy>Informatique RF</cp:lastModifiedBy>
  <cp:revision>4</cp:revision>
  <cp:lastPrinted>2012-03-01T14:18:00Z</cp:lastPrinted>
  <dcterms:created xsi:type="dcterms:W3CDTF">2012-05-16T09:23:00Z</dcterms:created>
  <dcterms:modified xsi:type="dcterms:W3CDTF">2012-05-16T11:19:00Z</dcterms:modified>
  <cp:category/>
</cp:coreProperties>
</file>